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F0BDC" w14:textId="6D1F78C7" w:rsidR="00233507" w:rsidRPr="005B2961" w:rsidRDefault="00233507" w:rsidP="005B2961">
      <w:pPr>
        <w:pStyle w:val="Ttulo1"/>
        <w:jc w:val="both"/>
        <w:rPr>
          <w:rFonts w:ascii="ITC Avant Garde" w:hAnsi="ITC Avant Garde"/>
          <w:b/>
          <w:color w:val="000000" w:themeColor="text1"/>
          <w:sz w:val="22"/>
          <w:szCs w:val="22"/>
        </w:rPr>
      </w:pPr>
      <w:r w:rsidRPr="005B2961">
        <w:rPr>
          <w:rFonts w:ascii="ITC Avant Garde" w:hAnsi="ITC Avant Garde" w:cs="Arial"/>
          <w:b/>
          <w:bCs/>
          <w:color w:val="000000" w:themeColor="text1"/>
          <w:sz w:val="22"/>
          <w:szCs w:val="22"/>
          <w:lang w:eastAsia="es-ES"/>
        </w:rPr>
        <w:t xml:space="preserve">ACUERDO MEDIANTE EL CUAL EL PLENO DEL INSTITUTO FEDERAL DE TELECOMUNICACIONES EMITE LOS </w:t>
      </w:r>
      <w:r w:rsidRPr="005B2961">
        <w:rPr>
          <w:rFonts w:ascii="ITC Avant Garde" w:hAnsi="ITC Avant Garde"/>
          <w:b/>
          <w:color w:val="000000" w:themeColor="text1"/>
          <w:sz w:val="22"/>
          <w:szCs w:val="22"/>
        </w:rPr>
        <w:t xml:space="preserve">LINEAMIENTOS PARA EL ACCESO EFECTIVO Y COMPARTIDO A LA INFRAESTRUCTURA DE LA COMISIÓN FEDERAL DE ELECTRICIDAD, POR PARTE DE TELECOMUNICACIONES DE MÉXICO; Y PARA LA CONSTRUCCIÓN Y CRECIMIENTO DE </w:t>
      </w:r>
      <w:r w:rsidR="00EF01B4" w:rsidRPr="005B2961">
        <w:rPr>
          <w:rFonts w:ascii="ITC Avant Garde" w:hAnsi="ITC Avant Garde"/>
          <w:b/>
          <w:color w:val="000000" w:themeColor="text1"/>
          <w:sz w:val="22"/>
          <w:szCs w:val="22"/>
        </w:rPr>
        <w:t>UNA</w:t>
      </w:r>
      <w:r w:rsidRPr="005B2961">
        <w:rPr>
          <w:rFonts w:ascii="ITC Avant Garde" w:hAnsi="ITC Avant Garde"/>
          <w:b/>
          <w:color w:val="000000" w:themeColor="text1"/>
          <w:sz w:val="22"/>
          <w:szCs w:val="22"/>
        </w:rPr>
        <w:t xml:space="preserve"> RED TRONCAL NACIONAL</w:t>
      </w:r>
    </w:p>
    <w:p w14:paraId="0CF6AA07" w14:textId="77777777" w:rsidR="00233507" w:rsidRPr="00F559BB" w:rsidRDefault="00233507" w:rsidP="00233507">
      <w:pPr>
        <w:spacing w:line="276" w:lineRule="auto"/>
        <w:jc w:val="center"/>
        <w:rPr>
          <w:rFonts w:ascii="ITC Avant Garde" w:hAnsi="ITC Avant Garde" w:cs="Arial"/>
          <w:b/>
          <w:bCs/>
          <w:sz w:val="22"/>
          <w:szCs w:val="22"/>
          <w:lang w:eastAsia="es-ES"/>
        </w:rPr>
      </w:pPr>
    </w:p>
    <w:p w14:paraId="18079382" w14:textId="77777777" w:rsidR="00233507" w:rsidRPr="005B2961" w:rsidRDefault="00233507" w:rsidP="005B2961">
      <w:pPr>
        <w:pStyle w:val="Ttulo2"/>
        <w:jc w:val="center"/>
        <w:rPr>
          <w:rFonts w:ascii="ITC Avant Garde" w:hAnsi="ITC Avant Garde"/>
          <w:b/>
          <w:color w:val="000000" w:themeColor="text1"/>
          <w:sz w:val="22"/>
          <w:szCs w:val="22"/>
        </w:rPr>
      </w:pPr>
      <w:r w:rsidRPr="005B2961">
        <w:rPr>
          <w:rFonts w:ascii="ITC Avant Garde" w:hAnsi="ITC Avant Garde"/>
          <w:b/>
          <w:color w:val="000000" w:themeColor="text1"/>
          <w:sz w:val="22"/>
          <w:szCs w:val="22"/>
        </w:rPr>
        <w:t>ANTECEDENTES</w:t>
      </w:r>
    </w:p>
    <w:p w14:paraId="75B2AE93" w14:textId="77777777" w:rsidR="00233507" w:rsidRPr="00F559BB" w:rsidRDefault="00233507" w:rsidP="00233507">
      <w:pPr>
        <w:pStyle w:val="Normal1"/>
        <w:spacing w:after="0" w:line="276" w:lineRule="auto"/>
        <w:jc w:val="center"/>
        <w:rPr>
          <w:rFonts w:ascii="ITC Avant Garde" w:hAnsi="ITC Avant Garde"/>
          <w:color w:val="auto"/>
          <w:szCs w:val="22"/>
          <w:lang w:val="es-ES_tradnl"/>
        </w:rPr>
      </w:pPr>
    </w:p>
    <w:p w14:paraId="722EF4A7" w14:textId="31264878" w:rsidR="007330E8" w:rsidRPr="0014581A" w:rsidRDefault="007330E8" w:rsidP="005B2961">
      <w:pPr>
        <w:numPr>
          <w:ilvl w:val="0"/>
          <w:numId w:val="20"/>
        </w:numPr>
        <w:tabs>
          <w:tab w:val="num" w:pos="1940"/>
        </w:tabs>
        <w:spacing w:before="240" w:line="276" w:lineRule="auto"/>
        <w:ind w:left="900" w:hanging="900"/>
        <w:jc w:val="both"/>
        <w:rPr>
          <w:rFonts w:ascii="ITC Avant Garde" w:hAnsi="ITC Avant Garde" w:cs="Arial"/>
          <w:bCs/>
          <w:sz w:val="22"/>
          <w:szCs w:val="22"/>
          <w:lang w:eastAsia="es-ES"/>
        </w:rPr>
      </w:pPr>
      <w:r w:rsidRPr="0014581A">
        <w:rPr>
          <w:rFonts w:ascii="ITC Avant Garde" w:hAnsi="ITC Avant Garde" w:cs="Arial"/>
          <w:b/>
          <w:bCs/>
          <w:sz w:val="22"/>
          <w:szCs w:val="22"/>
          <w:lang w:eastAsia="es-ES"/>
        </w:rPr>
        <w:t>Otorgamiento de la concesión para instalar, operar y explotar una red pública de telecomunicaciones a la Comisión Federal de Electricidad.</w:t>
      </w:r>
      <w:r>
        <w:rPr>
          <w:rFonts w:ascii="ITC Avant Garde" w:hAnsi="ITC Avant Garde" w:cs="Arial"/>
          <w:bCs/>
          <w:sz w:val="22"/>
          <w:szCs w:val="22"/>
          <w:lang w:eastAsia="es-ES"/>
        </w:rPr>
        <w:t xml:space="preserve"> El 10 de noviembre de 2006, la Secretaria de Comunicaciones y Transportes otorgó a favor de la Comisión Federal de Electricidad un título de concesión para instalar, operar y explotar una red pública de telecomunicaciones para prestar los servicios de provisión y arrendamiento de capacidad de la red y la comercialización de la capacidad adquirida respecto de redes de otros concesionarios de redes públicas.</w:t>
      </w:r>
    </w:p>
    <w:p w14:paraId="62E04120" w14:textId="245B76D1" w:rsidR="00233507" w:rsidRPr="00F559BB" w:rsidRDefault="00233507" w:rsidP="005B2961">
      <w:pPr>
        <w:numPr>
          <w:ilvl w:val="0"/>
          <w:numId w:val="20"/>
        </w:numPr>
        <w:tabs>
          <w:tab w:val="num" w:pos="1940"/>
        </w:tabs>
        <w:spacing w:before="240" w:line="276" w:lineRule="auto"/>
        <w:ind w:left="900" w:hanging="900"/>
        <w:jc w:val="both"/>
        <w:rPr>
          <w:rFonts w:ascii="ITC Avant Garde" w:hAnsi="ITC Avant Garde" w:cs="Arial"/>
          <w:bCs/>
          <w:sz w:val="22"/>
          <w:szCs w:val="22"/>
          <w:lang w:eastAsia="es-ES"/>
        </w:rPr>
      </w:pPr>
      <w:r w:rsidRPr="00F559BB">
        <w:rPr>
          <w:rFonts w:ascii="ITC Avant Garde" w:hAnsi="ITC Avant Garde" w:cs="Arial"/>
          <w:b/>
          <w:bCs/>
          <w:sz w:val="22"/>
          <w:szCs w:val="22"/>
          <w:lang w:eastAsia="es-ES"/>
        </w:rPr>
        <w:t>Decreto de Reforma Constitucional en materia de telecomunicaciones</w:t>
      </w:r>
      <w:r w:rsidRPr="00F559BB">
        <w:rPr>
          <w:rFonts w:ascii="ITC Avant Garde" w:hAnsi="ITC Avant Garde" w:cs="Arial"/>
          <w:bCs/>
          <w:sz w:val="22"/>
          <w:szCs w:val="22"/>
          <w:lang w:eastAsia="es-ES"/>
        </w:rPr>
        <w:t>. Con fecha 11 de junio de 2013, se publicó en el Diario Oficial de la Federación (en lo sucesivo, el DOF) el “Decreto por el que se reforman y adicionan diversas disposiciones de los artículos 6, 7, 27, 28, 73, 78, 94 y 105 de la Constitución Política de los Estados Unidos Mexicanos, en materia de telecomunicaciones” (en lo sucesivo, el Decreto), mediante el cual se creó el Instituto Federal de Telecomunicaciones (en lo sucesivo, el Instituto), como un órgano autónomo con personalidad jurídica y patrimonio propio, cuyo objeto es regular, promover y supervisar el uso, aprovechamiento y explotación del espectro radioeléctrico, las redes y la prestación de los servicios de radiodifusión y telecomunicaciones, además de ser la autoridad en materia de competencia económica en los sectores de los servicios antes aludidos.</w:t>
      </w:r>
    </w:p>
    <w:p w14:paraId="41F88B2D" w14:textId="77777777" w:rsidR="00233507" w:rsidRPr="00F559BB" w:rsidRDefault="00233507" w:rsidP="005B2961">
      <w:pPr>
        <w:numPr>
          <w:ilvl w:val="0"/>
          <w:numId w:val="20"/>
        </w:numPr>
        <w:tabs>
          <w:tab w:val="num" w:pos="1940"/>
        </w:tabs>
        <w:spacing w:before="240" w:line="276" w:lineRule="auto"/>
        <w:ind w:left="900" w:hanging="900"/>
        <w:jc w:val="both"/>
        <w:rPr>
          <w:rFonts w:ascii="ITC Avant Garde" w:hAnsi="ITC Avant Garde" w:cs="Arial"/>
          <w:bCs/>
          <w:sz w:val="22"/>
          <w:szCs w:val="22"/>
          <w:lang w:eastAsia="es-ES"/>
        </w:rPr>
      </w:pPr>
      <w:r w:rsidRPr="00F559BB">
        <w:rPr>
          <w:rFonts w:ascii="ITC Avant Garde" w:hAnsi="ITC Avant Garde" w:cs="Arial"/>
          <w:b/>
          <w:bCs/>
          <w:sz w:val="22"/>
          <w:szCs w:val="22"/>
          <w:lang w:eastAsia="es-ES"/>
        </w:rPr>
        <w:t>Expedición de la Ley Federal de Telecomunicaciones y Radiodifusión</w:t>
      </w:r>
      <w:r w:rsidRPr="00F559BB">
        <w:rPr>
          <w:rFonts w:ascii="ITC Avant Garde" w:hAnsi="ITC Avant Garde" w:cs="Arial"/>
          <w:bCs/>
          <w:sz w:val="22"/>
          <w:szCs w:val="22"/>
          <w:lang w:eastAsia="es-ES"/>
        </w:rPr>
        <w:t xml:space="preserve">. Con fecha 14 de julio de 2014, fue publicado en el DOF el “Decreto por el que se expiden la Ley Federal de Telecomunicaciones y Radiodifusión, y la Ley del Sistema Público de Radiodifusión del Estado Mexicano; y se reforman, adicionan y derogan diversas disposiciones en materia de telecomunicaciones y radiodifusión”, el cual, en términos de lo dispuesto </w:t>
      </w:r>
      <w:r w:rsidRPr="00F559BB">
        <w:rPr>
          <w:rFonts w:ascii="ITC Avant Garde" w:hAnsi="ITC Avant Garde" w:cs="Arial"/>
          <w:bCs/>
          <w:sz w:val="22"/>
          <w:szCs w:val="22"/>
          <w:lang w:eastAsia="es-ES"/>
        </w:rPr>
        <w:lastRenderedPageBreak/>
        <w:t>por su Artículo Primero transitorio, entró en vigor a los treinta días naturales siguientes a su publicación, esto es, el 13 de agosto de 2014.</w:t>
      </w:r>
    </w:p>
    <w:p w14:paraId="593021FD" w14:textId="77777777" w:rsidR="00233507" w:rsidRDefault="00233507" w:rsidP="005B2961">
      <w:pPr>
        <w:numPr>
          <w:ilvl w:val="0"/>
          <w:numId w:val="20"/>
        </w:numPr>
        <w:tabs>
          <w:tab w:val="num" w:pos="1940"/>
        </w:tabs>
        <w:spacing w:before="240" w:line="276" w:lineRule="auto"/>
        <w:ind w:left="900" w:hanging="900"/>
        <w:jc w:val="both"/>
        <w:rPr>
          <w:rFonts w:ascii="ITC Avant Garde" w:hAnsi="ITC Avant Garde" w:cs="Arial"/>
          <w:bCs/>
          <w:sz w:val="22"/>
          <w:szCs w:val="22"/>
          <w:lang w:eastAsia="es-ES"/>
        </w:rPr>
      </w:pPr>
      <w:r w:rsidRPr="00F559BB">
        <w:rPr>
          <w:rFonts w:ascii="ITC Avant Garde" w:hAnsi="ITC Avant Garde" w:cs="Arial"/>
          <w:b/>
          <w:bCs/>
          <w:sz w:val="22"/>
          <w:szCs w:val="22"/>
          <w:lang w:eastAsia="es-ES"/>
        </w:rPr>
        <w:t xml:space="preserve">Expedición del Estatuto Orgánico del Instituto Federal de Telecomunicaciones. </w:t>
      </w:r>
      <w:r w:rsidRPr="00F559BB">
        <w:rPr>
          <w:rFonts w:ascii="ITC Avant Garde" w:hAnsi="ITC Avant Garde" w:cs="Arial"/>
          <w:bCs/>
          <w:sz w:val="22"/>
          <w:szCs w:val="22"/>
          <w:lang w:eastAsia="es-ES"/>
        </w:rPr>
        <w:t>El 4 de septiembre de 2014 se publicó en el DOF el “Estatuto Orgánico del Instituto Federal de Telecomunicaciones” (en lo sucesivo, el Estatuto Orgánico), mismo que entró en vigor el 26 de septiembre de 2014; y el cual se modificó el 17 de octubre de 2014.</w:t>
      </w:r>
    </w:p>
    <w:p w14:paraId="04269C6D" w14:textId="77777777" w:rsidR="007330E8" w:rsidRPr="00F559BB" w:rsidRDefault="007330E8" w:rsidP="005B2961">
      <w:pPr>
        <w:numPr>
          <w:ilvl w:val="0"/>
          <w:numId w:val="20"/>
        </w:numPr>
        <w:tabs>
          <w:tab w:val="num" w:pos="1940"/>
        </w:tabs>
        <w:spacing w:before="240" w:line="276" w:lineRule="auto"/>
        <w:ind w:left="900" w:hanging="900"/>
        <w:jc w:val="both"/>
        <w:rPr>
          <w:rFonts w:ascii="ITC Avant Garde" w:hAnsi="ITC Avant Garde" w:cs="Arial"/>
          <w:bCs/>
          <w:sz w:val="22"/>
          <w:szCs w:val="22"/>
          <w:lang w:eastAsia="es-ES"/>
        </w:rPr>
      </w:pPr>
      <w:r w:rsidRPr="00396133">
        <w:rPr>
          <w:rFonts w:ascii="ITC Avant Garde" w:hAnsi="ITC Avant Garde" w:cs="Arial"/>
          <w:b/>
          <w:bCs/>
          <w:sz w:val="22"/>
          <w:szCs w:val="22"/>
          <w:lang w:eastAsia="es-ES"/>
        </w:rPr>
        <w:t>Cesión de derechos y obligaciones derivados de la concesión de la Comisión Federal de Electricidad a favor de Telecomunicaciones de México.</w:t>
      </w:r>
      <w:r>
        <w:rPr>
          <w:rFonts w:ascii="ITC Avant Garde" w:hAnsi="ITC Avant Garde" w:cs="Arial"/>
          <w:bCs/>
          <w:sz w:val="22"/>
          <w:szCs w:val="22"/>
          <w:lang w:eastAsia="es-ES"/>
        </w:rPr>
        <w:t xml:space="preserve"> El 23 de septiembre de 2015, el Instituto, autorizó a la Comisión Federal de Electricidad, a llevar a cabo la cesión de derechos y obligaciones del título de concesión para instalar, operar y explotar una red pública de telecomunicaciones con cobertura a nivel nacional, en favor de Telecomunicaciones de México.</w:t>
      </w:r>
    </w:p>
    <w:p w14:paraId="2694C8D8" w14:textId="77777777" w:rsidR="00233507" w:rsidRPr="00016E6C" w:rsidRDefault="00233507" w:rsidP="00016E6C">
      <w:pPr>
        <w:spacing w:line="276" w:lineRule="auto"/>
        <w:rPr>
          <w:rFonts w:ascii="ITC Avant Garde" w:hAnsi="ITC Avant Garde" w:cs="Arial"/>
          <w:bCs/>
          <w:sz w:val="22"/>
          <w:szCs w:val="22"/>
        </w:rPr>
      </w:pPr>
    </w:p>
    <w:p w14:paraId="34E9C975" w14:textId="77777777" w:rsidR="00233507" w:rsidRPr="00F559BB" w:rsidRDefault="00233507" w:rsidP="00233507">
      <w:pPr>
        <w:pStyle w:val="Normal1"/>
        <w:tabs>
          <w:tab w:val="left" w:pos="0"/>
        </w:tabs>
        <w:spacing w:after="0" w:line="276" w:lineRule="auto"/>
        <w:jc w:val="both"/>
        <w:rPr>
          <w:lang w:val="es-ES_tradnl"/>
        </w:rPr>
      </w:pPr>
      <w:r w:rsidRPr="00F559BB">
        <w:rPr>
          <w:rFonts w:ascii="ITC Avant Garde" w:eastAsia="ITC Avant Garde" w:hAnsi="ITC Avant Garde" w:cs="ITC Avant Garde"/>
          <w:lang w:val="es-ES_tradnl"/>
        </w:rPr>
        <w:t>Derivado de lo anterior y conforme a los siguientes:</w:t>
      </w:r>
    </w:p>
    <w:p w14:paraId="101CD541" w14:textId="77777777" w:rsidR="00233507" w:rsidRPr="00F559BB" w:rsidRDefault="00233507" w:rsidP="00233507">
      <w:pPr>
        <w:spacing w:line="276" w:lineRule="auto"/>
        <w:jc w:val="both"/>
        <w:rPr>
          <w:rFonts w:ascii="ITC Avant Garde" w:hAnsi="ITC Avant Garde"/>
          <w:sz w:val="22"/>
          <w:szCs w:val="22"/>
        </w:rPr>
      </w:pPr>
    </w:p>
    <w:p w14:paraId="3D2DC74D" w14:textId="455629C9" w:rsidR="00233507" w:rsidRPr="005B2961" w:rsidRDefault="00233507" w:rsidP="005B2961">
      <w:pPr>
        <w:pStyle w:val="Ttulo2"/>
        <w:jc w:val="center"/>
        <w:rPr>
          <w:rFonts w:ascii="ITC Avant Garde" w:hAnsi="ITC Avant Garde"/>
          <w:b/>
          <w:color w:val="000000" w:themeColor="text1"/>
          <w:sz w:val="22"/>
          <w:szCs w:val="22"/>
        </w:rPr>
      </w:pPr>
      <w:r w:rsidRPr="005B2961">
        <w:rPr>
          <w:rFonts w:ascii="ITC Avant Garde" w:hAnsi="ITC Avant Garde"/>
          <w:b/>
          <w:color w:val="000000" w:themeColor="text1"/>
          <w:sz w:val="22"/>
          <w:szCs w:val="22"/>
        </w:rPr>
        <w:t>CONSIDERANDO</w:t>
      </w:r>
    </w:p>
    <w:p w14:paraId="2043A0A7" w14:textId="77777777" w:rsidR="00233507" w:rsidRPr="00F7548C" w:rsidRDefault="00233507" w:rsidP="00233507">
      <w:pPr>
        <w:spacing w:line="276" w:lineRule="auto"/>
        <w:jc w:val="center"/>
        <w:rPr>
          <w:rFonts w:ascii="ITC Avant Garde" w:hAnsi="ITC Avant Garde"/>
          <w:sz w:val="22"/>
          <w:szCs w:val="22"/>
        </w:rPr>
      </w:pPr>
    </w:p>
    <w:p w14:paraId="5D76EBAD" w14:textId="77777777" w:rsidR="00233507" w:rsidRPr="00F7548C" w:rsidRDefault="00233507" w:rsidP="00233507">
      <w:pPr>
        <w:tabs>
          <w:tab w:val="num" w:pos="1940"/>
        </w:tabs>
        <w:spacing w:line="276" w:lineRule="auto"/>
        <w:jc w:val="both"/>
        <w:rPr>
          <w:rFonts w:ascii="ITC Avant Garde" w:hAnsi="ITC Avant Garde" w:cs="Arial"/>
          <w:bCs/>
          <w:sz w:val="22"/>
          <w:szCs w:val="22"/>
          <w:lang w:eastAsia="es-ES"/>
        </w:rPr>
      </w:pPr>
      <w:r w:rsidRPr="00F7548C">
        <w:rPr>
          <w:rFonts w:ascii="ITC Avant Garde" w:eastAsia="Arial" w:hAnsi="ITC Avant Garde" w:cs="Arial"/>
          <w:b/>
          <w:sz w:val="22"/>
          <w:szCs w:val="22"/>
          <w:lang w:val="es-ES_tradnl"/>
        </w:rPr>
        <w:t>PRIMERO.- Competencia del Instituto</w:t>
      </w:r>
      <w:r w:rsidRPr="00F7548C">
        <w:rPr>
          <w:rFonts w:ascii="ITC Avant Garde" w:eastAsia="Arial" w:hAnsi="ITC Avant Garde" w:cs="Arial"/>
          <w:sz w:val="22"/>
          <w:szCs w:val="22"/>
          <w:lang w:val="es-ES_tradnl"/>
        </w:rPr>
        <w:t>. De conformidad con lo establecido por el artículo 28 párrafo décimo quinto de la Constitución Política de los Estados Unidos Mexicanos (en lo sucesivo, la Constitución), el Instituto tiene por objeto el desarrollo eficiente de la radiodifusión y las telecomunicaciones, conforme a lo dispuesto en la propia Constitución y en los términos que fijen las leyes. Para tal efecto, en términos del precepto constitucional invocado así como de los artículos 1 y 7 de la Ley Federal de Telecomunicaciones y Radiodifusión (en lo sucesivo, la Ley), el Instituto tiene a su cargo la regulación, promoción y supervisión del uso, aprovechamiento y explotación del espectro radioeléctrico, los recursos orbitales, los servicios satelitales, las redes públicas de telecomunicaciones y la prestación de los servicios de radiodifusión y de telecomunicaciones, así como del acceso a la infraestructura activa y pasiva y otros insumos esenciales, contribuyendo a los fines y al ejercicio de los derechos establecidos en los artículos 6o. y 7o. de la Constitución.</w:t>
      </w:r>
    </w:p>
    <w:p w14:paraId="363C30DA" w14:textId="77777777" w:rsidR="00233507" w:rsidRPr="00F7548C" w:rsidRDefault="00233507" w:rsidP="00233507">
      <w:pPr>
        <w:pStyle w:val="Prrafodelista"/>
        <w:spacing w:line="276" w:lineRule="auto"/>
        <w:ind w:left="0"/>
        <w:rPr>
          <w:rFonts w:ascii="ITC Avant Garde" w:eastAsia="Arial" w:hAnsi="ITC Avant Garde" w:cs="Arial"/>
          <w:sz w:val="22"/>
          <w:szCs w:val="22"/>
        </w:rPr>
      </w:pPr>
    </w:p>
    <w:p w14:paraId="3E2AEF57" w14:textId="2228A980" w:rsidR="00233507" w:rsidRPr="00F7548C" w:rsidRDefault="003C187A"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El</w:t>
      </w:r>
      <w:r w:rsidR="00233507" w:rsidRPr="00F7548C">
        <w:rPr>
          <w:rFonts w:ascii="ITC Avant Garde" w:eastAsia="Arial" w:hAnsi="ITC Avant Garde" w:cs="Arial"/>
          <w:sz w:val="22"/>
          <w:szCs w:val="22"/>
          <w:lang w:val="es-ES_tradnl"/>
        </w:rPr>
        <w:t xml:space="preserve"> Instituto es la autoridad en materia de competencia económica de los sectores de radiodifusión y telecomunicaciones, por lo que en éstos ejercerá en forma exclusiva las facultades establecidas para la Comisión Federal de Competencia </w:t>
      </w:r>
      <w:r w:rsidR="00233507" w:rsidRPr="00F7548C">
        <w:rPr>
          <w:rFonts w:ascii="ITC Avant Garde" w:eastAsia="Arial" w:hAnsi="ITC Avant Garde" w:cs="Arial"/>
          <w:sz w:val="22"/>
          <w:szCs w:val="22"/>
          <w:lang w:val="es-ES_tradnl"/>
        </w:rPr>
        <w:lastRenderedPageBreak/>
        <w:t>Económica en el artículo 28 de la Constitución, la Ley y la Ley Federal de Competencia Económica.</w:t>
      </w:r>
    </w:p>
    <w:p w14:paraId="04363D5F" w14:textId="77777777"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p>
    <w:p w14:paraId="2FDD0A01" w14:textId="17C25646"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A su vez, conforme lo dispuesto en el artículo Décimo Quinto Transitorio del Decreto,</w:t>
      </w:r>
      <w:r w:rsidR="00BF1A95" w:rsidRPr="00F7548C">
        <w:rPr>
          <w:rFonts w:ascii="ITC Avant Garde" w:eastAsia="Arial" w:hAnsi="ITC Avant Garde" w:cs="Arial"/>
          <w:sz w:val="22"/>
          <w:szCs w:val="22"/>
          <w:lang w:val="es-ES_tradnl"/>
        </w:rPr>
        <w:t xml:space="preserve"> en</w:t>
      </w:r>
      <w:r w:rsidR="00124B28" w:rsidRPr="00F7548C">
        <w:rPr>
          <w:rFonts w:ascii="ITC Avant Garde" w:eastAsia="Arial" w:hAnsi="ITC Avant Garde" w:cs="Arial"/>
          <w:sz w:val="22"/>
          <w:szCs w:val="22"/>
          <w:lang w:val="es-ES_tradnl"/>
        </w:rPr>
        <w:t xml:space="preserve"> correlación con </w:t>
      </w:r>
      <w:r w:rsidR="00BF1A95" w:rsidRPr="00F7548C">
        <w:rPr>
          <w:rFonts w:ascii="ITC Avant Garde" w:eastAsia="Arial" w:hAnsi="ITC Avant Garde" w:cs="Arial"/>
          <w:sz w:val="22"/>
          <w:szCs w:val="22"/>
          <w:lang w:val="es-ES_tradnl"/>
        </w:rPr>
        <w:t>el 15 fracciones I y LXIII de la Ley</w:t>
      </w:r>
      <w:r w:rsidR="00124B28" w:rsidRPr="00F7548C">
        <w:rPr>
          <w:rFonts w:ascii="ITC Avant Garde" w:eastAsia="Arial" w:hAnsi="ITC Avant Garde" w:cs="Arial"/>
          <w:sz w:val="22"/>
          <w:szCs w:val="22"/>
          <w:lang w:val="es-ES_tradnl"/>
        </w:rPr>
        <w:t xml:space="preserve"> y </w:t>
      </w:r>
      <w:r w:rsidR="00BF1A95" w:rsidRPr="00F7548C">
        <w:rPr>
          <w:rFonts w:ascii="ITC Avant Garde" w:eastAsia="Arial" w:hAnsi="ITC Avant Garde" w:cs="Arial"/>
          <w:sz w:val="22"/>
          <w:szCs w:val="22"/>
          <w:lang w:val="es-ES_tradnl"/>
        </w:rPr>
        <w:t xml:space="preserve">6 fracción I </w:t>
      </w:r>
      <w:r w:rsidR="00EB5E82" w:rsidRPr="00F7548C">
        <w:rPr>
          <w:rFonts w:ascii="ITC Avant Garde" w:eastAsia="Arial" w:hAnsi="ITC Avant Garde" w:cs="Arial"/>
          <w:sz w:val="22"/>
          <w:szCs w:val="22"/>
          <w:lang w:val="es-ES_tradnl"/>
        </w:rPr>
        <w:t xml:space="preserve">y XXXVII </w:t>
      </w:r>
      <w:r w:rsidR="00BF1A95" w:rsidRPr="00F7548C">
        <w:rPr>
          <w:rFonts w:ascii="ITC Avant Garde" w:eastAsia="Arial" w:hAnsi="ITC Avant Garde" w:cs="Arial"/>
          <w:sz w:val="22"/>
          <w:szCs w:val="22"/>
          <w:lang w:val="es-ES_tradnl"/>
        </w:rPr>
        <w:t xml:space="preserve">del Estatuto Orgánico, </w:t>
      </w:r>
      <w:r w:rsidRPr="00F7548C">
        <w:rPr>
          <w:rFonts w:ascii="ITC Avant Garde" w:eastAsia="Arial" w:hAnsi="ITC Avant Garde" w:cs="Arial"/>
          <w:sz w:val="22"/>
          <w:szCs w:val="22"/>
          <w:lang w:val="es-ES_tradnl"/>
        </w:rPr>
        <w:t>el Instituto tiene la atribución de emitir los lineamientos y acuerdos para garantizar el acceso efectivo y compartido a la infraestructura de la Comisión Federal de Electricidad (en lo sucesivo, la CFE) para su aprovechamiento eficiente, y también para</w:t>
      </w:r>
      <w:r w:rsidR="001D0BD0" w:rsidRPr="00F7548C">
        <w:rPr>
          <w:rFonts w:ascii="ITC Avant Garde" w:eastAsia="Arial" w:hAnsi="ITC Avant Garde" w:cs="Arial"/>
          <w:sz w:val="22"/>
          <w:szCs w:val="22"/>
          <w:lang w:val="es-ES_tradnl"/>
        </w:rPr>
        <w:t xml:space="preserve"> que Telecomunicaciones de México</w:t>
      </w:r>
      <w:r w:rsidRPr="00F7548C">
        <w:rPr>
          <w:rFonts w:ascii="ITC Avant Garde" w:eastAsia="Arial" w:hAnsi="ITC Avant Garde" w:cs="Arial"/>
          <w:sz w:val="22"/>
          <w:szCs w:val="22"/>
          <w:lang w:val="es-ES_tradnl"/>
        </w:rPr>
        <w:t xml:space="preserve"> </w:t>
      </w:r>
      <w:r w:rsidR="001D0BD0" w:rsidRPr="00F7548C">
        <w:rPr>
          <w:rFonts w:ascii="ITC Avant Garde" w:eastAsia="Arial" w:hAnsi="ITC Avant Garde" w:cs="Arial"/>
          <w:sz w:val="22"/>
          <w:szCs w:val="22"/>
          <w:lang w:val="es-ES_tradnl"/>
        </w:rPr>
        <w:t xml:space="preserve">pueda </w:t>
      </w:r>
      <w:r w:rsidRPr="00F7548C">
        <w:rPr>
          <w:rFonts w:ascii="ITC Avant Garde" w:eastAsia="Arial" w:hAnsi="ITC Avant Garde" w:cs="Arial"/>
          <w:sz w:val="22"/>
          <w:szCs w:val="22"/>
          <w:lang w:val="es-ES_tradnl"/>
        </w:rPr>
        <w:t>planear, diseñar y ejecutar la construcción y el crecimiento de una robusta red troncal de telecomunicaciones de cobertura nacional, mismo que a la letra señala:</w:t>
      </w:r>
    </w:p>
    <w:p w14:paraId="4DD58D72" w14:textId="77777777"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p>
    <w:p w14:paraId="14A03A64" w14:textId="4AC63D39" w:rsidR="00233507" w:rsidRPr="005B2961" w:rsidRDefault="00233507" w:rsidP="00233507">
      <w:pPr>
        <w:tabs>
          <w:tab w:val="num" w:pos="1220"/>
          <w:tab w:val="num" w:pos="1940"/>
        </w:tabs>
        <w:spacing w:line="276" w:lineRule="auto"/>
        <w:ind w:left="516"/>
        <w:jc w:val="both"/>
        <w:rPr>
          <w:rFonts w:ascii="ITC Avant Garde" w:eastAsia="Arial" w:hAnsi="ITC Avant Garde" w:cs="Arial"/>
          <w:sz w:val="18"/>
          <w:szCs w:val="18"/>
          <w:lang w:val="es-ES_tradnl"/>
        </w:rPr>
      </w:pPr>
      <w:r w:rsidRPr="005B2961">
        <w:rPr>
          <w:rFonts w:ascii="ITC Avant Garde" w:eastAsia="Arial" w:hAnsi="ITC Avant Garde" w:cs="Arial"/>
          <w:sz w:val="18"/>
          <w:szCs w:val="18"/>
          <w:lang w:val="es-ES_tradnl"/>
        </w:rPr>
        <w:t xml:space="preserve">“DÉCIMO QUINTO. La Comisión Federal de Electricidad cederá totalmente a Telecomunicaciones de México su concesión para instalar, operar y explotar una red pública de telecomunicaciones y le transferirá todos los recursos y equipos necesarios para la operación y explotación de dicha concesión, con excepción de la fibra óptica, derechos de vía, torres, </w:t>
      </w:r>
      <w:proofErr w:type="spellStart"/>
      <w:r w:rsidRPr="005B2961">
        <w:rPr>
          <w:rFonts w:ascii="ITC Avant Garde" w:eastAsia="Arial" w:hAnsi="ITC Avant Garde" w:cs="Arial"/>
          <w:sz w:val="18"/>
          <w:szCs w:val="18"/>
          <w:lang w:val="es-ES_tradnl"/>
        </w:rPr>
        <w:t>postería</w:t>
      </w:r>
      <w:proofErr w:type="spellEnd"/>
      <w:r w:rsidRPr="005B2961">
        <w:rPr>
          <w:rFonts w:ascii="ITC Avant Garde" w:eastAsia="Arial" w:hAnsi="ITC Avant Garde" w:cs="Arial"/>
          <w:sz w:val="18"/>
          <w:szCs w:val="18"/>
          <w:lang w:val="es-ES_tradnl"/>
        </w:rPr>
        <w:t xml:space="preserve">, edificios e instalaciones que quedarán a cargo de la Comisión Federal de Electricidad, garantizando a Telecomunicaciones de México el acceso efectivo y compartido a dicha infraestructura para su aprovechamiento eficiente, a fin de lograr el adecuado ejercicio de sus funciones y el cumplimiento de sus objetivos. Telecomunicaciones de México tendrá atribuciones y recursos para promover el acceso a servicios de banda ancha, planear, diseñar y ejecutar la construcción y el crecimiento de una robusta red troncal de telecomunicaciones de cobertura nacional, así como la comunicación vía satélite y la prestación del servicio de telégrafos. Lo anterior, de conformidad </w:t>
      </w:r>
      <w:r w:rsidRPr="005B2961">
        <w:rPr>
          <w:rFonts w:ascii="ITC Avant Garde" w:eastAsia="Arial" w:hAnsi="ITC Avant Garde" w:cs="Arial"/>
          <w:b/>
          <w:sz w:val="18"/>
          <w:szCs w:val="18"/>
          <w:lang w:val="es-ES_tradnl"/>
        </w:rPr>
        <w:t>con los lineamientos y acuerdos emitidos por el Instituto Federal de Telecomunicaciones</w:t>
      </w:r>
      <w:r w:rsidRPr="005B2961">
        <w:rPr>
          <w:rFonts w:ascii="ITC Avant Garde" w:eastAsia="Arial" w:hAnsi="ITC Avant Garde" w:cs="Arial"/>
          <w:sz w:val="18"/>
          <w:szCs w:val="18"/>
          <w:lang w:val="es-ES_tradnl"/>
        </w:rPr>
        <w:t xml:space="preserve">.” </w:t>
      </w:r>
      <w:r w:rsidR="009907D8" w:rsidRPr="005B2961">
        <w:rPr>
          <w:rFonts w:ascii="ITC Avant Garde" w:eastAsia="Arial" w:hAnsi="ITC Avant Garde" w:cs="Arial"/>
          <w:sz w:val="18"/>
          <w:szCs w:val="18"/>
          <w:lang w:val="es-ES_tradnl"/>
        </w:rPr>
        <w:t>[Énfasis añadido]</w:t>
      </w:r>
    </w:p>
    <w:p w14:paraId="578B89CF" w14:textId="77777777" w:rsidR="003C187A" w:rsidRPr="00F7548C" w:rsidRDefault="003C187A" w:rsidP="00233507">
      <w:pPr>
        <w:tabs>
          <w:tab w:val="num" w:pos="1220"/>
          <w:tab w:val="num" w:pos="1940"/>
        </w:tabs>
        <w:spacing w:line="276" w:lineRule="auto"/>
        <w:jc w:val="both"/>
        <w:rPr>
          <w:rFonts w:ascii="ITC Avant Garde" w:eastAsia="Arial" w:hAnsi="ITC Avant Garde" w:cs="Arial"/>
          <w:sz w:val="22"/>
          <w:szCs w:val="22"/>
          <w:lang w:val="es-ES_tradnl"/>
        </w:rPr>
      </w:pPr>
    </w:p>
    <w:p w14:paraId="3E292A10" w14:textId="6E641294" w:rsidR="003C187A" w:rsidRPr="00F7548C" w:rsidRDefault="003C187A" w:rsidP="007330E8">
      <w:pPr>
        <w:spacing w:after="160" w:line="259"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Asimismo, conforme a lo dispuesto en el artículo 15</w:t>
      </w:r>
      <w:r w:rsidR="00FE0FFB" w:rsidRPr="00F7548C">
        <w:rPr>
          <w:rFonts w:ascii="ITC Avant Garde" w:eastAsia="Arial" w:hAnsi="ITC Avant Garde" w:cs="Arial"/>
          <w:sz w:val="22"/>
          <w:szCs w:val="22"/>
          <w:lang w:val="es-ES_tradnl"/>
        </w:rPr>
        <w:t>,</w:t>
      </w:r>
      <w:r w:rsidRPr="00F7548C">
        <w:rPr>
          <w:rFonts w:ascii="ITC Avant Garde" w:eastAsia="Arial" w:hAnsi="ITC Avant Garde" w:cs="Arial"/>
          <w:sz w:val="22"/>
          <w:szCs w:val="22"/>
          <w:lang w:val="es-ES_tradnl"/>
        </w:rPr>
        <w:t xml:space="preserve"> fracción XII</w:t>
      </w:r>
      <w:r w:rsidR="007330E8">
        <w:rPr>
          <w:rFonts w:ascii="ITC Avant Garde" w:eastAsia="Arial" w:hAnsi="ITC Avant Garde" w:cs="Arial"/>
          <w:sz w:val="22"/>
          <w:szCs w:val="22"/>
          <w:lang w:val="es-ES_tradnl"/>
        </w:rPr>
        <w:t>I</w:t>
      </w:r>
      <w:r w:rsidRPr="00F7548C">
        <w:rPr>
          <w:rFonts w:ascii="ITC Avant Garde" w:eastAsia="Arial" w:hAnsi="ITC Avant Garde" w:cs="Arial"/>
          <w:sz w:val="22"/>
          <w:szCs w:val="22"/>
          <w:lang w:val="es-ES_tradnl"/>
        </w:rPr>
        <w:t xml:space="preserve"> de la Ley, corresponde al Pleno</w:t>
      </w:r>
      <w:r w:rsidR="00FA593B" w:rsidRPr="00F7548C">
        <w:rPr>
          <w:rFonts w:ascii="ITC Avant Garde" w:eastAsia="Arial" w:hAnsi="ITC Avant Garde" w:cs="Arial"/>
          <w:sz w:val="22"/>
          <w:szCs w:val="22"/>
          <w:lang w:val="es-ES_tradnl"/>
        </w:rPr>
        <w:t xml:space="preserve"> del Instituto,</w:t>
      </w:r>
      <w:r w:rsidRPr="00F7548C">
        <w:rPr>
          <w:rFonts w:ascii="ITC Avant Garde" w:eastAsia="Arial" w:hAnsi="ITC Avant Garde" w:cs="Arial"/>
          <w:sz w:val="22"/>
          <w:szCs w:val="22"/>
          <w:lang w:val="es-ES_tradnl"/>
        </w:rPr>
        <w:t xml:space="preserve"> </w:t>
      </w:r>
      <w:r w:rsidR="007330E8">
        <w:rPr>
          <w:rFonts w:ascii="ITC Avant Garde" w:eastAsia="Arial" w:hAnsi="ITC Avant Garde" w:cs="Arial"/>
          <w:sz w:val="22"/>
          <w:szCs w:val="22"/>
          <w:lang w:val="es-ES_tradnl"/>
        </w:rPr>
        <w:t>r</w:t>
      </w:r>
      <w:r w:rsidR="007330E8" w:rsidRPr="007330E8">
        <w:rPr>
          <w:rFonts w:ascii="ITC Avant Garde" w:eastAsia="Arial" w:hAnsi="ITC Avant Garde" w:cs="Arial"/>
          <w:sz w:val="22"/>
          <w:szCs w:val="22"/>
          <w:lang w:val="es-ES_tradnl"/>
        </w:rPr>
        <w:t>esolver los desacuerdos que se susciten entre conc</w:t>
      </w:r>
      <w:r w:rsidR="007330E8">
        <w:rPr>
          <w:rFonts w:ascii="ITC Avant Garde" w:eastAsia="Arial" w:hAnsi="ITC Avant Garde" w:cs="Arial"/>
          <w:sz w:val="22"/>
          <w:szCs w:val="22"/>
          <w:lang w:val="es-ES_tradnl"/>
        </w:rPr>
        <w:t xml:space="preserve">esionarios de redes públicas de </w:t>
      </w:r>
      <w:r w:rsidR="007330E8" w:rsidRPr="007330E8">
        <w:rPr>
          <w:rFonts w:ascii="ITC Avant Garde" w:eastAsia="Arial" w:hAnsi="ITC Avant Garde" w:cs="Arial"/>
          <w:sz w:val="22"/>
          <w:szCs w:val="22"/>
          <w:lang w:val="es-ES_tradnl"/>
        </w:rPr>
        <w:t>telecomunicaciones, entre comercializadores, entre conce</w:t>
      </w:r>
      <w:r w:rsidR="007330E8">
        <w:rPr>
          <w:rFonts w:ascii="ITC Avant Garde" w:eastAsia="Arial" w:hAnsi="ITC Avant Garde" w:cs="Arial"/>
          <w:sz w:val="22"/>
          <w:szCs w:val="22"/>
          <w:lang w:val="es-ES_tradnl"/>
        </w:rPr>
        <w:t xml:space="preserve">sionarios y comercializadores o </w:t>
      </w:r>
      <w:r w:rsidR="007330E8" w:rsidRPr="007330E8">
        <w:rPr>
          <w:rFonts w:ascii="ITC Avant Garde" w:eastAsia="Arial" w:hAnsi="ITC Avant Garde" w:cs="Arial"/>
          <w:sz w:val="22"/>
          <w:szCs w:val="22"/>
          <w:lang w:val="es-ES_tradnl"/>
        </w:rPr>
        <w:t>entre cualquiera de éstos con prestadores de servicios a concesionarios</w:t>
      </w:r>
      <w:r w:rsidR="007330E8">
        <w:rPr>
          <w:rFonts w:ascii="ITC Avant Garde" w:eastAsia="Arial" w:hAnsi="ITC Avant Garde" w:cs="Arial"/>
          <w:sz w:val="22"/>
          <w:szCs w:val="22"/>
          <w:lang w:val="es-ES_tradnl"/>
        </w:rPr>
        <w:t>.</w:t>
      </w:r>
    </w:p>
    <w:p w14:paraId="515B3E73" w14:textId="1029985A"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b/>
          <w:sz w:val="22"/>
          <w:szCs w:val="22"/>
          <w:lang w:val="es-ES_tradnl"/>
        </w:rPr>
        <w:t>SEGUNDO.- Importancia de las redes troncales.</w:t>
      </w:r>
      <w:r w:rsidRPr="00F7548C">
        <w:rPr>
          <w:rFonts w:ascii="ITC Avant Garde" w:eastAsia="Arial" w:hAnsi="ITC Avant Garde" w:cs="Arial"/>
          <w:sz w:val="22"/>
          <w:szCs w:val="22"/>
          <w:lang w:val="es-ES_tradnl"/>
        </w:rPr>
        <w:t xml:space="preserve"> Para que las telecomunicaciones puedan contribuir al desarrollo del país y se pueda tutelar el derecho a los servicios públicos de telecomunicaciones incluyendo el de banda ancha e Internet, se requieren redes de acceso y transporte de datos de alta capacidad. Las redes troncales permiten transportar el creciente tráfico de datos generado por los servicios convergentes, por lo que el despliegue de esta infraestructura resulta necesari</w:t>
      </w:r>
      <w:r w:rsidR="00100CA4">
        <w:rPr>
          <w:rFonts w:ascii="ITC Avant Garde" w:eastAsia="Arial" w:hAnsi="ITC Avant Garde" w:cs="Arial"/>
          <w:sz w:val="22"/>
          <w:szCs w:val="22"/>
          <w:lang w:val="es-ES_tradnl"/>
        </w:rPr>
        <w:t>o</w:t>
      </w:r>
      <w:r w:rsidRPr="00F7548C">
        <w:rPr>
          <w:rFonts w:ascii="ITC Avant Garde" w:eastAsia="Arial" w:hAnsi="ITC Avant Garde" w:cs="Arial"/>
          <w:sz w:val="22"/>
          <w:szCs w:val="22"/>
          <w:lang w:val="es-ES_tradnl"/>
        </w:rPr>
        <w:t xml:space="preserve"> para fomentar su desarrollo. </w:t>
      </w:r>
    </w:p>
    <w:p w14:paraId="34779DF1" w14:textId="77777777"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p>
    <w:p w14:paraId="6BF2EA0F" w14:textId="24B70048"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lastRenderedPageBreak/>
        <w:t xml:space="preserve">México cuenta </w:t>
      </w:r>
      <w:r w:rsidR="00501F39">
        <w:rPr>
          <w:rFonts w:ascii="ITC Avant Garde" w:eastAsia="Arial" w:hAnsi="ITC Avant Garde" w:cs="Arial"/>
          <w:sz w:val="22"/>
          <w:szCs w:val="22"/>
          <w:lang w:val="es-ES_tradnl"/>
        </w:rPr>
        <w:t>con redes de transporte, siendo la red de transporte con mayor capilaridad y presencia a nivel nacional la del Agente Económico Preponderante</w:t>
      </w:r>
      <w:r w:rsidRPr="00F7548C">
        <w:rPr>
          <w:rFonts w:ascii="ITC Avant Garde" w:eastAsia="Arial" w:hAnsi="ITC Avant Garde" w:cs="Arial"/>
          <w:sz w:val="22"/>
          <w:szCs w:val="22"/>
          <w:lang w:val="es-ES_tradnl"/>
        </w:rPr>
        <w:t xml:space="preserve">, </w:t>
      </w:r>
      <w:r w:rsidR="009907D8" w:rsidRPr="00F7548C">
        <w:rPr>
          <w:rFonts w:ascii="ITC Avant Garde" w:eastAsia="Arial" w:hAnsi="ITC Avant Garde" w:cs="Arial"/>
          <w:sz w:val="22"/>
          <w:szCs w:val="22"/>
          <w:lang w:val="es-ES_tradnl"/>
        </w:rPr>
        <w:t xml:space="preserve">mientras que </w:t>
      </w:r>
      <w:r w:rsidRPr="00F7548C">
        <w:rPr>
          <w:rFonts w:ascii="ITC Avant Garde" w:eastAsia="Arial" w:hAnsi="ITC Avant Garde" w:cs="Arial"/>
          <w:sz w:val="22"/>
          <w:szCs w:val="22"/>
          <w:lang w:val="es-ES_tradnl"/>
        </w:rPr>
        <w:t>las demás redes existentes son de alcance regional. Sin redes de transporte de alta capacidad, no es posible tener acceso a servicios robustos de banda ancha para la población. En general, el diagnóstico</w:t>
      </w:r>
      <w:r w:rsidR="00E8514F" w:rsidRPr="00F7548C">
        <w:rPr>
          <w:rFonts w:ascii="ITC Avant Garde" w:eastAsia="Arial" w:hAnsi="ITC Avant Garde" w:cs="Arial"/>
          <w:sz w:val="22"/>
          <w:szCs w:val="22"/>
          <w:lang w:val="es-ES_tradnl"/>
        </w:rPr>
        <w:t xml:space="preserve"> de las</w:t>
      </w:r>
      <w:r w:rsidRPr="00F7548C">
        <w:rPr>
          <w:rFonts w:ascii="ITC Avant Garde" w:eastAsia="Arial" w:hAnsi="ITC Avant Garde" w:cs="Arial"/>
          <w:sz w:val="22"/>
          <w:szCs w:val="22"/>
          <w:lang w:val="es-ES_tradnl"/>
        </w:rPr>
        <w:t xml:space="preserve"> redes </w:t>
      </w:r>
      <w:r w:rsidR="00E8514F" w:rsidRPr="00F7548C">
        <w:rPr>
          <w:rFonts w:ascii="ITC Avant Garde" w:eastAsia="Arial" w:hAnsi="ITC Avant Garde" w:cs="Arial"/>
          <w:sz w:val="22"/>
          <w:szCs w:val="22"/>
          <w:lang w:val="es-ES_tradnl"/>
        </w:rPr>
        <w:t>de transporte</w:t>
      </w:r>
      <w:r w:rsidRPr="00F7548C">
        <w:rPr>
          <w:rFonts w:ascii="ITC Avant Garde" w:eastAsia="Arial" w:hAnsi="ITC Avant Garde" w:cs="Arial"/>
          <w:sz w:val="22"/>
          <w:szCs w:val="22"/>
          <w:lang w:val="es-ES_tradnl"/>
        </w:rPr>
        <w:t xml:space="preserve"> en México</w:t>
      </w:r>
      <w:r w:rsidR="00E8514F" w:rsidRPr="00F7548C">
        <w:rPr>
          <w:rFonts w:ascii="ITC Avant Garde" w:eastAsia="Arial" w:hAnsi="ITC Avant Garde" w:cs="Arial"/>
          <w:sz w:val="22"/>
          <w:szCs w:val="22"/>
          <w:lang w:val="es-ES_tradnl"/>
        </w:rPr>
        <w:t xml:space="preserve"> se resume en los siguientes puntos</w:t>
      </w:r>
      <w:r w:rsidRPr="00F7548C">
        <w:rPr>
          <w:rFonts w:ascii="ITC Avant Garde" w:eastAsia="Arial" w:hAnsi="ITC Avant Garde" w:cs="Arial"/>
          <w:sz w:val="22"/>
          <w:szCs w:val="22"/>
          <w:lang w:val="es-ES_tradnl"/>
        </w:rPr>
        <w:t>:</w:t>
      </w:r>
      <w:r w:rsidR="00AC6F55">
        <w:rPr>
          <w:rStyle w:val="Refdenotaalpie"/>
          <w:rFonts w:ascii="ITC Avant Garde" w:eastAsia="Arial" w:hAnsi="ITC Avant Garde" w:cs="Arial"/>
          <w:sz w:val="22"/>
          <w:szCs w:val="22"/>
          <w:lang w:val="es-ES_tradnl"/>
        </w:rPr>
        <w:footnoteReference w:id="1"/>
      </w:r>
    </w:p>
    <w:p w14:paraId="610A348A" w14:textId="77777777"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p>
    <w:p w14:paraId="5F8E6BF8" w14:textId="6C820735" w:rsidR="00233507" w:rsidRPr="00F7548C" w:rsidRDefault="00E8514F" w:rsidP="005B2961">
      <w:pPr>
        <w:pStyle w:val="Prrafodelista"/>
        <w:numPr>
          <w:ilvl w:val="0"/>
          <w:numId w:val="21"/>
        </w:numPr>
        <w:tabs>
          <w:tab w:val="num" w:pos="320"/>
          <w:tab w:val="num" w:pos="1940"/>
        </w:tabs>
        <w:spacing w:before="240" w:line="276" w:lineRule="auto"/>
        <w:ind w:left="720"/>
        <w:jc w:val="both"/>
        <w:rPr>
          <w:rFonts w:ascii="ITC Avant Garde" w:eastAsia="Arial" w:hAnsi="ITC Avant Garde" w:cs="Arial"/>
          <w:sz w:val="22"/>
          <w:szCs w:val="22"/>
        </w:rPr>
      </w:pPr>
      <w:r w:rsidRPr="00F7548C">
        <w:rPr>
          <w:rFonts w:ascii="ITC Avant Garde" w:eastAsia="Arial" w:hAnsi="ITC Avant Garde" w:cs="Arial"/>
          <w:b/>
          <w:sz w:val="22"/>
          <w:szCs w:val="22"/>
        </w:rPr>
        <w:t>C</w:t>
      </w:r>
      <w:r w:rsidR="00233507" w:rsidRPr="00F7548C">
        <w:rPr>
          <w:rFonts w:ascii="ITC Avant Garde" w:eastAsia="Arial" w:hAnsi="ITC Avant Garde" w:cs="Arial"/>
          <w:b/>
          <w:sz w:val="22"/>
          <w:szCs w:val="22"/>
        </w:rPr>
        <w:t>apilaridad limitada</w:t>
      </w:r>
      <w:r w:rsidR="00233507" w:rsidRPr="00F7548C">
        <w:rPr>
          <w:rFonts w:ascii="ITC Avant Garde" w:eastAsia="Arial" w:hAnsi="ITC Avant Garde" w:cs="Arial"/>
          <w:sz w:val="22"/>
          <w:szCs w:val="22"/>
        </w:rPr>
        <w:t xml:space="preserve">. </w:t>
      </w:r>
      <w:r w:rsidRPr="00F7548C">
        <w:rPr>
          <w:rFonts w:ascii="ITC Avant Garde" w:eastAsia="Arial" w:hAnsi="ITC Avant Garde" w:cs="Arial"/>
          <w:sz w:val="22"/>
          <w:szCs w:val="22"/>
        </w:rPr>
        <w:t>La falta de infraestructura de redes de transporte a una distancia razonable, ha generado que no existan incentivos para el despliegue de redes de acceso que puedan proveer servicios de banda ancha en</w:t>
      </w:r>
      <w:r w:rsidR="00501F39">
        <w:rPr>
          <w:rFonts w:ascii="ITC Avant Garde" w:eastAsia="Arial" w:hAnsi="ITC Avant Garde" w:cs="Arial"/>
          <w:sz w:val="22"/>
          <w:szCs w:val="22"/>
        </w:rPr>
        <w:t xml:space="preserve"> </w:t>
      </w:r>
      <w:r w:rsidRPr="00F7548C">
        <w:rPr>
          <w:rFonts w:ascii="ITC Avant Garde" w:eastAsia="Arial" w:hAnsi="ITC Avant Garde" w:cs="Arial"/>
          <w:sz w:val="22"/>
          <w:szCs w:val="22"/>
        </w:rPr>
        <w:t>localidades</w:t>
      </w:r>
      <w:r w:rsidR="00501F39">
        <w:rPr>
          <w:rFonts w:ascii="ITC Avant Garde" w:eastAsia="Arial" w:hAnsi="ITC Avant Garde" w:cs="Arial"/>
          <w:sz w:val="22"/>
          <w:szCs w:val="22"/>
        </w:rPr>
        <w:t xml:space="preserve"> de menor tamaño y que únicamente</w:t>
      </w:r>
      <w:r w:rsidR="00233507" w:rsidRPr="00F7548C">
        <w:rPr>
          <w:rFonts w:ascii="ITC Avant Garde" w:eastAsia="Arial" w:hAnsi="ITC Avant Garde" w:cs="Arial"/>
          <w:sz w:val="22"/>
          <w:szCs w:val="22"/>
        </w:rPr>
        <w:t xml:space="preserve"> cuentan con servicios básicos de voz, como la telefonía pública.</w:t>
      </w:r>
    </w:p>
    <w:p w14:paraId="75D10120" w14:textId="77777777" w:rsidR="00233507" w:rsidRPr="00F7548C" w:rsidRDefault="00233507" w:rsidP="005B2961">
      <w:pPr>
        <w:pStyle w:val="Prrafodelista"/>
        <w:numPr>
          <w:ilvl w:val="0"/>
          <w:numId w:val="21"/>
        </w:numPr>
        <w:tabs>
          <w:tab w:val="num" w:pos="320"/>
          <w:tab w:val="num" w:pos="1940"/>
        </w:tabs>
        <w:spacing w:before="240" w:line="276" w:lineRule="auto"/>
        <w:ind w:left="720"/>
        <w:jc w:val="both"/>
        <w:rPr>
          <w:rFonts w:ascii="ITC Avant Garde" w:eastAsia="Arial" w:hAnsi="ITC Avant Garde" w:cs="Arial"/>
          <w:sz w:val="22"/>
          <w:szCs w:val="22"/>
        </w:rPr>
      </w:pPr>
      <w:r w:rsidRPr="00F7548C">
        <w:rPr>
          <w:rFonts w:ascii="ITC Avant Garde" w:eastAsia="Arial" w:hAnsi="ITC Avant Garde" w:cs="Arial"/>
          <w:b/>
          <w:sz w:val="22"/>
          <w:szCs w:val="22"/>
        </w:rPr>
        <w:t>Falta de actualización y modernización de redes de fibra existentes</w:t>
      </w:r>
      <w:r w:rsidRPr="00F7548C">
        <w:rPr>
          <w:rFonts w:ascii="ITC Avant Garde" w:eastAsia="Arial" w:hAnsi="ITC Avant Garde" w:cs="Arial"/>
          <w:sz w:val="22"/>
          <w:szCs w:val="22"/>
        </w:rPr>
        <w:t xml:space="preserve">. Parte de las redes de fibra (incluyendo la red de la CFE) especialmente aquellas que llegan a ciudades de pequeño y mediano tamaño, no cuenta con tecnología capaz de soportar nuevos y mejores servicios que demandan un mayor ancho de banda. </w:t>
      </w:r>
    </w:p>
    <w:p w14:paraId="6E252860" w14:textId="18C963DA" w:rsidR="00233507" w:rsidRPr="00F7548C" w:rsidRDefault="00233507" w:rsidP="005B2961">
      <w:pPr>
        <w:pStyle w:val="Prrafodelista"/>
        <w:numPr>
          <w:ilvl w:val="0"/>
          <w:numId w:val="21"/>
        </w:numPr>
        <w:tabs>
          <w:tab w:val="num" w:pos="320"/>
          <w:tab w:val="num" w:pos="1940"/>
        </w:tabs>
        <w:spacing w:before="240" w:line="276" w:lineRule="auto"/>
        <w:ind w:left="720"/>
        <w:jc w:val="both"/>
        <w:rPr>
          <w:rFonts w:ascii="ITC Avant Garde" w:eastAsia="Arial" w:hAnsi="ITC Avant Garde" w:cs="Arial"/>
          <w:sz w:val="22"/>
          <w:szCs w:val="22"/>
        </w:rPr>
      </w:pPr>
      <w:r w:rsidRPr="00F7548C">
        <w:rPr>
          <w:rFonts w:ascii="ITC Avant Garde" w:eastAsia="Arial" w:hAnsi="ITC Avant Garde" w:cs="Arial"/>
          <w:b/>
          <w:sz w:val="22"/>
          <w:szCs w:val="22"/>
        </w:rPr>
        <w:t>Competencia nula o limitada</w:t>
      </w:r>
      <w:r w:rsidRPr="00F7548C">
        <w:rPr>
          <w:rFonts w:ascii="ITC Avant Garde" w:eastAsia="Arial" w:hAnsi="ITC Avant Garde" w:cs="Arial"/>
          <w:sz w:val="22"/>
          <w:szCs w:val="22"/>
        </w:rPr>
        <w:t xml:space="preserve">. Al existir una sola red </w:t>
      </w:r>
      <w:r w:rsidR="00501F39">
        <w:rPr>
          <w:rFonts w:ascii="ITC Avant Garde" w:eastAsia="Arial" w:hAnsi="ITC Avant Garde" w:cs="Arial"/>
          <w:sz w:val="22"/>
          <w:szCs w:val="22"/>
        </w:rPr>
        <w:t xml:space="preserve">de transporte con mayor </w:t>
      </w:r>
      <w:r w:rsidRPr="00F7548C">
        <w:rPr>
          <w:rFonts w:ascii="ITC Avant Garde" w:eastAsia="Arial" w:hAnsi="ITC Avant Garde" w:cs="Arial"/>
          <w:sz w:val="22"/>
          <w:szCs w:val="22"/>
        </w:rPr>
        <w:t>cobertura nacional, hay localidades donde solamente tiene presencia dicha red, y esta situación genera incentivos para no establecer precios competitivos, o para limitar o degradar el acceso de terceros.</w:t>
      </w:r>
    </w:p>
    <w:p w14:paraId="228ADF8A" w14:textId="77777777"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p>
    <w:p w14:paraId="44AE83EE" w14:textId="01085261" w:rsidR="00233507" w:rsidRPr="00F7548C" w:rsidRDefault="00AC6F55" w:rsidP="00233507">
      <w:pPr>
        <w:tabs>
          <w:tab w:val="num" w:pos="1220"/>
          <w:tab w:val="num" w:pos="1940"/>
        </w:tabs>
        <w:spacing w:line="276" w:lineRule="auto"/>
        <w:jc w:val="both"/>
        <w:rPr>
          <w:rFonts w:ascii="ITC Avant Garde" w:eastAsia="Arial" w:hAnsi="ITC Avant Garde" w:cs="Arial"/>
          <w:sz w:val="22"/>
          <w:szCs w:val="22"/>
          <w:lang w:val="es-ES_tradnl"/>
        </w:rPr>
      </w:pPr>
      <w:r>
        <w:rPr>
          <w:rFonts w:ascii="ITC Avant Garde" w:eastAsia="Arial" w:hAnsi="ITC Avant Garde" w:cs="Arial"/>
          <w:sz w:val="22"/>
          <w:szCs w:val="22"/>
          <w:lang w:val="es-ES_tradnl"/>
        </w:rPr>
        <w:t>D</w:t>
      </w:r>
      <w:r w:rsidR="00233507" w:rsidRPr="00F7548C">
        <w:rPr>
          <w:rFonts w:ascii="ITC Avant Garde" w:eastAsia="Arial" w:hAnsi="ITC Avant Garde" w:cs="Arial"/>
          <w:sz w:val="22"/>
          <w:szCs w:val="22"/>
          <w:lang w:val="es-ES_tradnl"/>
        </w:rPr>
        <w:t xml:space="preserve">isponer de más puntos de presencia de una red de transporte puede crear incentivos para desplegar más redes de acceso, ya que los concesionarios de estas últimas reducen los costos </w:t>
      </w:r>
      <w:r w:rsidR="00501F39">
        <w:rPr>
          <w:rFonts w:ascii="ITC Avant Garde" w:eastAsia="Arial" w:hAnsi="ITC Avant Garde" w:cs="Arial"/>
          <w:sz w:val="22"/>
          <w:szCs w:val="22"/>
          <w:lang w:val="es-ES_tradnl"/>
        </w:rPr>
        <w:t xml:space="preserve">al poder </w:t>
      </w:r>
      <w:r w:rsidR="00233507" w:rsidRPr="00F7548C">
        <w:rPr>
          <w:rFonts w:ascii="ITC Avant Garde" w:eastAsia="Arial" w:hAnsi="ITC Avant Garde" w:cs="Arial"/>
          <w:sz w:val="22"/>
          <w:szCs w:val="22"/>
          <w:lang w:val="es-ES_tradnl"/>
        </w:rPr>
        <w:t xml:space="preserve">entregar el tráfico de datos y voz en puntos más cercanos. </w:t>
      </w:r>
    </w:p>
    <w:p w14:paraId="61322C4F" w14:textId="77777777" w:rsidR="00C75083" w:rsidRPr="00F7548C" w:rsidRDefault="00C75083" w:rsidP="00224E80">
      <w:pPr>
        <w:pStyle w:val="estilo30"/>
        <w:spacing w:before="0" w:beforeAutospacing="0" w:after="0" w:afterAutospacing="0" w:line="276" w:lineRule="auto"/>
        <w:jc w:val="both"/>
        <w:rPr>
          <w:rFonts w:eastAsia="Arial"/>
          <w:lang w:val="es-ES_tradnl"/>
        </w:rPr>
      </w:pPr>
    </w:p>
    <w:p w14:paraId="659C54B9" w14:textId="1FD999BC" w:rsidR="005C466F" w:rsidRPr="00F7548C" w:rsidRDefault="00C75083"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b/>
          <w:sz w:val="22"/>
          <w:szCs w:val="22"/>
          <w:lang w:val="es-ES_tradnl"/>
        </w:rPr>
        <w:t>TERCERO.- Evidencia internacional de acceso y uso compartido de infraestructura de telecomunicaciones y otras industrias.</w:t>
      </w:r>
      <w:r w:rsidRPr="00F7548C">
        <w:rPr>
          <w:rFonts w:ascii="ITC Avant Garde" w:eastAsia="Arial" w:hAnsi="ITC Avant Garde" w:cs="Arial"/>
          <w:sz w:val="22"/>
          <w:szCs w:val="22"/>
          <w:lang w:val="es-ES_tradnl"/>
        </w:rPr>
        <w:t xml:space="preserve"> Gobiernos y reguladores han impulsa</w:t>
      </w:r>
      <w:r w:rsidR="00143927" w:rsidRPr="00F7548C">
        <w:rPr>
          <w:rFonts w:ascii="ITC Avant Garde" w:eastAsia="Arial" w:hAnsi="ITC Avant Garde" w:cs="Arial"/>
          <w:sz w:val="22"/>
          <w:szCs w:val="22"/>
          <w:lang w:val="es-ES_tradnl"/>
        </w:rPr>
        <w:t xml:space="preserve">do el acceso y uso compartido de infraestructura entre sectores. </w:t>
      </w:r>
      <w:r w:rsidR="00F63CBC" w:rsidRPr="00F7548C">
        <w:rPr>
          <w:rFonts w:ascii="ITC Avant Garde" w:eastAsia="Arial" w:hAnsi="ITC Avant Garde" w:cs="Arial"/>
          <w:sz w:val="22"/>
          <w:szCs w:val="22"/>
          <w:lang w:val="es-ES_tradnl"/>
        </w:rPr>
        <w:t xml:space="preserve">En la Unión Europea, se emitió la </w:t>
      </w:r>
      <w:r w:rsidR="00C9603C" w:rsidRPr="00F7548C">
        <w:rPr>
          <w:rFonts w:ascii="ITC Avant Garde" w:eastAsia="Arial" w:hAnsi="ITC Avant Garde" w:cs="Arial"/>
          <w:sz w:val="22"/>
          <w:szCs w:val="22"/>
          <w:lang w:val="es-ES_tradnl"/>
        </w:rPr>
        <w:t xml:space="preserve">Directiva </w:t>
      </w:r>
      <w:r w:rsidR="00F63CBC" w:rsidRPr="00F7548C">
        <w:rPr>
          <w:rFonts w:ascii="ITC Avant Garde" w:eastAsia="Arial" w:hAnsi="ITC Avant Garde" w:cs="Arial"/>
          <w:sz w:val="22"/>
          <w:szCs w:val="22"/>
          <w:lang w:val="es-ES_tradnl"/>
        </w:rPr>
        <w:t xml:space="preserve">2014/61/EU para promover el despliegue de redes de próxima generación, </w:t>
      </w:r>
      <w:r w:rsidR="00A246E7">
        <w:rPr>
          <w:rFonts w:ascii="ITC Avant Garde" w:eastAsia="Arial" w:hAnsi="ITC Avant Garde" w:cs="Arial"/>
          <w:sz w:val="22"/>
          <w:szCs w:val="22"/>
          <w:lang w:val="es-ES_tradnl"/>
        </w:rPr>
        <w:t>mediante</w:t>
      </w:r>
      <w:r w:rsidR="00F63CBC" w:rsidRPr="00F7548C">
        <w:rPr>
          <w:rFonts w:ascii="ITC Avant Garde" w:eastAsia="Arial" w:hAnsi="ITC Avant Garde" w:cs="Arial"/>
          <w:sz w:val="22"/>
          <w:szCs w:val="22"/>
          <w:lang w:val="es-ES_tradnl"/>
        </w:rPr>
        <w:t xml:space="preserve"> el acceso de los proveedores de comunicaciones electrónicas a la infraestructura física de los operadores de red que ofrecen servicios públicos de electricidad, agua</w:t>
      </w:r>
      <w:r w:rsidR="00087CC5" w:rsidRPr="00F7548C">
        <w:rPr>
          <w:rFonts w:ascii="ITC Avant Garde" w:eastAsia="Arial" w:hAnsi="ITC Avant Garde" w:cs="Arial"/>
          <w:sz w:val="22"/>
          <w:szCs w:val="22"/>
          <w:lang w:val="es-ES_tradnl"/>
        </w:rPr>
        <w:t>, gas, drenaje y transporte</w:t>
      </w:r>
      <w:r w:rsidR="00F63CBC" w:rsidRPr="00F7548C">
        <w:rPr>
          <w:rFonts w:ascii="ITC Avant Garde" w:eastAsia="Arial" w:hAnsi="ITC Avant Garde" w:cs="Arial"/>
          <w:sz w:val="22"/>
          <w:szCs w:val="22"/>
          <w:lang w:val="es-ES_tradnl"/>
        </w:rPr>
        <w:t xml:space="preserve">. Entre otros </w:t>
      </w:r>
      <w:r w:rsidR="00F63CBC" w:rsidRPr="00F7548C">
        <w:rPr>
          <w:rFonts w:ascii="ITC Avant Garde" w:eastAsia="Arial" w:hAnsi="ITC Avant Garde" w:cs="Arial"/>
          <w:sz w:val="22"/>
          <w:szCs w:val="22"/>
          <w:lang w:val="es-ES_tradnl"/>
        </w:rPr>
        <w:lastRenderedPageBreak/>
        <w:t xml:space="preserve">aspectos se establecen directrices sobre </w:t>
      </w:r>
      <w:r w:rsidR="005C466F" w:rsidRPr="00F7548C">
        <w:rPr>
          <w:rFonts w:ascii="ITC Avant Garde" w:eastAsia="Arial" w:hAnsi="ITC Avant Garde" w:cs="Arial"/>
          <w:sz w:val="22"/>
          <w:szCs w:val="22"/>
          <w:lang w:val="es-ES_tradnl"/>
        </w:rPr>
        <w:t>los procedimientos de acceso a la infraestructura</w:t>
      </w:r>
      <w:r w:rsidR="00F63CBC" w:rsidRPr="00F7548C">
        <w:rPr>
          <w:rFonts w:ascii="ITC Avant Garde" w:eastAsia="Arial" w:hAnsi="ITC Avant Garde" w:cs="Arial"/>
          <w:sz w:val="22"/>
          <w:szCs w:val="22"/>
          <w:lang w:val="es-ES_tradnl"/>
        </w:rPr>
        <w:t xml:space="preserve"> </w:t>
      </w:r>
      <w:r w:rsidR="005C466F" w:rsidRPr="00F7548C">
        <w:rPr>
          <w:rFonts w:ascii="ITC Avant Garde" w:eastAsia="Arial" w:hAnsi="ITC Avant Garde" w:cs="Arial"/>
          <w:sz w:val="22"/>
          <w:szCs w:val="22"/>
          <w:lang w:val="es-ES_tradnl"/>
        </w:rPr>
        <w:t xml:space="preserve">que involucra la disponibilidad de un mínimo de información que permita planear el despliegue de las redes de telecomunicaciones. Asimismo, resalta la importancia de establecer </w:t>
      </w:r>
      <w:r w:rsidR="00015121" w:rsidRPr="00F7548C">
        <w:rPr>
          <w:rFonts w:ascii="ITC Avant Garde" w:eastAsia="Arial" w:hAnsi="ITC Avant Garde" w:cs="Arial"/>
          <w:sz w:val="22"/>
          <w:szCs w:val="22"/>
          <w:lang w:val="es-ES_tradnl"/>
        </w:rPr>
        <w:t>las prioridades y mecanismos para salvaguardar la infraestructura,</w:t>
      </w:r>
      <w:r w:rsidR="00EA4F8E">
        <w:rPr>
          <w:rFonts w:ascii="ITC Avant Garde" w:eastAsia="Arial" w:hAnsi="ITC Avant Garde" w:cs="Arial"/>
          <w:sz w:val="22"/>
          <w:szCs w:val="22"/>
          <w:lang w:val="es-ES_tradnl"/>
        </w:rPr>
        <w:t xml:space="preserve"> así como para</w:t>
      </w:r>
      <w:r w:rsidR="00015121" w:rsidRPr="00F7548C">
        <w:rPr>
          <w:rFonts w:ascii="ITC Avant Garde" w:eastAsia="Arial" w:hAnsi="ITC Avant Garde" w:cs="Arial"/>
          <w:sz w:val="22"/>
          <w:szCs w:val="22"/>
          <w:lang w:val="es-ES_tradnl"/>
        </w:rPr>
        <w:t xml:space="preserve"> resguardar la seguridad e integridad de las redes de los diversos servicios</w:t>
      </w:r>
      <w:r w:rsidR="0013126B" w:rsidRPr="00F7548C">
        <w:rPr>
          <w:rFonts w:ascii="ITC Avant Garde" w:eastAsia="Arial" w:hAnsi="ITC Avant Garde" w:cs="Arial"/>
          <w:sz w:val="22"/>
          <w:szCs w:val="22"/>
          <w:lang w:val="es-ES_tradnl"/>
        </w:rPr>
        <w:t>.</w:t>
      </w:r>
    </w:p>
    <w:p w14:paraId="5ECFBCF7" w14:textId="77777777" w:rsidR="005C466F" w:rsidRPr="00F7548C" w:rsidRDefault="005C466F" w:rsidP="00233507">
      <w:pPr>
        <w:tabs>
          <w:tab w:val="num" w:pos="1220"/>
          <w:tab w:val="num" w:pos="1940"/>
        </w:tabs>
        <w:spacing w:line="276" w:lineRule="auto"/>
        <w:jc w:val="both"/>
        <w:rPr>
          <w:rFonts w:ascii="ITC Avant Garde" w:eastAsia="Arial" w:hAnsi="ITC Avant Garde" w:cs="Arial"/>
          <w:sz w:val="22"/>
          <w:szCs w:val="22"/>
          <w:lang w:val="es-ES_tradnl"/>
        </w:rPr>
      </w:pPr>
    </w:p>
    <w:p w14:paraId="27D4E9F0" w14:textId="5DBC927D" w:rsidR="005C466F" w:rsidRPr="00F7548C" w:rsidRDefault="00087CC5"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 xml:space="preserve">La Directiva </w:t>
      </w:r>
      <w:r w:rsidR="005C466F" w:rsidRPr="00F7548C">
        <w:rPr>
          <w:rFonts w:ascii="ITC Avant Garde" w:eastAsia="Arial" w:hAnsi="ITC Avant Garde" w:cs="Arial"/>
          <w:sz w:val="22"/>
          <w:szCs w:val="22"/>
          <w:lang w:val="es-ES_tradnl"/>
        </w:rPr>
        <w:t>señala la importancia de coordinar los trabajos de obra civil para aprovechar las externalidades que involucre</w:t>
      </w:r>
      <w:r w:rsidR="00975F82" w:rsidRPr="00F7548C">
        <w:rPr>
          <w:rFonts w:ascii="ITC Avant Garde" w:eastAsia="Arial" w:hAnsi="ITC Avant Garde" w:cs="Arial"/>
          <w:sz w:val="22"/>
          <w:szCs w:val="22"/>
          <w:lang w:val="es-ES_tradnl"/>
        </w:rPr>
        <w:t>n</w:t>
      </w:r>
      <w:r w:rsidR="005C466F" w:rsidRPr="00F7548C">
        <w:rPr>
          <w:rFonts w:ascii="ITC Avant Garde" w:eastAsia="Arial" w:hAnsi="ITC Avant Garde" w:cs="Arial"/>
          <w:sz w:val="22"/>
          <w:szCs w:val="22"/>
          <w:lang w:val="es-ES_tradnl"/>
        </w:rPr>
        <w:t xml:space="preserve"> compartir la infraestructura disponible e incluso la infraestructura que se tenga planeado desplegar. Establece la importancia de que los Estados miembros de la Unión Europea provean regulaciones para un despliegue de infraestructura coordinado</w:t>
      </w:r>
      <w:r w:rsidR="00015121" w:rsidRPr="00F7548C">
        <w:rPr>
          <w:rFonts w:ascii="ITC Avant Garde" w:eastAsia="Arial" w:hAnsi="ITC Avant Garde" w:cs="Arial"/>
          <w:sz w:val="22"/>
          <w:szCs w:val="22"/>
          <w:lang w:val="es-ES_tradnl"/>
        </w:rPr>
        <w:t xml:space="preserve"> o esquemas de </w:t>
      </w:r>
      <w:proofErr w:type="spellStart"/>
      <w:r w:rsidR="00015121" w:rsidRPr="00F7548C">
        <w:rPr>
          <w:rFonts w:ascii="ITC Avant Garde" w:eastAsia="Arial" w:hAnsi="ITC Avant Garde" w:cs="Arial"/>
          <w:sz w:val="22"/>
          <w:szCs w:val="22"/>
          <w:lang w:val="es-ES_tradnl"/>
        </w:rPr>
        <w:t>co</w:t>
      </w:r>
      <w:proofErr w:type="spellEnd"/>
      <w:r w:rsidR="00015121" w:rsidRPr="00F7548C">
        <w:rPr>
          <w:rFonts w:ascii="ITC Avant Garde" w:eastAsia="Arial" w:hAnsi="ITC Avant Garde" w:cs="Arial"/>
          <w:sz w:val="22"/>
          <w:szCs w:val="22"/>
          <w:lang w:val="es-ES_tradnl"/>
        </w:rPr>
        <w:t>-despliegue</w:t>
      </w:r>
      <w:r w:rsidR="005C466F" w:rsidRPr="00F7548C">
        <w:rPr>
          <w:rFonts w:ascii="ITC Avant Garde" w:eastAsia="Arial" w:hAnsi="ITC Avant Garde" w:cs="Arial"/>
          <w:sz w:val="22"/>
          <w:szCs w:val="22"/>
          <w:lang w:val="es-ES_tradnl"/>
        </w:rPr>
        <w:t xml:space="preserve">. </w:t>
      </w:r>
    </w:p>
    <w:p w14:paraId="01265BB9" w14:textId="77777777" w:rsidR="00C9603C" w:rsidRPr="00F7548C" w:rsidRDefault="00C9603C" w:rsidP="00233507">
      <w:pPr>
        <w:tabs>
          <w:tab w:val="num" w:pos="1220"/>
          <w:tab w:val="num" w:pos="1940"/>
        </w:tabs>
        <w:spacing w:line="276" w:lineRule="auto"/>
        <w:jc w:val="both"/>
        <w:rPr>
          <w:rFonts w:ascii="ITC Avant Garde" w:eastAsia="Arial" w:hAnsi="ITC Avant Garde" w:cs="Arial"/>
          <w:sz w:val="22"/>
          <w:szCs w:val="22"/>
          <w:lang w:val="es-ES_tradnl"/>
        </w:rPr>
      </w:pPr>
    </w:p>
    <w:p w14:paraId="24566ACA" w14:textId="61A792C9" w:rsidR="00C75083" w:rsidRPr="00F7548C" w:rsidRDefault="0013126B" w:rsidP="00233507">
      <w:pPr>
        <w:tabs>
          <w:tab w:val="num" w:pos="1220"/>
          <w:tab w:val="num" w:pos="1940"/>
        </w:tabs>
        <w:spacing w:line="276" w:lineRule="auto"/>
        <w:jc w:val="both"/>
        <w:rPr>
          <w:rFonts w:ascii="ITC Avant Garde" w:eastAsia="Arial" w:hAnsi="ITC Avant Garde" w:cs="Arial"/>
          <w:b/>
          <w:sz w:val="22"/>
          <w:szCs w:val="22"/>
          <w:lang w:val="es-ES_tradnl"/>
        </w:rPr>
      </w:pPr>
      <w:r w:rsidRPr="00F7548C">
        <w:rPr>
          <w:rFonts w:ascii="ITC Avant Garde" w:eastAsia="Arial" w:hAnsi="ITC Avant Garde" w:cs="Arial"/>
          <w:sz w:val="22"/>
          <w:szCs w:val="22"/>
          <w:lang w:val="es-ES_tradnl"/>
        </w:rPr>
        <w:t>En el caso particular de Portugal,</w:t>
      </w:r>
      <w:r w:rsidR="00143927" w:rsidRPr="00F7548C">
        <w:rPr>
          <w:rFonts w:ascii="ITC Avant Garde" w:eastAsia="Arial" w:hAnsi="ITC Avant Garde" w:cs="Arial"/>
          <w:sz w:val="22"/>
          <w:szCs w:val="22"/>
          <w:lang w:val="es-ES_tradnl"/>
        </w:rPr>
        <w:t xml:space="preserve"> la autoridad regulatoria (Autoridad Nacional de Comunicaciones-ANACOM) extendió la obligación de compartición de infraestructura física como edificios, ductos, mástiles, pozos, casetas, entre otros elementos, a empresas de gas, agua, transporte, trenes, además de otras entidades bajo supervisión del Estado y autoridades locales.</w:t>
      </w:r>
    </w:p>
    <w:p w14:paraId="22369DF4" w14:textId="77777777" w:rsidR="00C75083" w:rsidRPr="00F7548C" w:rsidRDefault="00C75083" w:rsidP="00233507">
      <w:pPr>
        <w:tabs>
          <w:tab w:val="num" w:pos="1220"/>
          <w:tab w:val="num" w:pos="1940"/>
        </w:tabs>
        <w:spacing w:line="276" w:lineRule="auto"/>
        <w:jc w:val="both"/>
        <w:rPr>
          <w:rFonts w:ascii="ITC Avant Garde" w:eastAsia="Arial" w:hAnsi="ITC Avant Garde" w:cs="Arial"/>
          <w:b/>
          <w:sz w:val="22"/>
          <w:szCs w:val="22"/>
          <w:lang w:val="es-ES_tradnl"/>
        </w:rPr>
      </w:pPr>
    </w:p>
    <w:p w14:paraId="23EC18AB" w14:textId="5C2D3C18" w:rsidR="00C75083" w:rsidRPr="00F7548C" w:rsidRDefault="0013126B" w:rsidP="00C75083">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Otros</w:t>
      </w:r>
      <w:r w:rsidR="00C75083" w:rsidRPr="00F7548C">
        <w:rPr>
          <w:rFonts w:ascii="ITC Avant Garde" w:eastAsia="Arial" w:hAnsi="ITC Avant Garde" w:cs="Arial"/>
          <w:sz w:val="22"/>
          <w:szCs w:val="22"/>
          <w:lang w:val="es-ES_tradnl"/>
        </w:rPr>
        <w:t xml:space="preserve"> ejemplo</w:t>
      </w:r>
      <w:r w:rsidRPr="00F7548C">
        <w:rPr>
          <w:rFonts w:ascii="ITC Avant Garde" w:eastAsia="Arial" w:hAnsi="ITC Avant Garde" w:cs="Arial"/>
          <w:sz w:val="22"/>
          <w:szCs w:val="22"/>
          <w:lang w:val="es-ES_tradnl"/>
        </w:rPr>
        <w:t>s en Latinoamérica</w:t>
      </w:r>
      <w:r w:rsidR="00C75083" w:rsidRPr="00F7548C">
        <w:rPr>
          <w:rFonts w:ascii="ITC Avant Garde" w:eastAsia="Arial" w:hAnsi="ITC Avant Garde" w:cs="Arial"/>
          <w:sz w:val="22"/>
          <w:szCs w:val="22"/>
          <w:lang w:val="es-ES_tradnl"/>
        </w:rPr>
        <w:t xml:space="preserve">, </w:t>
      </w:r>
      <w:r w:rsidRPr="00F7548C">
        <w:rPr>
          <w:rFonts w:ascii="ITC Avant Garde" w:eastAsia="Arial" w:hAnsi="ITC Avant Garde" w:cs="Arial"/>
          <w:sz w:val="22"/>
          <w:szCs w:val="22"/>
          <w:lang w:val="es-ES_tradnl"/>
        </w:rPr>
        <w:t>incluyen a</w:t>
      </w:r>
      <w:r w:rsidR="00C75083" w:rsidRPr="00F7548C">
        <w:rPr>
          <w:rFonts w:ascii="ITC Avant Garde" w:eastAsia="Arial" w:hAnsi="ITC Avant Garde" w:cs="Arial"/>
          <w:sz w:val="22"/>
          <w:szCs w:val="22"/>
          <w:lang w:val="es-ES_tradnl"/>
        </w:rPr>
        <w:t xml:space="preserve"> Colombia y Perú, </w:t>
      </w:r>
      <w:r w:rsidRPr="00F7548C">
        <w:rPr>
          <w:rFonts w:ascii="ITC Avant Garde" w:eastAsia="Arial" w:hAnsi="ITC Avant Garde" w:cs="Arial"/>
          <w:sz w:val="22"/>
          <w:szCs w:val="22"/>
          <w:lang w:val="es-ES_tradnl"/>
        </w:rPr>
        <w:t xml:space="preserve">donde </w:t>
      </w:r>
      <w:r w:rsidR="00C75083" w:rsidRPr="00F7548C">
        <w:rPr>
          <w:rFonts w:ascii="ITC Avant Garde" w:eastAsia="Arial" w:hAnsi="ITC Avant Garde" w:cs="Arial"/>
          <w:sz w:val="22"/>
          <w:szCs w:val="22"/>
          <w:lang w:val="es-ES_tradnl"/>
        </w:rPr>
        <w:t>se ha</w:t>
      </w:r>
      <w:r w:rsidRPr="00F7548C">
        <w:rPr>
          <w:rFonts w:ascii="ITC Avant Garde" w:eastAsia="Arial" w:hAnsi="ITC Avant Garde" w:cs="Arial"/>
          <w:sz w:val="22"/>
          <w:szCs w:val="22"/>
          <w:lang w:val="es-ES_tradnl"/>
        </w:rPr>
        <w:t>n</w:t>
      </w:r>
      <w:r w:rsidR="00C75083" w:rsidRPr="00F7548C">
        <w:rPr>
          <w:rFonts w:ascii="ITC Avant Garde" w:eastAsia="Arial" w:hAnsi="ITC Avant Garde" w:cs="Arial"/>
          <w:sz w:val="22"/>
          <w:szCs w:val="22"/>
          <w:lang w:val="es-ES_tradnl"/>
        </w:rPr>
        <w:t xml:space="preserve"> emitido regulaciones para el uso eficiente de la infraestructura pública con la finalidad de generar mayor competencia en el mercado, proveer servicios de mejor calidad y aprovechar eficientemente la infraestructura disponible en beneficio del interés general. Las disposiciones establecidas en estos países, contemplan principios generales de acceso efectivo y uso compartido a la infraestructura pública, neutralidad, no discriminación, eficiencia, acceso a la información, celeridad en el despliegue, complementariedad de redes y contraprestación por el uso compartido de la infraestructura, entre otros. </w:t>
      </w:r>
    </w:p>
    <w:p w14:paraId="28907570" w14:textId="77777777" w:rsidR="00C75083" w:rsidRPr="00F7548C" w:rsidRDefault="00C75083" w:rsidP="00233507">
      <w:pPr>
        <w:tabs>
          <w:tab w:val="num" w:pos="1220"/>
          <w:tab w:val="num" w:pos="1940"/>
        </w:tabs>
        <w:spacing w:line="276" w:lineRule="auto"/>
        <w:jc w:val="both"/>
        <w:rPr>
          <w:rFonts w:ascii="ITC Avant Garde" w:eastAsia="Arial" w:hAnsi="ITC Avant Garde" w:cs="Arial"/>
          <w:b/>
          <w:sz w:val="22"/>
          <w:szCs w:val="22"/>
          <w:lang w:val="es-ES_tradnl"/>
        </w:rPr>
      </w:pPr>
    </w:p>
    <w:p w14:paraId="25369E4A" w14:textId="74B71D3B"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b/>
          <w:sz w:val="22"/>
          <w:szCs w:val="22"/>
          <w:lang w:val="es-ES_tradnl"/>
        </w:rPr>
        <w:t xml:space="preserve">CUARTO.- Acceso efectivo y compartido a la infraestructura de la CFE por parte de </w:t>
      </w:r>
      <w:r w:rsidR="00CD4CCC" w:rsidRPr="00F7548C">
        <w:rPr>
          <w:rFonts w:ascii="ITC Avant Garde" w:eastAsia="Arial" w:hAnsi="ITC Avant Garde" w:cs="Arial"/>
          <w:b/>
          <w:sz w:val="22"/>
          <w:szCs w:val="22"/>
          <w:lang w:val="es-ES_tradnl"/>
        </w:rPr>
        <w:t>Telecomunicaciones de México</w:t>
      </w:r>
      <w:r w:rsidRPr="00F7548C">
        <w:rPr>
          <w:rFonts w:ascii="ITC Avant Garde" w:eastAsia="Arial" w:hAnsi="ITC Avant Garde" w:cs="Arial"/>
          <w:b/>
          <w:sz w:val="22"/>
          <w:szCs w:val="22"/>
          <w:lang w:val="es-ES_tradnl"/>
        </w:rPr>
        <w:t xml:space="preserve">. </w:t>
      </w:r>
      <w:r w:rsidRPr="00F7548C">
        <w:rPr>
          <w:rFonts w:ascii="ITC Avant Garde" w:eastAsia="Arial" w:hAnsi="ITC Avant Garde" w:cs="Arial"/>
          <w:sz w:val="22"/>
          <w:szCs w:val="22"/>
          <w:lang w:val="es-ES_tradnl"/>
        </w:rPr>
        <w:t xml:space="preserve">El artículo Décimo Quinto Transitorio del Decreto, señala que la CFE deberá garantizar </w:t>
      </w:r>
      <w:r w:rsidR="00A95889">
        <w:rPr>
          <w:rFonts w:ascii="ITC Avant Garde" w:eastAsia="Arial" w:hAnsi="ITC Avant Garde" w:cs="Arial"/>
          <w:sz w:val="22"/>
          <w:szCs w:val="22"/>
          <w:lang w:val="es-ES_tradnl"/>
        </w:rPr>
        <w:t xml:space="preserve">a Telecomunicaciones de México </w:t>
      </w:r>
      <w:r w:rsidRPr="00F7548C">
        <w:rPr>
          <w:rFonts w:ascii="ITC Avant Garde" w:eastAsia="Arial" w:hAnsi="ITC Avant Garde" w:cs="Arial"/>
          <w:sz w:val="22"/>
          <w:szCs w:val="22"/>
          <w:lang w:val="es-ES_tradnl"/>
        </w:rPr>
        <w:t xml:space="preserve">el acceso efectivo y compartido a su infraestructura </w:t>
      </w:r>
      <w:r w:rsidR="00A95889">
        <w:rPr>
          <w:rFonts w:ascii="ITC Avant Garde" w:eastAsia="Arial" w:hAnsi="ITC Avant Garde" w:cs="Arial"/>
          <w:sz w:val="22"/>
          <w:szCs w:val="22"/>
          <w:lang w:val="es-ES_tradnl"/>
        </w:rPr>
        <w:t>para su aprovechamiento eficiente.</w:t>
      </w:r>
      <w:r w:rsidRPr="00F7548C">
        <w:rPr>
          <w:rFonts w:ascii="ITC Avant Garde" w:eastAsia="Arial" w:hAnsi="ITC Avant Garde" w:cs="Arial"/>
          <w:sz w:val="22"/>
          <w:szCs w:val="22"/>
          <w:lang w:val="es-ES_tradnl"/>
        </w:rPr>
        <w:t xml:space="preserve"> Lo anterior, de conformidad con los lineamientos que emita el Instituto.</w:t>
      </w:r>
    </w:p>
    <w:p w14:paraId="3B6353BA" w14:textId="77777777"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p>
    <w:p w14:paraId="3EC79D7E" w14:textId="77777777" w:rsidR="00477124" w:rsidRPr="00F7548C" w:rsidRDefault="00477124" w:rsidP="00477124">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 xml:space="preserve">De lo anterior, se desprende que los lineamientos a que se refiere el artículo Décimo Quinto Transitorio del Decreto solamente facultan al Instituto para regular el acceso </w:t>
      </w:r>
      <w:r w:rsidRPr="00F7548C">
        <w:rPr>
          <w:rFonts w:ascii="ITC Avant Garde" w:eastAsia="Arial" w:hAnsi="ITC Avant Garde" w:cs="Arial"/>
          <w:sz w:val="22"/>
          <w:szCs w:val="22"/>
          <w:lang w:val="es-ES_tradnl"/>
        </w:rPr>
        <w:lastRenderedPageBreak/>
        <w:t>efectivo y compartido de la infraestructura de CFE por parte de Telecomunicaciones de México.</w:t>
      </w:r>
    </w:p>
    <w:p w14:paraId="0AF1C391" w14:textId="77777777" w:rsidR="00477124" w:rsidRPr="00F7548C" w:rsidRDefault="00477124" w:rsidP="00477124">
      <w:pPr>
        <w:tabs>
          <w:tab w:val="num" w:pos="1220"/>
          <w:tab w:val="num" w:pos="1940"/>
        </w:tabs>
        <w:spacing w:line="276" w:lineRule="auto"/>
        <w:jc w:val="both"/>
        <w:rPr>
          <w:rFonts w:ascii="ITC Avant Garde" w:eastAsia="Arial" w:hAnsi="ITC Avant Garde" w:cs="Arial"/>
          <w:sz w:val="22"/>
          <w:szCs w:val="22"/>
          <w:lang w:val="es-ES_tradnl"/>
        </w:rPr>
      </w:pPr>
    </w:p>
    <w:p w14:paraId="77E84E84" w14:textId="0342EFC2" w:rsidR="00477124" w:rsidRPr="00F7548C" w:rsidRDefault="00477124" w:rsidP="00477124">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Asimismo, el 11 de agosto de 2014 se publicó en el DOF, el “DECRETO por el que se expiden la Ley de la Industria Eléctrica, la Ley de Energía Geotérmica y se adicionan y reforman diversas disposiciones de la Ley de Aguas Nacionales” (en lo sucesivo, “La Ley de la Industria Eléctrica”). El artículo 72</w:t>
      </w:r>
      <w:r w:rsidR="00EA4F8E">
        <w:rPr>
          <w:rFonts w:ascii="ITC Avant Garde" w:eastAsia="Arial" w:hAnsi="ITC Avant Garde" w:cs="Arial"/>
          <w:sz w:val="22"/>
          <w:szCs w:val="22"/>
          <w:lang w:val="es-ES_tradnl"/>
        </w:rPr>
        <w:t xml:space="preserve"> de esta ley</w:t>
      </w:r>
      <w:r w:rsidRPr="00F7548C">
        <w:rPr>
          <w:rFonts w:ascii="ITC Avant Garde" w:eastAsia="Arial" w:hAnsi="ITC Avant Garde" w:cs="Arial"/>
          <w:sz w:val="22"/>
          <w:szCs w:val="22"/>
          <w:lang w:val="es-ES_tradnl"/>
        </w:rPr>
        <w:t xml:space="preserve"> establece que: </w:t>
      </w:r>
    </w:p>
    <w:p w14:paraId="26190AAD" w14:textId="77777777" w:rsidR="00477124" w:rsidRPr="00F7548C" w:rsidRDefault="00477124" w:rsidP="00477124">
      <w:pPr>
        <w:tabs>
          <w:tab w:val="num" w:pos="1220"/>
          <w:tab w:val="num" w:pos="1940"/>
        </w:tabs>
        <w:spacing w:line="276" w:lineRule="auto"/>
        <w:jc w:val="both"/>
        <w:rPr>
          <w:rFonts w:ascii="ITC Avant Garde" w:eastAsia="Arial" w:hAnsi="ITC Avant Garde" w:cs="Arial"/>
          <w:sz w:val="22"/>
          <w:szCs w:val="22"/>
          <w:lang w:val="es-ES_tradnl"/>
        </w:rPr>
      </w:pPr>
    </w:p>
    <w:p w14:paraId="29BB57E8" w14:textId="7754BD8B" w:rsidR="00477124" w:rsidRPr="005B2961" w:rsidRDefault="00477124" w:rsidP="00477124">
      <w:pPr>
        <w:tabs>
          <w:tab w:val="num" w:pos="1220"/>
          <w:tab w:val="num" w:pos="1940"/>
        </w:tabs>
        <w:spacing w:line="276" w:lineRule="auto"/>
        <w:ind w:left="708"/>
        <w:jc w:val="both"/>
        <w:rPr>
          <w:rFonts w:ascii="ITC Avant Garde" w:eastAsia="Arial" w:hAnsi="ITC Avant Garde" w:cs="Arial"/>
          <w:sz w:val="20"/>
          <w:szCs w:val="22"/>
          <w:lang w:val="es-ES_tradnl"/>
        </w:rPr>
      </w:pPr>
      <w:r w:rsidRPr="005B2961">
        <w:rPr>
          <w:rFonts w:ascii="ITC Avant Garde" w:eastAsia="Arial" w:hAnsi="ITC Avant Garde" w:cs="Arial"/>
          <w:sz w:val="20"/>
          <w:szCs w:val="22"/>
          <w:lang w:val="es-ES_tradnl"/>
        </w:rPr>
        <w:t>“</w:t>
      </w:r>
      <w:r w:rsidRPr="005B2961">
        <w:rPr>
          <w:rFonts w:ascii="ITC Avant Garde" w:eastAsia="Arial" w:hAnsi="ITC Avant Garde" w:cs="Arial"/>
          <w:b/>
          <w:sz w:val="20"/>
          <w:szCs w:val="22"/>
          <w:u w:val="single"/>
          <w:lang w:val="es-ES_tradnl"/>
        </w:rPr>
        <w:t xml:space="preserve">En las instalaciones y derechos de vía de la infraestructura del Sistema Eléctrico Nacional se permitirá el acceso al mayor número posible de prestadores de servicios públicos de industrias distintas a la eléctrica </w:t>
      </w:r>
      <w:r w:rsidRPr="005B2961">
        <w:rPr>
          <w:rFonts w:ascii="ITC Avant Garde" w:eastAsia="Arial" w:hAnsi="ITC Avant Garde" w:cs="Arial"/>
          <w:sz w:val="20"/>
          <w:szCs w:val="22"/>
          <w:lang w:val="es-ES_tradnl"/>
        </w:rPr>
        <w:t xml:space="preserve">a cambio de una remuneración justa, siempre que no se ponga en riesgo la seguridad y continuidad de la prestación de los servicios. </w:t>
      </w:r>
      <w:r w:rsidRPr="005B2961">
        <w:rPr>
          <w:rFonts w:ascii="ITC Avant Garde" w:eastAsia="Arial" w:hAnsi="ITC Avant Garde" w:cs="Arial"/>
          <w:b/>
          <w:sz w:val="20"/>
          <w:szCs w:val="22"/>
          <w:u w:val="single"/>
          <w:lang w:val="es-ES_tradnl"/>
        </w:rPr>
        <w:t>La CRE emitirá las disposiciones necesarias para que dicho acceso sea permitido y vigilará el cumplimiento de esta obligación</w:t>
      </w:r>
      <w:r w:rsidRPr="005B2961">
        <w:rPr>
          <w:rFonts w:ascii="ITC Avant Garde" w:eastAsia="Arial" w:hAnsi="ITC Avant Garde" w:cs="Arial"/>
          <w:sz w:val="20"/>
          <w:szCs w:val="22"/>
          <w:lang w:val="es-ES_tradnl"/>
        </w:rPr>
        <w:t>, así como la forma en que se afectarán las tarifas de las actividades de la industria eléctrica por los costos de los derechos de vía. Los Transportistas y los Distribuidores sólo podrán cobrar las tarifas que establezca la CRE por el uso de su infraestructura y proporcionarán la información que esta Comisión requiera para regular dicha actividad.”</w:t>
      </w:r>
      <w:r w:rsidR="00EA4F8E" w:rsidRPr="005B2961">
        <w:rPr>
          <w:rFonts w:ascii="ITC Avant Garde" w:eastAsia="Arial" w:hAnsi="ITC Avant Garde" w:cs="Arial"/>
          <w:sz w:val="20"/>
          <w:szCs w:val="22"/>
          <w:lang w:val="es-ES_tradnl"/>
        </w:rPr>
        <w:t xml:space="preserve"> (</w:t>
      </w:r>
      <w:proofErr w:type="gramStart"/>
      <w:r w:rsidR="00EA4F8E" w:rsidRPr="005B2961">
        <w:rPr>
          <w:rFonts w:ascii="ITC Avant Garde" w:eastAsia="Arial" w:hAnsi="ITC Avant Garde" w:cs="Arial"/>
          <w:sz w:val="20"/>
          <w:szCs w:val="22"/>
          <w:lang w:val="es-ES_tradnl"/>
        </w:rPr>
        <w:t>énfasis</w:t>
      </w:r>
      <w:proofErr w:type="gramEnd"/>
      <w:r w:rsidR="00EA4F8E" w:rsidRPr="005B2961">
        <w:rPr>
          <w:rFonts w:ascii="ITC Avant Garde" w:eastAsia="Arial" w:hAnsi="ITC Avant Garde" w:cs="Arial"/>
          <w:sz w:val="20"/>
          <w:szCs w:val="22"/>
          <w:lang w:val="es-ES_tradnl"/>
        </w:rPr>
        <w:t xml:space="preserve"> añadido)</w:t>
      </w:r>
    </w:p>
    <w:p w14:paraId="13281695" w14:textId="77777777" w:rsidR="00477124" w:rsidRPr="005B2961" w:rsidRDefault="00477124" w:rsidP="00477124">
      <w:pPr>
        <w:tabs>
          <w:tab w:val="num" w:pos="1220"/>
          <w:tab w:val="num" w:pos="1940"/>
        </w:tabs>
        <w:spacing w:line="276" w:lineRule="auto"/>
        <w:jc w:val="both"/>
        <w:rPr>
          <w:rFonts w:ascii="ITC Avant Garde" w:eastAsia="Arial" w:hAnsi="ITC Avant Garde" w:cs="Arial"/>
          <w:b/>
          <w:sz w:val="22"/>
          <w:szCs w:val="22"/>
          <w:lang w:val="es-ES_tradnl"/>
        </w:rPr>
      </w:pPr>
    </w:p>
    <w:p w14:paraId="03F7078F" w14:textId="737E475A" w:rsidR="00477124" w:rsidRPr="00F7548C" w:rsidRDefault="00EA4F8E" w:rsidP="00477124">
      <w:pPr>
        <w:tabs>
          <w:tab w:val="num" w:pos="1220"/>
          <w:tab w:val="num" w:pos="1940"/>
        </w:tabs>
        <w:spacing w:line="276" w:lineRule="auto"/>
        <w:jc w:val="both"/>
        <w:rPr>
          <w:rFonts w:ascii="ITC Avant Garde" w:eastAsia="Arial" w:hAnsi="ITC Avant Garde" w:cs="Arial"/>
          <w:sz w:val="22"/>
          <w:szCs w:val="22"/>
          <w:lang w:val="es-ES_tradnl"/>
        </w:rPr>
      </w:pPr>
      <w:r>
        <w:rPr>
          <w:rFonts w:ascii="ITC Avant Garde" w:eastAsia="Arial" w:hAnsi="ITC Avant Garde" w:cs="Arial"/>
          <w:sz w:val="22"/>
          <w:szCs w:val="22"/>
          <w:lang w:val="es-ES_tradnl"/>
        </w:rPr>
        <w:t>Del precepto legal citado</w:t>
      </w:r>
      <w:r w:rsidR="00477124" w:rsidRPr="00F7548C">
        <w:rPr>
          <w:rFonts w:ascii="ITC Avant Garde" w:eastAsia="Arial" w:hAnsi="ITC Avant Garde" w:cs="Arial"/>
          <w:sz w:val="22"/>
          <w:szCs w:val="22"/>
          <w:lang w:val="es-ES_tradnl"/>
        </w:rPr>
        <w:t xml:space="preserve">, se desprende que las instalaciones y derechos de vía del Sistema Eléctrico </w:t>
      </w:r>
      <w:r w:rsidR="00A246E7">
        <w:rPr>
          <w:rFonts w:ascii="ITC Avant Garde" w:eastAsia="Arial" w:hAnsi="ITC Avant Garde" w:cs="Arial"/>
          <w:sz w:val="22"/>
          <w:szCs w:val="22"/>
          <w:lang w:val="es-ES_tradnl"/>
        </w:rPr>
        <w:t>N</w:t>
      </w:r>
      <w:r w:rsidR="00477124" w:rsidRPr="00F7548C">
        <w:rPr>
          <w:rFonts w:ascii="ITC Avant Garde" w:eastAsia="Arial" w:hAnsi="ITC Avant Garde" w:cs="Arial"/>
          <w:sz w:val="22"/>
          <w:szCs w:val="22"/>
          <w:lang w:val="es-ES_tradnl"/>
        </w:rPr>
        <w:t xml:space="preserve">acional serán utilizadas por prestadores de servicios públicos de industrias distintas a la eléctrica, como es el caso de los servicios públicos de telecomunicaciones, y que la Comisión Reguladora de Energía (en lo sucesivo, la CRE) es la autoridad regulatoria para emitir las disposiciones que regulen el acceso a las instalaciones y derechos de vía del Sistema Eléctrico Nacional por parte de prestadores de servicios públicos de otras industrias distintas a la eléctrica. Lo anterior, en consistencia con la fracción XXXIV del artículo 12 </w:t>
      </w:r>
      <w:r w:rsidR="00A246E7">
        <w:rPr>
          <w:rFonts w:ascii="ITC Avant Garde" w:eastAsia="Arial" w:hAnsi="ITC Avant Garde" w:cs="Arial"/>
          <w:sz w:val="22"/>
          <w:szCs w:val="22"/>
          <w:lang w:val="es-ES_tradnl"/>
        </w:rPr>
        <w:t xml:space="preserve">de la Ley de la Industria Eléctrica, que </w:t>
      </w:r>
      <w:r w:rsidR="00477124" w:rsidRPr="00F7548C">
        <w:rPr>
          <w:rFonts w:ascii="ITC Avant Garde" w:eastAsia="Arial" w:hAnsi="ITC Avant Garde" w:cs="Arial"/>
          <w:sz w:val="22"/>
          <w:szCs w:val="22"/>
          <w:lang w:val="es-ES_tradnl"/>
        </w:rPr>
        <w:t>establece la facultad de la CRE para:</w:t>
      </w:r>
    </w:p>
    <w:p w14:paraId="36E9999E" w14:textId="77777777" w:rsidR="00477124" w:rsidRPr="00F7548C" w:rsidRDefault="00477124" w:rsidP="00477124">
      <w:pPr>
        <w:tabs>
          <w:tab w:val="num" w:pos="1220"/>
          <w:tab w:val="num" w:pos="1940"/>
        </w:tabs>
        <w:spacing w:line="276" w:lineRule="auto"/>
        <w:jc w:val="both"/>
        <w:rPr>
          <w:rFonts w:ascii="ITC Avant Garde" w:eastAsia="Arial" w:hAnsi="ITC Avant Garde" w:cs="Arial"/>
          <w:sz w:val="22"/>
          <w:szCs w:val="22"/>
          <w:lang w:val="es-ES_tradnl"/>
        </w:rPr>
      </w:pPr>
    </w:p>
    <w:p w14:paraId="3AB723BB" w14:textId="77777777" w:rsidR="00477124" w:rsidRPr="005B2961" w:rsidRDefault="00477124" w:rsidP="00477124">
      <w:pPr>
        <w:tabs>
          <w:tab w:val="num" w:pos="1220"/>
          <w:tab w:val="num" w:pos="1940"/>
        </w:tabs>
        <w:spacing w:line="276" w:lineRule="auto"/>
        <w:ind w:left="708"/>
        <w:jc w:val="both"/>
        <w:rPr>
          <w:rFonts w:ascii="ITC Avant Garde" w:eastAsia="Arial" w:hAnsi="ITC Avant Garde" w:cs="Arial"/>
          <w:sz w:val="22"/>
          <w:szCs w:val="22"/>
          <w:lang w:val="es-ES_tradnl"/>
        </w:rPr>
      </w:pPr>
      <w:r w:rsidRPr="005B2961">
        <w:rPr>
          <w:rFonts w:ascii="ITC Avant Garde" w:eastAsia="Arial" w:hAnsi="ITC Avant Garde" w:cs="Arial"/>
          <w:sz w:val="20"/>
          <w:szCs w:val="22"/>
          <w:lang w:val="es-ES_tradnl"/>
        </w:rPr>
        <w:t>“Emitir las disposiciones necesarias para que, a cambio de una remuneración justa, se permita el acceso a los prestadores de servicios públicos de otras industrias que utilicen las instalaciones y derechos de vía del Sistema Eléctrico Nacional, y verificar el cumplimiento de esta obligación;”</w:t>
      </w:r>
    </w:p>
    <w:p w14:paraId="1EE294E7" w14:textId="77777777" w:rsidR="00477124" w:rsidRPr="00F7548C" w:rsidRDefault="00477124" w:rsidP="00477124">
      <w:pPr>
        <w:tabs>
          <w:tab w:val="num" w:pos="1220"/>
          <w:tab w:val="num" w:pos="1940"/>
        </w:tabs>
        <w:spacing w:line="276" w:lineRule="auto"/>
        <w:jc w:val="both"/>
        <w:rPr>
          <w:rFonts w:ascii="ITC Avant Garde" w:eastAsia="Arial" w:hAnsi="ITC Avant Garde" w:cs="Arial"/>
          <w:sz w:val="22"/>
          <w:szCs w:val="22"/>
          <w:lang w:val="es-ES_tradnl"/>
        </w:rPr>
      </w:pPr>
    </w:p>
    <w:p w14:paraId="75771ED5" w14:textId="77777777" w:rsidR="00477124" w:rsidRPr="00F7548C" w:rsidRDefault="00477124" w:rsidP="00477124">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 xml:space="preserve">Es por ello que el acceso a las instalaciones y derechos de vía del Sistema Eléctrico Nacional por parte de los prestadores de servicios públicos de otras industrias distintas a la eléctrica, es facultad de la CRE conforme a la legislación vigente. </w:t>
      </w:r>
    </w:p>
    <w:p w14:paraId="6C8FCE0D" w14:textId="2597D146" w:rsidR="00233507" w:rsidRPr="00F7548C" w:rsidRDefault="005C1A67"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Ahora bien, e</w:t>
      </w:r>
      <w:r w:rsidR="00233507" w:rsidRPr="00F7548C">
        <w:rPr>
          <w:rFonts w:ascii="ITC Avant Garde" w:eastAsia="Arial" w:hAnsi="ITC Avant Garde" w:cs="Arial"/>
          <w:sz w:val="22"/>
          <w:szCs w:val="22"/>
          <w:lang w:val="es-ES_tradnl"/>
        </w:rPr>
        <w:t xml:space="preserve">l acceso y uso compartido de infraestructura eléctrica para la provisión de servicios de telecomunicaciones, ofrece ventajas que permiten reducir </w:t>
      </w:r>
      <w:r w:rsidR="00233507" w:rsidRPr="00F7548C">
        <w:rPr>
          <w:rFonts w:ascii="ITC Avant Garde" w:eastAsia="Arial" w:hAnsi="ITC Avant Garde" w:cs="Arial"/>
          <w:sz w:val="22"/>
          <w:szCs w:val="22"/>
          <w:lang w:val="es-ES_tradnl"/>
        </w:rPr>
        <w:lastRenderedPageBreak/>
        <w:t xml:space="preserve">los costos y el tiempo para poner en operación a las redes troncales, mismas que a su vez, incentivan la penetración de la banda ancha y fomentan el acceso a servicios que utilizan intensivamente la capacidad de transmisión de </w:t>
      </w:r>
      <w:r w:rsidR="00B55FB3">
        <w:rPr>
          <w:rFonts w:ascii="ITC Avant Garde" w:eastAsia="Arial" w:hAnsi="ITC Avant Garde" w:cs="Arial"/>
          <w:sz w:val="22"/>
          <w:szCs w:val="22"/>
          <w:lang w:val="es-ES_tradnl"/>
        </w:rPr>
        <w:t>dichas</w:t>
      </w:r>
      <w:r w:rsidR="00233507" w:rsidRPr="00F7548C">
        <w:rPr>
          <w:rFonts w:ascii="ITC Avant Garde" w:eastAsia="Arial" w:hAnsi="ITC Avant Garde" w:cs="Arial"/>
          <w:sz w:val="22"/>
          <w:szCs w:val="22"/>
          <w:lang w:val="es-ES_tradnl"/>
        </w:rPr>
        <w:t xml:space="preserve"> redes. </w:t>
      </w:r>
    </w:p>
    <w:p w14:paraId="63E0AD80" w14:textId="77777777"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p>
    <w:p w14:paraId="71281A55" w14:textId="4E844340"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Las economías de alcance generadas a partir del uso de infraestructura eléctrica para la provisión de servicios de telecomunicaciones, no solamente aumenta</w:t>
      </w:r>
      <w:r w:rsidR="00BA726B">
        <w:rPr>
          <w:rFonts w:ascii="ITC Avant Garde" w:eastAsia="Arial" w:hAnsi="ITC Avant Garde" w:cs="Arial"/>
          <w:sz w:val="22"/>
          <w:szCs w:val="22"/>
          <w:lang w:val="es-ES_tradnl"/>
        </w:rPr>
        <w:t>n</w:t>
      </w:r>
      <w:r w:rsidRPr="00F7548C">
        <w:rPr>
          <w:rFonts w:ascii="ITC Avant Garde" w:eastAsia="Arial" w:hAnsi="ITC Avant Garde" w:cs="Arial"/>
          <w:sz w:val="22"/>
          <w:szCs w:val="22"/>
          <w:lang w:val="es-ES_tradnl"/>
        </w:rPr>
        <w:t xml:space="preserve"> la eficiencia en el uso de la infraestructura sino que permite</w:t>
      </w:r>
      <w:r w:rsidR="00BA726B">
        <w:rPr>
          <w:rFonts w:ascii="ITC Avant Garde" w:eastAsia="Arial" w:hAnsi="ITC Avant Garde" w:cs="Arial"/>
          <w:sz w:val="22"/>
          <w:szCs w:val="22"/>
          <w:lang w:val="es-ES_tradnl"/>
        </w:rPr>
        <w:t>n</w:t>
      </w:r>
      <w:r w:rsidRPr="00F7548C">
        <w:rPr>
          <w:rFonts w:ascii="ITC Avant Garde" w:eastAsia="Arial" w:hAnsi="ITC Avant Garde" w:cs="Arial"/>
          <w:sz w:val="22"/>
          <w:szCs w:val="22"/>
          <w:lang w:val="es-ES_tradnl"/>
        </w:rPr>
        <w:t xml:space="preserve"> ahorrar recursos, incluyendo el tiempo que se necesita para obtener los permisos y los derechos de vía que son necesarios para el despliegue de infraestructura de una red troncal. Lo anterior resulta especialmente útil en aquellas zonas donde no se dispone de una red de telecomunicaciones o cuando no es económicamente viable construir nueva infraestructura.</w:t>
      </w:r>
    </w:p>
    <w:p w14:paraId="24D6D49D" w14:textId="77777777" w:rsidR="001324BD" w:rsidRDefault="001324BD" w:rsidP="00233507">
      <w:pPr>
        <w:tabs>
          <w:tab w:val="num" w:pos="1220"/>
          <w:tab w:val="num" w:pos="1940"/>
        </w:tabs>
        <w:spacing w:line="276" w:lineRule="auto"/>
        <w:jc w:val="both"/>
        <w:rPr>
          <w:rFonts w:ascii="ITC Avant Garde" w:eastAsia="Arial" w:hAnsi="ITC Avant Garde" w:cs="Arial"/>
          <w:sz w:val="22"/>
          <w:szCs w:val="22"/>
          <w:lang w:val="es-ES_tradnl"/>
        </w:rPr>
      </w:pPr>
    </w:p>
    <w:p w14:paraId="2A873407" w14:textId="6A113515"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rPr>
      </w:pPr>
      <w:r w:rsidRPr="00F7548C">
        <w:rPr>
          <w:rFonts w:ascii="ITC Avant Garde" w:eastAsia="Arial" w:hAnsi="ITC Avant Garde" w:cs="Arial"/>
          <w:sz w:val="22"/>
          <w:szCs w:val="22"/>
          <w:lang w:val="es-ES_tradnl"/>
        </w:rPr>
        <w:t xml:space="preserve">Por lo anterior, y con el fin de garantizar el acceso efectivo y compartido a la infraestructura de la CFE por parte de Telecomunicaciones de México, los lineamientos </w:t>
      </w:r>
      <w:r w:rsidR="00EB1A85" w:rsidRPr="00F7548C">
        <w:rPr>
          <w:rFonts w:ascii="ITC Avant Garde" w:eastAsia="Arial" w:hAnsi="ITC Avant Garde" w:cs="Arial"/>
          <w:sz w:val="22"/>
          <w:szCs w:val="22"/>
          <w:lang w:val="es-ES_tradnl"/>
        </w:rPr>
        <w:t>buscan</w:t>
      </w:r>
      <w:r w:rsidRPr="00F7548C">
        <w:rPr>
          <w:rFonts w:ascii="ITC Avant Garde" w:eastAsia="Arial" w:hAnsi="ITC Avant Garde" w:cs="Arial"/>
          <w:sz w:val="22"/>
          <w:szCs w:val="22"/>
          <w:lang w:val="es-ES_tradnl"/>
        </w:rPr>
        <w:t xml:space="preserve"> promover tanto el uso compartido y eficiente de la infraestructura eléctrica </w:t>
      </w:r>
      <w:r w:rsidRPr="00F7548C">
        <w:rPr>
          <w:rFonts w:ascii="ITC Avant Garde" w:eastAsia="Arial" w:hAnsi="ITC Avant Garde" w:cs="Arial"/>
          <w:sz w:val="22"/>
          <w:szCs w:val="22"/>
        </w:rPr>
        <w:t xml:space="preserve">para el despliegue de redes y </w:t>
      </w:r>
      <w:r w:rsidR="00EB1A85" w:rsidRPr="00F7548C">
        <w:rPr>
          <w:rFonts w:ascii="ITC Avant Garde" w:eastAsia="Arial" w:hAnsi="ITC Avant Garde" w:cs="Arial"/>
          <w:sz w:val="22"/>
          <w:szCs w:val="22"/>
        </w:rPr>
        <w:t xml:space="preserve">la </w:t>
      </w:r>
      <w:r w:rsidRPr="00F7548C">
        <w:rPr>
          <w:rFonts w:ascii="ITC Avant Garde" w:eastAsia="Arial" w:hAnsi="ITC Avant Garde" w:cs="Arial"/>
          <w:sz w:val="22"/>
          <w:szCs w:val="22"/>
        </w:rPr>
        <w:t xml:space="preserve">provisión de servicios de </w:t>
      </w:r>
      <w:r w:rsidRPr="00F7548C">
        <w:rPr>
          <w:rFonts w:ascii="ITC Avant Garde" w:eastAsia="Arial" w:hAnsi="ITC Avant Garde" w:cs="Arial"/>
          <w:sz w:val="22"/>
          <w:szCs w:val="22"/>
          <w:lang w:val="es-ES_tradnl"/>
        </w:rPr>
        <w:t xml:space="preserve">telecomunicaciones, como el acceso a los elementos de la infraestructura de </w:t>
      </w:r>
      <w:r w:rsidR="006F4EF4" w:rsidRPr="00F7548C">
        <w:rPr>
          <w:rFonts w:ascii="ITC Avant Garde" w:eastAsia="Arial" w:hAnsi="ITC Avant Garde" w:cs="Arial"/>
          <w:sz w:val="22"/>
          <w:szCs w:val="22"/>
          <w:lang w:val="es-ES_tradnl"/>
        </w:rPr>
        <w:t xml:space="preserve">la </w:t>
      </w:r>
      <w:r w:rsidRPr="00F7548C">
        <w:rPr>
          <w:rFonts w:ascii="ITC Avant Garde" w:eastAsia="Arial" w:hAnsi="ITC Avant Garde" w:cs="Arial"/>
          <w:sz w:val="22"/>
          <w:szCs w:val="22"/>
          <w:lang w:val="es-ES_tradnl"/>
        </w:rPr>
        <w:t xml:space="preserve">CFE de manera desagregada y no discriminatoria. </w:t>
      </w:r>
    </w:p>
    <w:p w14:paraId="2C12C496" w14:textId="77777777" w:rsidR="00F623B6" w:rsidRDefault="00F623B6" w:rsidP="00233507">
      <w:pPr>
        <w:tabs>
          <w:tab w:val="num" w:pos="1220"/>
          <w:tab w:val="num" w:pos="1940"/>
        </w:tabs>
        <w:spacing w:line="276" w:lineRule="auto"/>
        <w:jc w:val="both"/>
        <w:rPr>
          <w:rFonts w:ascii="ITC Avant Garde" w:eastAsia="Arial" w:hAnsi="ITC Avant Garde" w:cs="Arial"/>
          <w:sz w:val="22"/>
          <w:szCs w:val="22"/>
          <w:lang w:val="es-ES_tradnl"/>
        </w:rPr>
      </w:pPr>
    </w:p>
    <w:p w14:paraId="6B3E9303" w14:textId="51FFAE0B" w:rsidR="00655B0B" w:rsidRDefault="00655B0B" w:rsidP="00233507">
      <w:pPr>
        <w:tabs>
          <w:tab w:val="num" w:pos="1220"/>
          <w:tab w:val="num" w:pos="1940"/>
        </w:tabs>
        <w:spacing w:line="276" w:lineRule="auto"/>
        <w:jc w:val="both"/>
        <w:rPr>
          <w:rFonts w:ascii="ITC Avant Garde" w:eastAsia="Arial" w:hAnsi="ITC Avant Garde" w:cs="Arial"/>
          <w:sz w:val="22"/>
          <w:szCs w:val="22"/>
          <w:lang w:val="es-ES_tradnl"/>
        </w:rPr>
      </w:pPr>
      <w:r>
        <w:rPr>
          <w:rFonts w:ascii="ITC Avant Garde" w:eastAsia="Arial" w:hAnsi="ITC Avant Garde" w:cs="Arial"/>
          <w:sz w:val="22"/>
          <w:szCs w:val="22"/>
          <w:lang w:val="es-ES_tradnl"/>
        </w:rPr>
        <w:t xml:space="preserve">Respecto al acceso a la infraestructura de la CFE, es importante señalar que conforme al artículo Décimo Quinto Transitorio del Decreto, el objeto de los lineamientos emitidos por el Instituto se </w:t>
      </w:r>
      <w:r w:rsidR="001324BD">
        <w:rPr>
          <w:rFonts w:ascii="ITC Avant Garde" w:eastAsia="Arial" w:hAnsi="ITC Avant Garde" w:cs="Arial"/>
          <w:sz w:val="22"/>
          <w:szCs w:val="22"/>
          <w:lang w:val="es-ES_tradnl"/>
        </w:rPr>
        <w:t>acota</w:t>
      </w:r>
      <w:r>
        <w:rPr>
          <w:rFonts w:ascii="ITC Avant Garde" w:eastAsia="Arial" w:hAnsi="ITC Avant Garde" w:cs="Arial"/>
          <w:sz w:val="22"/>
          <w:szCs w:val="22"/>
          <w:lang w:val="es-ES_tradnl"/>
        </w:rPr>
        <w:t xml:space="preserve"> al acceso efectivo y compartido a la infraestructura de la CFE por parte de Telecomunicaciones de México. </w:t>
      </w:r>
      <w:r w:rsidR="001324BD">
        <w:rPr>
          <w:rFonts w:ascii="ITC Avant Garde" w:eastAsia="Arial" w:hAnsi="ITC Avant Garde" w:cs="Arial"/>
          <w:sz w:val="22"/>
          <w:szCs w:val="22"/>
          <w:lang w:val="es-ES_tradnl"/>
        </w:rPr>
        <w:t xml:space="preserve">El alcance establecido es consistente </w:t>
      </w:r>
      <w:r>
        <w:rPr>
          <w:rFonts w:ascii="ITC Avant Garde" w:eastAsia="Arial" w:hAnsi="ITC Avant Garde" w:cs="Arial"/>
          <w:sz w:val="22"/>
          <w:szCs w:val="22"/>
          <w:lang w:val="es-ES_tradnl"/>
        </w:rPr>
        <w:t xml:space="preserve">con la reforma energética y la consecuente publicación de la Ley de la Industria Eléctrica, </w:t>
      </w:r>
      <w:r w:rsidR="001324BD">
        <w:rPr>
          <w:rFonts w:ascii="ITC Avant Garde" w:eastAsia="Arial" w:hAnsi="ITC Avant Garde" w:cs="Arial"/>
          <w:sz w:val="22"/>
          <w:szCs w:val="22"/>
          <w:lang w:val="es-ES_tradnl"/>
        </w:rPr>
        <w:t xml:space="preserve">particularmente por lo que hace al artículo 72 previamente citado, en el cual se señala que </w:t>
      </w:r>
      <w:r>
        <w:rPr>
          <w:rFonts w:ascii="ITC Avant Garde" w:eastAsia="Arial" w:hAnsi="ITC Avant Garde" w:cs="Arial"/>
          <w:sz w:val="22"/>
          <w:szCs w:val="22"/>
          <w:lang w:val="es-ES_tradnl"/>
        </w:rPr>
        <w:t>la Comisión Reguladora de Energía emitirá las disposiciones regulatorias que regulen el acceso a la infraestructura del Sistema Eléctrico Nacional por parte de otras industrias, incluida la de telecomunicaciones.</w:t>
      </w:r>
      <w:r w:rsidR="001324BD">
        <w:rPr>
          <w:rFonts w:ascii="ITC Avant Garde" w:eastAsia="Arial" w:hAnsi="ITC Avant Garde" w:cs="Arial"/>
          <w:sz w:val="22"/>
          <w:szCs w:val="22"/>
          <w:lang w:val="es-ES_tradnl"/>
        </w:rPr>
        <w:t xml:space="preserve"> Dicho en otras palabras, por mandato constitucional al Instituto le corresponde emitir los lineamientos para el acceso efectivo y compartido </w:t>
      </w:r>
      <w:r w:rsidR="00075EFC">
        <w:rPr>
          <w:rFonts w:ascii="ITC Avant Garde" w:eastAsia="Arial" w:hAnsi="ITC Avant Garde" w:cs="Arial"/>
          <w:sz w:val="22"/>
          <w:szCs w:val="22"/>
          <w:lang w:val="es-ES_tradnl"/>
        </w:rPr>
        <w:t>de Telecomunicaciones de México a la infraestructura de la CFE, en tanto que por mandato legal, a la CRE le corresponde emitir las disposiciones para que los proveedores de otras industrias tengan acceso a la infraestructura del Sistema Eléctrico Nacional.</w:t>
      </w:r>
    </w:p>
    <w:p w14:paraId="302207AD" w14:textId="77777777" w:rsidR="00B12DD5" w:rsidRPr="00B12DD5" w:rsidRDefault="00B12DD5" w:rsidP="00B12DD5">
      <w:pPr>
        <w:tabs>
          <w:tab w:val="num" w:pos="1220"/>
          <w:tab w:val="num" w:pos="1940"/>
        </w:tabs>
        <w:spacing w:line="276" w:lineRule="auto"/>
        <w:jc w:val="both"/>
        <w:rPr>
          <w:rFonts w:ascii="ITC Avant Garde" w:eastAsia="Arial" w:hAnsi="ITC Avant Garde" w:cs="Arial"/>
          <w:sz w:val="22"/>
          <w:szCs w:val="22"/>
          <w:lang w:val="es-ES_tradnl"/>
        </w:rPr>
      </w:pPr>
    </w:p>
    <w:p w14:paraId="321EBE42" w14:textId="6B913A0F" w:rsidR="00955EBC" w:rsidRDefault="00EE5A1D" w:rsidP="00B12DD5">
      <w:pPr>
        <w:tabs>
          <w:tab w:val="num" w:pos="1220"/>
          <w:tab w:val="num" w:pos="1940"/>
        </w:tabs>
        <w:spacing w:line="276" w:lineRule="auto"/>
        <w:jc w:val="both"/>
        <w:rPr>
          <w:rFonts w:ascii="ITC Avant Garde" w:eastAsia="Arial" w:hAnsi="ITC Avant Garde" w:cs="Arial"/>
          <w:sz w:val="22"/>
          <w:szCs w:val="22"/>
          <w:lang w:val="es-ES_tradnl"/>
        </w:rPr>
      </w:pPr>
      <w:r>
        <w:rPr>
          <w:rFonts w:ascii="ITC Avant Garde" w:eastAsia="Arial" w:hAnsi="ITC Avant Garde" w:cs="Arial"/>
          <w:sz w:val="22"/>
          <w:szCs w:val="22"/>
          <w:lang w:val="es-ES_tradnl"/>
        </w:rPr>
        <w:t>El principio de n</w:t>
      </w:r>
      <w:r w:rsidR="00B12DD5" w:rsidRPr="00B12DD5">
        <w:rPr>
          <w:rFonts w:ascii="ITC Avant Garde" w:eastAsia="Arial" w:hAnsi="ITC Avant Garde" w:cs="Arial"/>
          <w:sz w:val="22"/>
          <w:szCs w:val="22"/>
          <w:lang w:val="es-ES_tradnl"/>
        </w:rPr>
        <w:t xml:space="preserve">eutralidad competitiva </w:t>
      </w:r>
      <w:r>
        <w:rPr>
          <w:rFonts w:ascii="ITC Avant Garde" w:eastAsia="Arial" w:hAnsi="ITC Avant Garde" w:cs="Arial"/>
          <w:sz w:val="22"/>
          <w:szCs w:val="22"/>
          <w:lang w:val="es-ES_tradnl"/>
        </w:rPr>
        <w:t xml:space="preserve">es vital para no distorsionar los mercados en un sentido que afecte a la competencia y libre concurrencia en los mercados de telecomunicaciones que aprovechen la infraestructura de la CFE. Se deberían </w:t>
      </w:r>
      <w:r>
        <w:rPr>
          <w:rFonts w:ascii="ITC Avant Garde" w:eastAsia="Arial" w:hAnsi="ITC Avant Garde" w:cs="Arial"/>
          <w:sz w:val="22"/>
          <w:szCs w:val="22"/>
          <w:lang w:val="es-ES_tradnl"/>
        </w:rPr>
        <w:lastRenderedPageBreak/>
        <w:t>alinear los incentivos para intensificar</w:t>
      </w:r>
      <w:r w:rsidR="00B12DD5" w:rsidRPr="00B12DD5">
        <w:rPr>
          <w:rFonts w:ascii="ITC Avant Garde" w:eastAsia="Arial" w:hAnsi="ITC Avant Garde" w:cs="Arial"/>
          <w:sz w:val="22"/>
          <w:szCs w:val="22"/>
          <w:lang w:val="es-ES_tradnl"/>
        </w:rPr>
        <w:t xml:space="preserve"> libre y sana competencia que promuevan el desarrollo de distintos proveedores y servicios de telecomunicaciones</w:t>
      </w:r>
      <w:r>
        <w:rPr>
          <w:rFonts w:ascii="ITC Avant Garde" w:eastAsia="Arial" w:hAnsi="ITC Avant Garde" w:cs="Arial"/>
          <w:sz w:val="22"/>
          <w:szCs w:val="22"/>
          <w:lang w:val="es-ES_tradnl"/>
        </w:rPr>
        <w:t xml:space="preserve"> que fa</w:t>
      </w:r>
      <w:r w:rsidR="00756D44">
        <w:rPr>
          <w:rFonts w:ascii="ITC Avant Garde" w:eastAsia="Arial" w:hAnsi="ITC Avant Garde" w:cs="Arial"/>
          <w:sz w:val="22"/>
          <w:szCs w:val="22"/>
          <w:lang w:val="es-ES_tradnl"/>
        </w:rPr>
        <w:t>v</w:t>
      </w:r>
      <w:r>
        <w:rPr>
          <w:rFonts w:ascii="ITC Avant Garde" w:eastAsia="Arial" w:hAnsi="ITC Avant Garde" w:cs="Arial"/>
          <w:sz w:val="22"/>
          <w:szCs w:val="22"/>
          <w:lang w:val="es-ES_tradnl"/>
        </w:rPr>
        <w:t>orezca una reducción de precios en los</w:t>
      </w:r>
      <w:r w:rsidR="00B12DD5" w:rsidRPr="00B12DD5">
        <w:rPr>
          <w:rFonts w:ascii="ITC Avant Garde" w:eastAsia="Arial" w:hAnsi="ITC Avant Garde" w:cs="Arial"/>
          <w:sz w:val="22"/>
          <w:szCs w:val="22"/>
          <w:lang w:val="es-ES_tradnl"/>
        </w:rPr>
        <w:t xml:space="preserve"> mercado</w:t>
      </w:r>
      <w:r>
        <w:rPr>
          <w:rFonts w:ascii="ITC Avant Garde" w:eastAsia="Arial" w:hAnsi="ITC Avant Garde" w:cs="Arial"/>
          <w:sz w:val="22"/>
          <w:szCs w:val="22"/>
          <w:lang w:val="es-ES_tradnl"/>
        </w:rPr>
        <w:t>s</w:t>
      </w:r>
      <w:r w:rsidR="00B12DD5" w:rsidRPr="00B12DD5">
        <w:rPr>
          <w:rFonts w:ascii="ITC Avant Garde" w:eastAsia="Arial" w:hAnsi="ITC Avant Garde" w:cs="Arial"/>
          <w:sz w:val="22"/>
          <w:szCs w:val="22"/>
          <w:lang w:val="es-ES_tradnl"/>
        </w:rPr>
        <w:t xml:space="preserve"> en condiciones de equidad.</w:t>
      </w:r>
      <w:r w:rsidR="00075EFC">
        <w:rPr>
          <w:rFonts w:ascii="ITC Avant Garde" w:eastAsia="Arial" w:hAnsi="ITC Avant Garde" w:cs="Arial"/>
          <w:sz w:val="22"/>
          <w:szCs w:val="22"/>
          <w:lang w:val="es-ES_tradnl"/>
        </w:rPr>
        <w:t xml:space="preserve"> En este orden de ideas, tal y como se desprende de lo señalado en el párrafo anterior, el acceso efectivo y compartido a infraestructura que debe proporcionar la CFE a Telecomunicaciones de México no implica un acceso en exclusividad ya que otros proveedores podrán tener acceso a la infraestructura del Sistema Eléctrico Nacional según las disposiciones que en el ejercicio de sus atribuciones emita la CRE.</w:t>
      </w:r>
    </w:p>
    <w:p w14:paraId="312E5680" w14:textId="77777777" w:rsidR="00655B0B" w:rsidRPr="00F7548C" w:rsidRDefault="00655B0B" w:rsidP="00233507">
      <w:pPr>
        <w:tabs>
          <w:tab w:val="num" w:pos="1220"/>
          <w:tab w:val="num" w:pos="1940"/>
        </w:tabs>
        <w:spacing w:line="276" w:lineRule="auto"/>
        <w:jc w:val="both"/>
        <w:rPr>
          <w:rFonts w:ascii="ITC Avant Garde" w:eastAsia="Arial" w:hAnsi="ITC Avant Garde" w:cs="Arial"/>
          <w:sz w:val="22"/>
          <w:szCs w:val="22"/>
          <w:lang w:val="es-ES_tradnl"/>
        </w:rPr>
      </w:pPr>
    </w:p>
    <w:p w14:paraId="551CB3E0" w14:textId="634B5069" w:rsidR="00FF0E07" w:rsidRPr="00F7548C" w:rsidRDefault="00756D44" w:rsidP="00233507">
      <w:pPr>
        <w:tabs>
          <w:tab w:val="num" w:pos="1220"/>
          <w:tab w:val="num" w:pos="1940"/>
        </w:tabs>
        <w:spacing w:line="276" w:lineRule="auto"/>
        <w:jc w:val="both"/>
        <w:rPr>
          <w:rFonts w:ascii="ITC Avant Garde" w:eastAsia="Arial" w:hAnsi="ITC Avant Garde" w:cs="Arial"/>
          <w:sz w:val="22"/>
          <w:szCs w:val="22"/>
        </w:rPr>
      </w:pPr>
      <w:r>
        <w:rPr>
          <w:rFonts w:ascii="ITC Avant Garde" w:eastAsia="Arial" w:hAnsi="ITC Avant Garde" w:cs="Arial"/>
          <w:sz w:val="22"/>
          <w:szCs w:val="22"/>
          <w:lang w:val="es-ES_tradnl"/>
        </w:rPr>
        <w:t xml:space="preserve">Por lo que </w:t>
      </w:r>
      <w:r w:rsidR="00075EFC">
        <w:rPr>
          <w:rFonts w:ascii="ITC Avant Garde" w:eastAsia="Arial" w:hAnsi="ITC Avant Garde" w:cs="Arial"/>
          <w:sz w:val="22"/>
          <w:szCs w:val="22"/>
          <w:lang w:val="es-ES_tradnl"/>
        </w:rPr>
        <w:t>hace</w:t>
      </w:r>
      <w:r>
        <w:rPr>
          <w:rFonts w:ascii="ITC Avant Garde" w:eastAsia="Arial" w:hAnsi="ITC Avant Garde" w:cs="Arial"/>
          <w:sz w:val="22"/>
          <w:szCs w:val="22"/>
          <w:lang w:val="es-ES_tradnl"/>
        </w:rPr>
        <w:t xml:space="preserve"> a l</w:t>
      </w:r>
      <w:r w:rsidR="00233507" w:rsidRPr="00F7548C">
        <w:rPr>
          <w:rFonts w:ascii="ITC Avant Garde" w:eastAsia="Arial" w:hAnsi="ITC Avant Garde" w:cs="Arial"/>
          <w:sz w:val="22"/>
          <w:szCs w:val="22"/>
          <w:lang w:val="es-ES_tradnl"/>
        </w:rPr>
        <w:t xml:space="preserve">os </w:t>
      </w:r>
      <w:r w:rsidR="006F4EF4" w:rsidRPr="00F7548C">
        <w:rPr>
          <w:rFonts w:ascii="ITC Avant Garde" w:eastAsia="Arial" w:hAnsi="ITC Avant Garde" w:cs="Arial"/>
          <w:sz w:val="22"/>
          <w:szCs w:val="22"/>
          <w:lang w:val="es-ES_tradnl"/>
        </w:rPr>
        <w:t>l</w:t>
      </w:r>
      <w:r w:rsidR="00233507" w:rsidRPr="00F7548C">
        <w:rPr>
          <w:rFonts w:ascii="ITC Avant Garde" w:eastAsia="Arial" w:hAnsi="ITC Avant Garde" w:cs="Arial"/>
          <w:sz w:val="22"/>
          <w:szCs w:val="22"/>
          <w:lang w:val="es-ES_tradnl"/>
        </w:rPr>
        <w:t xml:space="preserve">ineamientos </w:t>
      </w:r>
      <w:r>
        <w:rPr>
          <w:rFonts w:ascii="ITC Avant Garde" w:eastAsia="Arial" w:hAnsi="ITC Avant Garde" w:cs="Arial"/>
          <w:sz w:val="22"/>
          <w:szCs w:val="22"/>
          <w:lang w:val="es-ES_tradnl"/>
        </w:rPr>
        <w:t xml:space="preserve">emitidos por el Instituto, éstos </w:t>
      </w:r>
      <w:r w:rsidR="00233507" w:rsidRPr="00F7548C">
        <w:rPr>
          <w:rFonts w:ascii="ITC Avant Garde" w:eastAsia="Arial" w:hAnsi="ITC Avant Garde" w:cs="Arial"/>
          <w:sz w:val="22"/>
          <w:szCs w:val="22"/>
          <w:lang w:val="es-ES_tradnl"/>
        </w:rPr>
        <w:t xml:space="preserve">deben asegurar que la CFE </w:t>
      </w:r>
      <w:r>
        <w:rPr>
          <w:rFonts w:ascii="ITC Avant Garde" w:eastAsia="Arial" w:hAnsi="ITC Avant Garde" w:cs="Arial"/>
          <w:sz w:val="22"/>
          <w:szCs w:val="22"/>
          <w:lang w:val="es-ES_tradnl"/>
        </w:rPr>
        <w:t>garantice</w:t>
      </w:r>
      <w:r w:rsidR="00233507" w:rsidRPr="00F7548C">
        <w:rPr>
          <w:rFonts w:ascii="ITC Avant Garde" w:eastAsia="Arial" w:hAnsi="ITC Avant Garde" w:cs="Arial"/>
          <w:sz w:val="22"/>
          <w:szCs w:val="22"/>
          <w:lang w:val="es-ES_tradnl"/>
        </w:rPr>
        <w:t xml:space="preserve"> el</w:t>
      </w:r>
      <w:r w:rsidR="00233507" w:rsidRPr="00F7548C">
        <w:rPr>
          <w:rFonts w:ascii="ITC Avant Garde" w:eastAsia="Arial" w:hAnsi="ITC Avant Garde" w:cs="Arial"/>
          <w:sz w:val="22"/>
          <w:szCs w:val="22"/>
        </w:rPr>
        <w:t xml:space="preserve"> uso compartido de toda su infraestructura susceptible de ser aprovechada para el despliegue de la </w:t>
      </w:r>
      <w:r w:rsidR="007330E8">
        <w:rPr>
          <w:rFonts w:ascii="ITC Avant Garde" w:eastAsia="Arial" w:hAnsi="ITC Avant Garde" w:cs="Arial"/>
          <w:sz w:val="22"/>
          <w:szCs w:val="22"/>
        </w:rPr>
        <w:t>robusta red troncal de cobertura nacional a la que se refiere el artículo Décimo Quinto Transitorio del D</w:t>
      </w:r>
      <w:r w:rsidR="00455222">
        <w:rPr>
          <w:rFonts w:ascii="ITC Avant Garde" w:eastAsia="Arial" w:hAnsi="ITC Avant Garde" w:cs="Arial"/>
          <w:sz w:val="22"/>
          <w:szCs w:val="22"/>
        </w:rPr>
        <w:t>ecreto de Reforma Constitucional en materia de t</w:t>
      </w:r>
      <w:r w:rsidR="007330E8">
        <w:rPr>
          <w:rFonts w:ascii="ITC Avant Garde" w:eastAsia="Arial" w:hAnsi="ITC Avant Garde" w:cs="Arial"/>
          <w:sz w:val="22"/>
          <w:szCs w:val="22"/>
        </w:rPr>
        <w:t>elecomunicaciones</w:t>
      </w:r>
      <w:r w:rsidR="00233507" w:rsidRPr="00F7548C">
        <w:rPr>
          <w:rFonts w:ascii="ITC Avant Garde" w:eastAsia="Arial" w:hAnsi="ITC Avant Garde" w:cs="Arial"/>
          <w:sz w:val="22"/>
          <w:szCs w:val="22"/>
        </w:rPr>
        <w:t>.</w:t>
      </w:r>
    </w:p>
    <w:p w14:paraId="6E10AA55" w14:textId="77777777" w:rsidR="00FF0E07" w:rsidRPr="00F7548C" w:rsidRDefault="00FF0E07" w:rsidP="00233507">
      <w:pPr>
        <w:tabs>
          <w:tab w:val="num" w:pos="1220"/>
          <w:tab w:val="num" w:pos="1940"/>
        </w:tabs>
        <w:spacing w:line="276" w:lineRule="auto"/>
        <w:jc w:val="both"/>
        <w:rPr>
          <w:rFonts w:ascii="ITC Avant Garde" w:eastAsia="Arial" w:hAnsi="ITC Avant Garde" w:cs="Arial"/>
          <w:sz w:val="22"/>
          <w:szCs w:val="22"/>
        </w:rPr>
      </w:pPr>
    </w:p>
    <w:p w14:paraId="6CD67F98" w14:textId="65FE74BA" w:rsidR="00C85611" w:rsidRPr="00F7548C" w:rsidRDefault="001E6157" w:rsidP="00C85611">
      <w:pPr>
        <w:tabs>
          <w:tab w:val="num" w:pos="1220"/>
          <w:tab w:val="num" w:pos="1940"/>
        </w:tabs>
        <w:spacing w:line="276" w:lineRule="auto"/>
        <w:jc w:val="both"/>
        <w:rPr>
          <w:rFonts w:ascii="ITC Avant Garde" w:hAnsi="ITC Avant Garde"/>
          <w:bCs/>
          <w:sz w:val="22"/>
          <w:szCs w:val="22"/>
        </w:rPr>
      </w:pPr>
      <w:r w:rsidRPr="00F7548C">
        <w:rPr>
          <w:rFonts w:ascii="ITC Avant Garde" w:eastAsia="Arial" w:hAnsi="ITC Avant Garde" w:cs="Arial"/>
          <w:sz w:val="22"/>
          <w:szCs w:val="22"/>
          <w:lang w:val="es-ES_tradnl"/>
        </w:rPr>
        <w:t>Es importante</w:t>
      </w:r>
      <w:r w:rsidR="00235136" w:rsidRPr="00F7548C">
        <w:rPr>
          <w:rFonts w:ascii="ITC Avant Garde" w:eastAsia="Arial" w:hAnsi="ITC Avant Garde" w:cs="Arial"/>
          <w:sz w:val="22"/>
          <w:szCs w:val="22"/>
          <w:lang w:val="es-ES_tradnl"/>
        </w:rPr>
        <w:t xml:space="preserve"> </w:t>
      </w:r>
      <w:r w:rsidR="00416EAA" w:rsidRPr="00F7548C">
        <w:rPr>
          <w:rFonts w:ascii="ITC Avant Garde" w:eastAsia="Arial" w:hAnsi="ITC Avant Garde" w:cs="Arial"/>
          <w:sz w:val="22"/>
          <w:szCs w:val="22"/>
          <w:lang w:val="es-ES_tradnl"/>
        </w:rPr>
        <w:t xml:space="preserve">señalar que la infraestructura de la CFE se desplegó principalmente, </w:t>
      </w:r>
      <w:r w:rsidRPr="00F7548C">
        <w:rPr>
          <w:rFonts w:ascii="ITC Avant Garde" w:eastAsia="Arial" w:hAnsi="ITC Avant Garde" w:cs="Arial"/>
          <w:sz w:val="22"/>
          <w:szCs w:val="22"/>
          <w:lang w:val="es-ES_tradnl"/>
        </w:rPr>
        <w:t>para</w:t>
      </w:r>
      <w:r w:rsidR="00416EAA" w:rsidRPr="00F7548C">
        <w:rPr>
          <w:rFonts w:ascii="ITC Avant Garde" w:eastAsia="Arial" w:hAnsi="ITC Avant Garde" w:cs="Arial"/>
          <w:sz w:val="22"/>
          <w:szCs w:val="22"/>
          <w:lang w:val="es-ES_tradnl"/>
        </w:rPr>
        <w:t xml:space="preserve"> proveer el servicio público de energía eléctrica, por lo que utilizar dicha infraestructura para la provisión de servicios públicos de telecomunicaciones tiene </w:t>
      </w:r>
      <w:r w:rsidRPr="00F7548C">
        <w:rPr>
          <w:rFonts w:ascii="ITC Avant Garde" w:eastAsia="Arial" w:hAnsi="ITC Avant Garde" w:cs="Arial"/>
          <w:sz w:val="22"/>
          <w:szCs w:val="22"/>
          <w:lang w:val="es-ES_tradnl"/>
        </w:rPr>
        <w:t>el carácter de servicio secundario para esta infraestructura.</w:t>
      </w:r>
      <w:r w:rsidR="00416EAA" w:rsidRPr="00F7548C">
        <w:rPr>
          <w:rFonts w:ascii="ITC Avant Garde" w:eastAsia="Arial" w:hAnsi="ITC Avant Garde" w:cs="Arial"/>
          <w:sz w:val="22"/>
          <w:szCs w:val="22"/>
          <w:lang w:val="es-ES_tradnl"/>
        </w:rPr>
        <w:t xml:space="preserve"> Por esta situación</w:t>
      </w:r>
      <w:r w:rsidRPr="00F7548C">
        <w:rPr>
          <w:rFonts w:ascii="ITC Avant Garde" w:eastAsia="Arial" w:hAnsi="ITC Avant Garde" w:cs="Arial"/>
          <w:sz w:val="22"/>
          <w:szCs w:val="22"/>
          <w:lang w:val="es-ES_tradnl"/>
        </w:rPr>
        <w:t>,</w:t>
      </w:r>
      <w:r w:rsidR="00416EAA" w:rsidRPr="00F7548C">
        <w:rPr>
          <w:rFonts w:ascii="ITC Avant Garde" w:eastAsia="Arial" w:hAnsi="ITC Avant Garde" w:cs="Arial"/>
          <w:sz w:val="22"/>
          <w:szCs w:val="22"/>
          <w:lang w:val="es-ES_tradnl"/>
        </w:rPr>
        <w:t xml:space="preserve"> </w:t>
      </w:r>
      <w:r w:rsidRPr="00F7548C">
        <w:rPr>
          <w:rFonts w:ascii="ITC Avant Garde" w:eastAsia="Arial" w:hAnsi="ITC Avant Garde" w:cs="Arial"/>
          <w:sz w:val="22"/>
          <w:szCs w:val="22"/>
          <w:lang w:val="es-ES_tradnl"/>
        </w:rPr>
        <w:t>resulta</w:t>
      </w:r>
      <w:r w:rsidR="0022073B" w:rsidRPr="00F7548C">
        <w:rPr>
          <w:rFonts w:ascii="ITC Avant Garde" w:eastAsia="Arial" w:hAnsi="ITC Avant Garde" w:cs="Arial"/>
          <w:sz w:val="22"/>
          <w:szCs w:val="22"/>
          <w:lang w:val="es-ES_tradnl"/>
        </w:rPr>
        <w:t xml:space="preserve"> razonable que </w:t>
      </w:r>
      <w:r w:rsidR="00235136" w:rsidRPr="00F7548C">
        <w:rPr>
          <w:rFonts w:ascii="ITC Avant Garde" w:eastAsia="Arial" w:hAnsi="ITC Avant Garde" w:cs="Arial"/>
          <w:sz w:val="22"/>
          <w:szCs w:val="22"/>
          <w:lang w:val="es-ES_tradnl"/>
        </w:rPr>
        <w:t>Telecomunicaciones de M</w:t>
      </w:r>
      <w:r w:rsidR="0022073B" w:rsidRPr="00F7548C">
        <w:rPr>
          <w:rFonts w:ascii="ITC Avant Garde" w:eastAsia="Arial" w:hAnsi="ITC Avant Garde" w:cs="Arial"/>
          <w:sz w:val="22"/>
          <w:szCs w:val="22"/>
          <w:lang w:val="es-ES_tradnl"/>
        </w:rPr>
        <w:t>éxico</w:t>
      </w:r>
      <w:r w:rsidR="00235136" w:rsidRPr="00F7548C">
        <w:rPr>
          <w:rFonts w:ascii="ITC Avant Garde" w:eastAsia="Arial" w:hAnsi="ITC Avant Garde" w:cs="Arial"/>
          <w:sz w:val="22"/>
          <w:szCs w:val="22"/>
          <w:lang w:val="es-ES_tradnl"/>
        </w:rPr>
        <w:t xml:space="preserve"> </w:t>
      </w:r>
      <w:r w:rsidR="0022073B" w:rsidRPr="00F7548C">
        <w:rPr>
          <w:rFonts w:ascii="ITC Avant Garde" w:eastAsia="Arial" w:hAnsi="ITC Avant Garde" w:cs="Arial"/>
          <w:sz w:val="22"/>
          <w:szCs w:val="22"/>
          <w:lang w:val="es-ES_tradnl"/>
        </w:rPr>
        <w:t>cumpla</w:t>
      </w:r>
      <w:r w:rsidR="000B05A8" w:rsidRPr="00F7548C">
        <w:rPr>
          <w:rFonts w:ascii="ITC Avant Garde" w:eastAsia="Arial" w:hAnsi="ITC Avant Garde" w:cs="Arial"/>
          <w:sz w:val="22"/>
          <w:szCs w:val="22"/>
          <w:lang w:val="es-ES_tradnl"/>
        </w:rPr>
        <w:t xml:space="preserve"> </w:t>
      </w:r>
      <w:r w:rsidR="0022073B" w:rsidRPr="00F7548C">
        <w:rPr>
          <w:rFonts w:ascii="ITC Avant Garde" w:eastAsia="Arial" w:hAnsi="ITC Avant Garde" w:cs="Arial"/>
          <w:sz w:val="22"/>
          <w:szCs w:val="22"/>
          <w:lang w:val="es-ES_tradnl"/>
        </w:rPr>
        <w:t xml:space="preserve">con los </w:t>
      </w:r>
      <w:r w:rsidR="00FF0E07" w:rsidRPr="00F7548C">
        <w:rPr>
          <w:rFonts w:ascii="ITC Avant Garde" w:eastAsia="Arial" w:hAnsi="ITC Avant Garde" w:cs="Arial"/>
          <w:sz w:val="22"/>
          <w:szCs w:val="22"/>
          <w:lang w:val="es-ES_tradnl"/>
        </w:rPr>
        <w:t>requerimientos técnicos, de operación, administrativos, de seguridad</w:t>
      </w:r>
      <w:r w:rsidR="0022073B" w:rsidRPr="00F7548C">
        <w:rPr>
          <w:rFonts w:ascii="ITC Avant Garde" w:eastAsia="Arial" w:hAnsi="ITC Avant Garde" w:cs="Arial"/>
          <w:sz w:val="22"/>
          <w:szCs w:val="22"/>
          <w:lang w:val="es-ES_tradnl"/>
        </w:rPr>
        <w:t xml:space="preserve">, entre otros, que garanticen la compartición </w:t>
      </w:r>
      <w:r w:rsidRPr="00F7548C">
        <w:rPr>
          <w:rFonts w:ascii="ITC Avant Garde" w:eastAsia="Arial" w:hAnsi="ITC Avant Garde" w:cs="Arial"/>
          <w:sz w:val="22"/>
          <w:szCs w:val="22"/>
          <w:lang w:val="es-ES_tradnl"/>
        </w:rPr>
        <w:t xml:space="preserve">de dicha infraestructura </w:t>
      </w:r>
      <w:r w:rsidR="0022073B" w:rsidRPr="00F7548C">
        <w:rPr>
          <w:rFonts w:ascii="ITC Avant Garde" w:eastAsia="Arial" w:hAnsi="ITC Avant Garde" w:cs="Arial"/>
          <w:sz w:val="22"/>
          <w:szCs w:val="22"/>
          <w:lang w:val="es-ES_tradnl"/>
        </w:rPr>
        <w:t xml:space="preserve">sin una afectación </w:t>
      </w:r>
      <w:r w:rsidRPr="00F7548C">
        <w:rPr>
          <w:rFonts w:ascii="ITC Avant Garde" w:eastAsia="Arial" w:hAnsi="ITC Avant Garde" w:cs="Arial"/>
          <w:sz w:val="22"/>
          <w:szCs w:val="22"/>
          <w:lang w:val="es-ES_tradnl"/>
        </w:rPr>
        <w:t>de ambos servicios públicos</w:t>
      </w:r>
      <w:r w:rsidR="0022073B" w:rsidRPr="00F7548C">
        <w:rPr>
          <w:rFonts w:ascii="ITC Avant Garde" w:eastAsia="Arial" w:hAnsi="ITC Avant Garde" w:cs="Arial"/>
          <w:sz w:val="22"/>
          <w:szCs w:val="22"/>
          <w:lang w:val="es-ES_tradnl"/>
        </w:rPr>
        <w:t>.</w:t>
      </w:r>
      <w:r w:rsidR="007D14F0" w:rsidRPr="00F7548C">
        <w:rPr>
          <w:rFonts w:ascii="ITC Avant Garde" w:eastAsia="Arial" w:hAnsi="ITC Avant Garde" w:cs="Arial"/>
          <w:sz w:val="22"/>
          <w:szCs w:val="22"/>
          <w:lang w:val="es-ES_tradnl"/>
        </w:rPr>
        <w:t xml:space="preserve"> </w:t>
      </w:r>
      <w:r w:rsidRPr="00F7548C">
        <w:rPr>
          <w:rFonts w:ascii="ITC Avant Garde" w:eastAsia="Arial" w:hAnsi="ITC Avant Garde" w:cs="Arial"/>
          <w:sz w:val="22"/>
          <w:szCs w:val="22"/>
        </w:rPr>
        <w:t>Por lo mismo, es</w:t>
      </w:r>
      <w:r w:rsidR="00C85611" w:rsidRPr="00F7548C">
        <w:rPr>
          <w:rFonts w:ascii="ITC Avant Garde" w:eastAsia="Arial" w:hAnsi="ITC Avant Garde" w:cs="Arial"/>
          <w:sz w:val="22"/>
          <w:szCs w:val="22"/>
          <w:lang w:val="es-ES_tradnl"/>
        </w:rPr>
        <w:t xml:space="preserve"> procedente </w:t>
      </w:r>
      <w:r w:rsidR="00C85611" w:rsidRPr="00F7548C">
        <w:rPr>
          <w:rFonts w:ascii="ITC Avant Garde" w:hAnsi="ITC Avant Garde"/>
          <w:bCs/>
          <w:sz w:val="22"/>
          <w:szCs w:val="22"/>
        </w:rPr>
        <w:t xml:space="preserve">prohibir el empleo de ciertos elementos que interfieran o afecten la provisión del servicio de energía eléctrica, y </w:t>
      </w:r>
      <w:r w:rsidRPr="00F7548C">
        <w:rPr>
          <w:rFonts w:ascii="ITC Avant Garde" w:hAnsi="ITC Avant Garde"/>
          <w:bCs/>
          <w:sz w:val="22"/>
          <w:szCs w:val="22"/>
        </w:rPr>
        <w:t xml:space="preserve">además, </w:t>
      </w:r>
      <w:r w:rsidR="00C85611" w:rsidRPr="00F7548C">
        <w:rPr>
          <w:rFonts w:ascii="ITC Avant Garde" w:hAnsi="ITC Avant Garde"/>
          <w:bCs/>
          <w:sz w:val="22"/>
          <w:szCs w:val="22"/>
        </w:rPr>
        <w:t>disponer de los me</w:t>
      </w:r>
      <w:r w:rsidRPr="00F7548C">
        <w:rPr>
          <w:rFonts w:ascii="ITC Avant Garde" w:hAnsi="ITC Avant Garde"/>
          <w:bCs/>
          <w:sz w:val="22"/>
          <w:szCs w:val="22"/>
        </w:rPr>
        <w:t>canismos que permiten imputar</w:t>
      </w:r>
      <w:r w:rsidR="00C85611" w:rsidRPr="00F7548C">
        <w:rPr>
          <w:rFonts w:ascii="ITC Avant Garde" w:hAnsi="ITC Avant Garde"/>
          <w:bCs/>
          <w:sz w:val="22"/>
          <w:szCs w:val="22"/>
        </w:rPr>
        <w:t xml:space="preserve"> responsabilidades por los daños y/o perjuicios causados.</w:t>
      </w:r>
    </w:p>
    <w:p w14:paraId="7A64C0CF" w14:textId="77777777" w:rsidR="00586826" w:rsidRPr="00F7548C" w:rsidRDefault="00586826" w:rsidP="00233507">
      <w:pPr>
        <w:tabs>
          <w:tab w:val="num" w:pos="1220"/>
          <w:tab w:val="num" w:pos="1940"/>
        </w:tabs>
        <w:spacing w:line="276" w:lineRule="auto"/>
        <w:jc w:val="both"/>
        <w:rPr>
          <w:rFonts w:ascii="ITC Avant Garde" w:eastAsia="Arial" w:hAnsi="ITC Avant Garde" w:cs="Arial"/>
          <w:sz w:val="22"/>
          <w:szCs w:val="22"/>
        </w:rPr>
      </w:pPr>
    </w:p>
    <w:p w14:paraId="3DDDF04D" w14:textId="31EC402D" w:rsidR="00586826" w:rsidRPr="00F7548C" w:rsidRDefault="001E6157" w:rsidP="00233507">
      <w:pPr>
        <w:tabs>
          <w:tab w:val="num" w:pos="1220"/>
          <w:tab w:val="num" w:pos="1940"/>
        </w:tabs>
        <w:spacing w:line="276" w:lineRule="auto"/>
        <w:jc w:val="both"/>
        <w:rPr>
          <w:rFonts w:ascii="ITC Avant Garde" w:eastAsia="Arial" w:hAnsi="ITC Avant Garde" w:cs="Arial"/>
          <w:sz w:val="22"/>
          <w:szCs w:val="22"/>
        </w:rPr>
      </w:pPr>
      <w:r w:rsidRPr="00F7548C">
        <w:rPr>
          <w:rFonts w:ascii="ITC Avant Garde" w:eastAsia="Arial" w:hAnsi="ITC Avant Garde" w:cs="Arial"/>
          <w:sz w:val="22"/>
          <w:szCs w:val="22"/>
        </w:rPr>
        <w:t>Por otro lado, es</w:t>
      </w:r>
      <w:r w:rsidR="007A0F93" w:rsidRPr="00F7548C">
        <w:rPr>
          <w:rFonts w:ascii="ITC Avant Garde" w:eastAsia="Arial" w:hAnsi="ITC Avant Garde" w:cs="Arial"/>
          <w:sz w:val="22"/>
          <w:szCs w:val="22"/>
        </w:rPr>
        <w:t xml:space="preserve"> conveniente reducir al máximo la discrecionalidad</w:t>
      </w:r>
      <w:r w:rsidR="004F55F2" w:rsidRPr="00F7548C">
        <w:rPr>
          <w:rFonts w:ascii="ITC Avant Garde" w:eastAsia="Arial" w:hAnsi="ITC Avant Garde" w:cs="Arial"/>
          <w:sz w:val="22"/>
          <w:szCs w:val="22"/>
        </w:rPr>
        <w:t xml:space="preserve"> cuando se emita normatividad que </w:t>
      </w:r>
      <w:r w:rsidRPr="00F7548C">
        <w:rPr>
          <w:rFonts w:ascii="ITC Avant Garde" w:eastAsia="Arial" w:hAnsi="ITC Avant Garde" w:cs="Arial"/>
          <w:sz w:val="22"/>
          <w:szCs w:val="22"/>
        </w:rPr>
        <w:t>de alguna forma</w:t>
      </w:r>
      <w:r w:rsidR="001D6900">
        <w:rPr>
          <w:rFonts w:ascii="ITC Avant Garde" w:eastAsia="Arial" w:hAnsi="ITC Avant Garde" w:cs="Arial"/>
          <w:sz w:val="22"/>
          <w:szCs w:val="22"/>
        </w:rPr>
        <w:t xml:space="preserve"> </w:t>
      </w:r>
      <w:r w:rsidR="004F55F2" w:rsidRPr="00F7548C">
        <w:rPr>
          <w:rFonts w:ascii="ITC Avant Garde" w:eastAsia="Arial" w:hAnsi="ITC Avant Garde" w:cs="Arial"/>
          <w:sz w:val="22"/>
          <w:szCs w:val="22"/>
        </w:rPr>
        <w:t>limi</w:t>
      </w:r>
      <w:r w:rsidR="00D370FB">
        <w:rPr>
          <w:rFonts w:ascii="ITC Avant Garde" w:eastAsia="Arial" w:hAnsi="ITC Avant Garde" w:cs="Arial"/>
          <w:sz w:val="22"/>
          <w:szCs w:val="22"/>
        </w:rPr>
        <w:t>te</w:t>
      </w:r>
      <w:r w:rsidR="004F55F2" w:rsidRPr="00F7548C">
        <w:rPr>
          <w:rFonts w:ascii="ITC Avant Garde" w:eastAsia="Arial" w:hAnsi="ITC Avant Garde" w:cs="Arial"/>
          <w:sz w:val="22"/>
          <w:szCs w:val="22"/>
        </w:rPr>
        <w:t xml:space="preserve"> el </w:t>
      </w:r>
      <w:r w:rsidRPr="00F7548C">
        <w:rPr>
          <w:rFonts w:ascii="ITC Avant Garde" w:eastAsia="Arial" w:hAnsi="ITC Avant Garde" w:cs="Arial"/>
          <w:sz w:val="22"/>
          <w:szCs w:val="22"/>
        </w:rPr>
        <w:t>acceso y uso de infraestructura</w:t>
      </w:r>
      <w:r w:rsidR="004F55F2" w:rsidRPr="00F7548C">
        <w:rPr>
          <w:rFonts w:ascii="ITC Avant Garde" w:eastAsia="Arial" w:hAnsi="ITC Avant Garde" w:cs="Arial"/>
          <w:sz w:val="22"/>
          <w:szCs w:val="22"/>
        </w:rPr>
        <w:t xml:space="preserve"> por parte de los concesionarios</w:t>
      </w:r>
      <w:r w:rsidR="00161467" w:rsidRPr="00F7548C">
        <w:rPr>
          <w:rFonts w:ascii="ITC Avant Garde" w:eastAsia="Arial" w:hAnsi="ITC Avant Garde" w:cs="Arial"/>
          <w:sz w:val="22"/>
          <w:szCs w:val="22"/>
        </w:rPr>
        <w:t xml:space="preserve">, </w:t>
      </w:r>
      <w:r w:rsidR="005D05E6" w:rsidRPr="00F7548C">
        <w:rPr>
          <w:rFonts w:ascii="ITC Avant Garde" w:eastAsia="Arial" w:hAnsi="ITC Avant Garde" w:cs="Arial"/>
          <w:sz w:val="22"/>
          <w:szCs w:val="22"/>
        </w:rPr>
        <w:t>por ejemplo,</w:t>
      </w:r>
      <w:r w:rsidRPr="00F7548C">
        <w:rPr>
          <w:rFonts w:ascii="ITC Avant Garde" w:eastAsia="Arial" w:hAnsi="ITC Avant Garde" w:cs="Arial"/>
          <w:sz w:val="22"/>
          <w:szCs w:val="22"/>
        </w:rPr>
        <w:t xml:space="preserve"> cuando se</w:t>
      </w:r>
      <w:r w:rsidR="005D05E6" w:rsidRPr="00F7548C">
        <w:rPr>
          <w:rFonts w:ascii="ITC Avant Garde" w:eastAsia="Arial" w:hAnsi="ITC Avant Garde" w:cs="Arial"/>
          <w:sz w:val="22"/>
          <w:szCs w:val="22"/>
        </w:rPr>
        <w:t xml:space="preserve"> </w:t>
      </w:r>
      <w:r w:rsidRPr="00F7548C">
        <w:rPr>
          <w:rFonts w:ascii="ITC Avant Garde" w:eastAsia="Arial" w:hAnsi="ITC Avant Garde" w:cs="Arial"/>
          <w:sz w:val="22"/>
          <w:szCs w:val="22"/>
        </w:rPr>
        <w:t>niegue</w:t>
      </w:r>
      <w:r w:rsidR="00586826" w:rsidRPr="00F7548C">
        <w:rPr>
          <w:rFonts w:ascii="ITC Avant Garde" w:eastAsia="Arial" w:hAnsi="ITC Avant Garde" w:cs="Arial"/>
          <w:sz w:val="22"/>
          <w:szCs w:val="22"/>
        </w:rPr>
        <w:t xml:space="preserve"> el </w:t>
      </w:r>
      <w:r w:rsidRPr="00F7548C">
        <w:rPr>
          <w:rFonts w:ascii="ITC Avant Garde" w:eastAsia="Arial" w:hAnsi="ITC Avant Garde" w:cs="Arial"/>
          <w:sz w:val="22"/>
          <w:szCs w:val="22"/>
        </w:rPr>
        <w:t>acceso y uso de la infrae</w:t>
      </w:r>
      <w:r w:rsidR="00586826" w:rsidRPr="00F7548C">
        <w:rPr>
          <w:rFonts w:ascii="ITC Avant Garde" w:eastAsia="Arial" w:hAnsi="ITC Avant Garde" w:cs="Arial"/>
          <w:sz w:val="22"/>
          <w:szCs w:val="22"/>
        </w:rPr>
        <w:t xml:space="preserve">structura únicamente por </w:t>
      </w:r>
      <w:r w:rsidR="001D6900">
        <w:rPr>
          <w:rFonts w:ascii="ITC Avant Garde" w:eastAsia="Arial" w:hAnsi="ITC Avant Garde" w:cs="Arial"/>
          <w:sz w:val="22"/>
          <w:szCs w:val="22"/>
        </w:rPr>
        <w:t>razones de cupo, en razón d</w:t>
      </w:r>
      <w:r w:rsidR="00586826" w:rsidRPr="00F7548C">
        <w:rPr>
          <w:rFonts w:ascii="ITC Avant Garde" w:eastAsia="Arial" w:hAnsi="ITC Avant Garde" w:cs="Arial"/>
          <w:sz w:val="22"/>
          <w:szCs w:val="22"/>
        </w:rPr>
        <w:t>el número de concesionarios</w:t>
      </w:r>
      <w:r w:rsidR="00BA6F50" w:rsidRPr="00F7548C">
        <w:rPr>
          <w:rFonts w:ascii="ITC Avant Garde" w:eastAsia="Arial" w:hAnsi="ITC Avant Garde" w:cs="Arial"/>
          <w:sz w:val="22"/>
          <w:szCs w:val="22"/>
        </w:rPr>
        <w:t xml:space="preserve"> o autorizados </w:t>
      </w:r>
      <w:r w:rsidR="00586826" w:rsidRPr="00F7548C">
        <w:rPr>
          <w:rFonts w:ascii="ITC Avant Garde" w:eastAsia="Arial" w:hAnsi="ITC Avant Garde" w:cs="Arial"/>
          <w:sz w:val="22"/>
          <w:szCs w:val="22"/>
        </w:rPr>
        <w:t>que</w:t>
      </w:r>
      <w:r w:rsidR="008767ED" w:rsidRPr="00F7548C">
        <w:rPr>
          <w:rFonts w:ascii="ITC Avant Garde" w:eastAsia="Arial" w:hAnsi="ITC Avant Garde" w:cs="Arial"/>
          <w:sz w:val="22"/>
          <w:szCs w:val="22"/>
        </w:rPr>
        <w:t xml:space="preserve"> utilicen la infraestructura de </w:t>
      </w:r>
      <w:r w:rsidR="005F2231" w:rsidRPr="00F7548C">
        <w:rPr>
          <w:rFonts w:ascii="ITC Avant Garde" w:eastAsia="Arial" w:hAnsi="ITC Avant Garde" w:cs="Arial"/>
          <w:sz w:val="22"/>
          <w:szCs w:val="22"/>
        </w:rPr>
        <w:t>la CFE</w:t>
      </w:r>
      <w:r w:rsidRPr="00F7548C">
        <w:rPr>
          <w:rFonts w:ascii="ITC Avant Garde" w:eastAsia="Arial" w:hAnsi="ITC Avant Garde" w:cs="Arial"/>
          <w:sz w:val="22"/>
          <w:szCs w:val="22"/>
        </w:rPr>
        <w:t>. Frente a una solicitud negada, lo más conveniente es llevar a cabo un</w:t>
      </w:r>
      <w:r w:rsidR="005D05E6" w:rsidRPr="00F7548C">
        <w:rPr>
          <w:rFonts w:ascii="ITC Avant Garde" w:eastAsia="Arial" w:hAnsi="ITC Avant Garde" w:cs="Arial"/>
          <w:sz w:val="22"/>
          <w:szCs w:val="22"/>
        </w:rPr>
        <w:t xml:space="preserve"> dictamen t</w:t>
      </w:r>
      <w:r w:rsidRPr="00F7548C">
        <w:rPr>
          <w:rFonts w:ascii="ITC Avant Garde" w:eastAsia="Arial" w:hAnsi="ITC Avant Garde" w:cs="Arial"/>
          <w:sz w:val="22"/>
          <w:szCs w:val="22"/>
        </w:rPr>
        <w:t>écnico debidamente justificado</w:t>
      </w:r>
      <w:r w:rsidR="005D05E6" w:rsidRPr="00F7548C">
        <w:rPr>
          <w:rFonts w:ascii="ITC Avant Garde" w:eastAsia="Arial" w:hAnsi="ITC Avant Garde" w:cs="Arial"/>
          <w:sz w:val="22"/>
          <w:szCs w:val="22"/>
        </w:rPr>
        <w:t xml:space="preserve">. La práctica común </w:t>
      </w:r>
      <w:r w:rsidRPr="00F7548C">
        <w:rPr>
          <w:rFonts w:ascii="ITC Avant Garde" w:eastAsia="Arial" w:hAnsi="ITC Avant Garde" w:cs="Arial"/>
          <w:sz w:val="22"/>
          <w:szCs w:val="22"/>
        </w:rPr>
        <w:t>en estos casos, es</w:t>
      </w:r>
      <w:r w:rsidR="005D05E6" w:rsidRPr="00F7548C">
        <w:rPr>
          <w:rFonts w:ascii="ITC Avant Garde" w:eastAsia="Arial" w:hAnsi="ITC Avant Garde" w:cs="Arial"/>
          <w:sz w:val="22"/>
          <w:szCs w:val="22"/>
        </w:rPr>
        <w:t xml:space="preserve"> </w:t>
      </w:r>
      <w:r w:rsidRPr="00F7548C">
        <w:rPr>
          <w:rFonts w:ascii="ITC Avant Garde" w:eastAsia="Arial" w:hAnsi="ITC Avant Garde" w:cs="Arial"/>
          <w:sz w:val="22"/>
          <w:szCs w:val="22"/>
        </w:rPr>
        <w:t>la elaboración de dictámenes en el que</w:t>
      </w:r>
      <w:r w:rsidR="005D05E6" w:rsidRPr="00F7548C">
        <w:rPr>
          <w:rFonts w:ascii="ITC Avant Garde" w:eastAsia="Arial" w:hAnsi="ITC Avant Garde" w:cs="Arial"/>
          <w:sz w:val="22"/>
          <w:szCs w:val="22"/>
        </w:rPr>
        <w:t xml:space="preserve"> participen </w:t>
      </w:r>
      <w:r w:rsidR="009907D8" w:rsidRPr="00F7548C">
        <w:rPr>
          <w:rFonts w:ascii="ITC Avant Garde" w:eastAsia="Arial" w:hAnsi="ITC Avant Garde" w:cs="Arial"/>
          <w:sz w:val="22"/>
          <w:szCs w:val="22"/>
        </w:rPr>
        <w:t>especialistas acreditados</w:t>
      </w:r>
      <w:r w:rsidR="005D05E6" w:rsidRPr="00F7548C">
        <w:rPr>
          <w:rFonts w:ascii="ITC Avant Garde" w:eastAsia="Arial" w:hAnsi="ITC Avant Garde" w:cs="Arial"/>
          <w:sz w:val="22"/>
          <w:szCs w:val="22"/>
        </w:rPr>
        <w:t xml:space="preserve"> en la materia</w:t>
      </w:r>
      <w:r w:rsidRPr="00F7548C">
        <w:rPr>
          <w:rFonts w:ascii="ITC Avant Garde" w:eastAsia="Arial" w:hAnsi="ITC Avant Garde" w:cs="Arial"/>
          <w:sz w:val="22"/>
          <w:szCs w:val="22"/>
        </w:rPr>
        <w:t>, que represente</w:t>
      </w:r>
      <w:r w:rsidR="00BC11B2">
        <w:rPr>
          <w:rFonts w:ascii="ITC Avant Garde" w:eastAsia="Arial" w:hAnsi="ITC Avant Garde" w:cs="Arial"/>
          <w:sz w:val="22"/>
          <w:szCs w:val="22"/>
        </w:rPr>
        <w:t>n</w:t>
      </w:r>
      <w:r w:rsidRPr="00F7548C">
        <w:rPr>
          <w:rFonts w:ascii="ITC Avant Garde" w:eastAsia="Arial" w:hAnsi="ITC Avant Garde" w:cs="Arial"/>
          <w:sz w:val="22"/>
          <w:szCs w:val="22"/>
        </w:rPr>
        <w:t xml:space="preserve"> </w:t>
      </w:r>
      <w:r w:rsidR="00BC11B2">
        <w:rPr>
          <w:rFonts w:ascii="ITC Avant Garde" w:eastAsia="Arial" w:hAnsi="ITC Avant Garde" w:cs="Arial"/>
          <w:sz w:val="22"/>
          <w:szCs w:val="22"/>
        </w:rPr>
        <w:t xml:space="preserve">a </w:t>
      </w:r>
      <w:r w:rsidRPr="00F7548C">
        <w:rPr>
          <w:rFonts w:ascii="ITC Avant Garde" w:eastAsia="Arial" w:hAnsi="ITC Avant Garde" w:cs="Arial"/>
          <w:sz w:val="22"/>
          <w:szCs w:val="22"/>
        </w:rPr>
        <w:t>cada un</w:t>
      </w:r>
      <w:r w:rsidR="00BC11B2">
        <w:rPr>
          <w:rFonts w:ascii="ITC Avant Garde" w:eastAsia="Arial" w:hAnsi="ITC Avant Garde" w:cs="Arial"/>
          <w:sz w:val="22"/>
          <w:szCs w:val="22"/>
        </w:rPr>
        <w:t>a</w:t>
      </w:r>
      <w:r w:rsidRPr="00F7548C">
        <w:rPr>
          <w:rFonts w:ascii="ITC Avant Garde" w:eastAsia="Arial" w:hAnsi="ITC Avant Garde" w:cs="Arial"/>
          <w:sz w:val="22"/>
          <w:szCs w:val="22"/>
        </w:rPr>
        <w:t xml:space="preserve"> de las pa</w:t>
      </w:r>
      <w:r w:rsidR="00CA2977" w:rsidRPr="00F7548C">
        <w:rPr>
          <w:rFonts w:ascii="ITC Avant Garde" w:eastAsia="Arial" w:hAnsi="ITC Avant Garde" w:cs="Arial"/>
          <w:sz w:val="22"/>
          <w:szCs w:val="22"/>
        </w:rPr>
        <w:t>r</w:t>
      </w:r>
      <w:r w:rsidRPr="00F7548C">
        <w:rPr>
          <w:rFonts w:ascii="ITC Avant Garde" w:eastAsia="Arial" w:hAnsi="ITC Avant Garde" w:cs="Arial"/>
          <w:sz w:val="22"/>
          <w:szCs w:val="22"/>
        </w:rPr>
        <w:t>tes,</w:t>
      </w:r>
      <w:r w:rsidR="005F2231" w:rsidRPr="00F7548C">
        <w:rPr>
          <w:rFonts w:ascii="ITC Avant Garde" w:eastAsia="Arial" w:hAnsi="ITC Avant Garde" w:cs="Arial"/>
          <w:sz w:val="22"/>
          <w:szCs w:val="22"/>
        </w:rPr>
        <w:t xml:space="preserve"> </w:t>
      </w:r>
      <w:r w:rsidRPr="00F7548C">
        <w:rPr>
          <w:rFonts w:ascii="ITC Avant Garde" w:eastAsia="Arial" w:hAnsi="ITC Avant Garde" w:cs="Arial"/>
          <w:sz w:val="22"/>
          <w:szCs w:val="22"/>
        </w:rPr>
        <w:t xml:space="preserve">y </w:t>
      </w:r>
      <w:r w:rsidR="005F2231" w:rsidRPr="00F7548C">
        <w:rPr>
          <w:rFonts w:ascii="ITC Avant Garde" w:eastAsia="Arial" w:hAnsi="ITC Avant Garde" w:cs="Arial"/>
          <w:sz w:val="22"/>
          <w:szCs w:val="22"/>
        </w:rPr>
        <w:t>un tercer designado p</w:t>
      </w:r>
      <w:r w:rsidRPr="00F7548C">
        <w:rPr>
          <w:rFonts w:ascii="ITC Avant Garde" w:eastAsia="Arial" w:hAnsi="ITC Avant Garde" w:cs="Arial"/>
          <w:sz w:val="22"/>
          <w:szCs w:val="22"/>
        </w:rPr>
        <w:t>or ambas</w:t>
      </w:r>
      <w:r w:rsidR="005F2231" w:rsidRPr="00F7548C">
        <w:rPr>
          <w:rFonts w:ascii="ITC Avant Garde" w:eastAsia="Arial" w:hAnsi="ITC Avant Garde" w:cs="Arial"/>
          <w:sz w:val="22"/>
          <w:szCs w:val="22"/>
        </w:rPr>
        <w:t>.</w:t>
      </w:r>
    </w:p>
    <w:p w14:paraId="0645C688" w14:textId="77777777" w:rsidR="00586826" w:rsidRPr="00F7548C" w:rsidRDefault="00586826" w:rsidP="00233507">
      <w:pPr>
        <w:tabs>
          <w:tab w:val="num" w:pos="1220"/>
          <w:tab w:val="num" w:pos="1940"/>
        </w:tabs>
        <w:spacing w:line="276" w:lineRule="auto"/>
        <w:jc w:val="both"/>
        <w:rPr>
          <w:rFonts w:ascii="ITC Avant Garde" w:eastAsia="Arial" w:hAnsi="ITC Avant Garde" w:cs="Arial"/>
          <w:sz w:val="22"/>
          <w:szCs w:val="22"/>
        </w:rPr>
      </w:pPr>
    </w:p>
    <w:p w14:paraId="1CAD7D31" w14:textId="558EC766" w:rsidR="00401941" w:rsidRPr="00F7548C" w:rsidRDefault="001631ED">
      <w:pPr>
        <w:tabs>
          <w:tab w:val="num" w:pos="1220"/>
          <w:tab w:val="num" w:pos="1940"/>
        </w:tabs>
        <w:spacing w:line="276" w:lineRule="auto"/>
        <w:jc w:val="both"/>
        <w:rPr>
          <w:rFonts w:ascii="ITC Avant Garde" w:eastAsia="Arial" w:hAnsi="ITC Avant Garde" w:cs="Arial"/>
          <w:sz w:val="22"/>
          <w:szCs w:val="22"/>
          <w:lang w:val="es-ES_tradnl"/>
        </w:rPr>
      </w:pPr>
      <w:r>
        <w:rPr>
          <w:rFonts w:ascii="ITC Avant Garde" w:eastAsia="Arial" w:hAnsi="ITC Avant Garde" w:cs="Arial"/>
          <w:sz w:val="22"/>
          <w:szCs w:val="22"/>
        </w:rPr>
        <w:lastRenderedPageBreak/>
        <w:t xml:space="preserve">Para ofrecer certeza jurídica, en los </w:t>
      </w:r>
      <w:r w:rsidR="005F2231" w:rsidRPr="00F7548C">
        <w:rPr>
          <w:rFonts w:ascii="ITC Avant Garde" w:eastAsia="Arial" w:hAnsi="ITC Avant Garde" w:cs="Arial"/>
          <w:sz w:val="22"/>
          <w:szCs w:val="22"/>
        </w:rPr>
        <w:t>convenios</w:t>
      </w:r>
      <w:r w:rsidR="00823DAB" w:rsidRPr="00F7548C">
        <w:rPr>
          <w:rFonts w:ascii="ITC Avant Garde" w:eastAsia="Arial" w:hAnsi="ITC Avant Garde" w:cs="Arial"/>
          <w:sz w:val="22"/>
          <w:szCs w:val="22"/>
        </w:rPr>
        <w:t xml:space="preserve"> se </w:t>
      </w:r>
      <w:r>
        <w:rPr>
          <w:rFonts w:ascii="ITC Avant Garde" w:eastAsia="Arial" w:hAnsi="ITC Avant Garde" w:cs="Arial"/>
          <w:sz w:val="22"/>
          <w:szCs w:val="22"/>
        </w:rPr>
        <w:t xml:space="preserve">deben </w:t>
      </w:r>
      <w:r w:rsidR="00823DAB" w:rsidRPr="00F7548C">
        <w:rPr>
          <w:rFonts w:ascii="ITC Avant Garde" w:eastAsia="Arial" w:hAnsi="ITC Avant Garde" w:cs="Arial"/>
          <w:sz w:val="22"/>
          <w:szCs w:val="22"/>
        </w:rPr>
        <w:t>establece</w:t>
      </w:r>
      <w:r>
        <w:rPr>
          <w:rFonts w:ascii="ITC Avant Garde" w:eastAsia="Arial" w:hAnsi="ITC Avant Garde" w:cs="Arial"/>
          <w:sz w:val="22"/>
          <w:szCs w:val="22"/>
        </w:rPr>
        <w:t>r</w:t>
      </w:r>
      <w:r w:rsidR="00823DAB" w:rsidRPr="00F7548C">
        <w:rPr>
          <w:rFonts w:ascii="ITC Avant Garde" w:eastAsia="Arial" w:hAnsi="ITC Avant Garde" w:cs="Arial"/>
          <w:sz w:val="22"/>
          <w:szCs w:val="22"/>
        </w:rPr>
        <w:t xml:space="preserve"> las condiciones</w:t>
      </w:r>
      <w:r w:rsidR="005F2231" w:rsidRPr="00F7548C">
        <w:rPr>
          <w:rFonts w:ascii="ITC Avant Garde" w:eastAsia="Arial" w:hAnsi="ITC Avant Garde" w:cs="Arial"/>
          <w:sz w:val="22"/>
          <w:szCs w:val="22"/>
        </w:rPr>
        <w:t xml:space="preserve"> técnicas y económicas </w:t>
      </w:r>
      <w:r w:rsidR="00823DAB" w:rsidRPr="00F7548C">
        <w:rPr>
          <w:rFonts w:ascii="ITC Avant Garde" w:eastAsia="Arial" w:hAnsi="ITC Avant Garde" w:cs="Arial"/>
          <w:sz w:val="22"/>
          <w:szCs w:val="22"/>
        </w:rPr>
        <w:t xml:space="preserve">mínimas </w:t>
      </w:r>
      <w:r w:rsidR="001E6157" w:rsidRPr="00F7548C">
        <w:rPr>
          <w:rFonts w:ascii="ITC Avant Garde" w:eastAsia="Arial" w:hAnsi="ITC Avant Garde" w:cs="Arial"/>
          <w:sz w:val="22"/>
          <w:szCs w:val="22"/>
        </w:rPr>
        <w:t>relativas a las</w:t>
      </w:r>
      <w:r w:rsidR="00C672E2" w:rsidRPr="00F7548C">
        <w:rPr>
          <w:rFonts w:ascii="ITC Avant Garde" w:eastAsia="Arial" w:hAnsi="ITC Avant Garde" w:cs="Arial"/>
          <w:sz w:val="22"/>
          <w:szCs w:val="22"/>
        </w:rPr>
        <w:t xml:space="preserve"> operaciones</w:t>
      </w:r>
      <w:r w:rsidR="001E6157" w:rsidRPr="00F7548C">
        <w:rPr>
          <w:rFonts w:ascii="ITC Avant Garde" w:eastAsia="Arial" w:hAnsi="ITC Avant Garde" w:cs="Arial"/>
          <w:sz w:val="22"/>
          <w:szCs w:val="22"/>
        </w:rPr>
        <w:t xml:space="preserve"> entre las partes</w:t>
      </w:r>
      <w:r w:rsidR="00C672E2" w:rsidRPr="00F7548C">
        <w:rPr>
          <w:rFonts w:ascii="ITC Avant Garde" w:eastAsia="Arial" w:hAnsi="ITC Avant Garde" w:cs="Arial"/>
          <w:sz w:val="22"/>
          <w:szCs w:val="22"/>
        </w:rPr>
        <w:t>, tales como las</w:t>
      </w:r>
      <w:r w:rsidR="00233507" w:rsidRPr="00F7548C">
        <w:rPr>
          <w:rFonts w:ascii="ITC Avant Garde" w:eastAsia="Arial" w:hAnsi="ITC Avant Garde" w:cs="Arial"/>
          <w:sz w:val="22"/>
          <w:szCs w:val="22"/>
        </w:rPr>
        <w:t xml:space="preserve"> solicit</w:t>
      </w:r>
      <w:r w:rsidR="00C672E2" w:rsidRPr="00F7548C">
        <w:rPr>
          <w:rFonts w:ascii="ITC Avant Garde" w:eastAsia="Arial" w:hAnsi="ITC Avant Garde" w:cs="Arial"/>
          <w:sz w:val="22"/>
          <w:szCs w:val="22"/>
        </w:rPr>
        <w:t>udes de acceso,</w:t>
      </w:r>
      <w:r w:rsidR="00C672E2" w:rsidRPr="00F7548C" w:rsidDel="00C672E2">
        <w:rPr>
          <w:rFonts w:ascii="ITC Avant Garde" w:eastAsia="Arial" w:hAnsi="ITC Avant Garde" w:cs="Arial"/>
          <w:sz w:val="22"/>
          <w:szCs w:val="22"/>
        </w:rPr>
        <w:t xml:space="preserve"> </w:t>
      </w:r>
      <w:r w:rsidR="00B3255F" w:rsidRPr="00F7548C">
        <w:rPr>
          <w:rFonts w:ascii="ITC Avant Garde" w:eastAsia="Arial" w:hAnsi="ITC Avant Garde" w:cs="Arial"/>
          <w:sz w:val="22"/>
          <w:szCs w:val="22"/>
        </w:rPr>
        <w:t>plazos y procedimi</w:t>
      </w:r>
      <w:r w:rsidR="00966EFB" w:rsidRPr="00F7548C">
        <w:rPr>
          <w:rFonts w:ascii="ITC Avant Garde" w:eastAsia="Arial" w:hAnsi="ITC Avant Garde" w:cs="Arial"/>
          <w:sz w:val="22"/>
          <w:szCs w:val="22"/>
        </w:rPr>
        <w:t>e</w:t>
      </w:r>
      <w:r w:rsidR="00B3255F" w:rsidRPr="00F7548C">
        <w:rPr>
          <w:rFonts w:ascii="ITC Avant Garde" w:eastAsia="Arial" w:hAnsi="ITC Avant Garde" w:cs="Arial"/>
          <w:sz w:val="22"/>
          <w:szCs w:val="22"/>
        </w:rPr>
        <w:t>ntos para la entrega de servicios</w:t>
      </w:r>
      <w:r w:rsidR="00C672E2" w:rsidRPr="00F7548C">
        <w:rPr>
          <w:rFonts w:ascii="ITC Avant Garde" w:eastAsia="Arial" w:hAnsi="ITC Avant Garde" w:cs="Arial"/>
          <w:sz w:val="22"/>
          <w:szCs w:val="22"/>
        </w:rPr>
        <w:t>,</w:t>
      </w:r>
      <w:r w:rsidR="00233507" w:rsidRPr="00F7548C">
        <w:rPr>
          <w:rFonts w:ascii="ITC Avant Garde" w:hAnsi="ITC Avant Garde"/>
          <w:bCs/>
          <w:sz w:val="22"/>
          <w:szCs w:val="22"/>
        </w:rPr>
        <w:t xml:space="preserve"> mantenimiento,</w:t>
      </w:r>
      <w:r w:rsidR="00C672E2" w:rsidRPr="00F7548C">
        <w:rPr>
          <w:rFonts w:ascii="ITC Avant Garde" w:hAnsi="ITC Avant Garde"/>
          <w:bCs/>
          <w:sz w:val="22"/>
          <w:szCs w:val="22"/>
        </w:rPr>
        <w:t xml:space="preserve"> </w:t>
      </w:r>
      <w:r w:rsidR="00233507" w:rsidRPr="00F7548C">
        <w:rPr>
          <w:rFonts w:ascii="ITC Avant Garde" w:hAnsi="ITC Avant Garde"/>
          <w:bCs/>
          <w:sz w:val="22"/>
          <w:szCs w:val="22"/>
        </w:rPr>
        <w:t xml:space="preserve">modificaciones y ampliaciones de la infraestructura, </w:t>
      </w:r>
      <w:r w:rsidR="00B3255F" w:rsidRPr="00F7548C">
        <w:rPr>
          <w:rFonts w:ascii="ITC Avant Garde" w:hAnsi="ITC Avant Garde"/>
          <w:bCs/>
          <w:sz w:val="22"/>
          <w:szCs w:val="22"/>
        </w:rPr>
        <w:t xml:space="preserve">mecanismos para acceder a información actualizada, </w:t>
      </w:r>
      <w:r w:rsidR="00233507" w:rsidRPr="00F7548C">
        <w:rPr>
          <w:rFonts w:ascii="ITC Avant Garde" w:hAnsi="ITC Avant Garde"/>
          <w:bCs/>
          <w:sz w:val="22"/>
          <w:szCs w:val="22"/>
        </w:rPr>
        <w:t>garantías, multas, penalidades aplicables</w:t>
      </w:r>
      <w:r w:rsidR="00B3255F" w:rsidRPr="00F7548C">
        <w:rPr>
          <w:rFonts w:ascii="ITC Avant Garde" w:hAnsi="ITC Avant Garde"/>
          <w:bCs/>
          <w:sz w:val="22"/>
          <w:szCs w:val="22"/>
        </w:rPr>
        <w:t xml:space="preserve">, </w:t>
      </w:r>
      <w:r w:rsidR="00233507" w:rsidRPr="00F7548C">
        <w:rPr>
          <w:rFonts w:ascii="ITC Avant Garde" w:eastAsia="Arial" w:hAnsi="ITC Avant Garde" w:cs="Arial"/>
          <w:sz w:val="22"/>
          <w:szCs w:val="22"/>
        </w:rPr>
        <w:t>resolución de fallas e incidencias</w:t>
      </w:r>
      <w:r w:rsidR="00966EFB" w:rsidRPr="00F7548C">
        <w:rPr>
          <w:rFonts w:ascii="ITC Avant Garde" w:eastAsia="Arial" w:hAnsi="ITC Avant Garde" w:cs="Arial"/>
          <w:sz w:val="22"/>
          <w:szCs w:val="22"/>
        </w:rPr>
        <w:t>, entre otros.</w:t>
      </w:r>
      <w:r w:rsidR="000973DD" w:rsidRPr="00F7548C">
        <w:rPr>
          <w:rFonts w:ascii="ITC Avant Garde" w:eastAsia="Arial" w:hAnsi="ITC Avant Garde" w:cs="Arial"/>
          <w:sz w:val="22"/>
          <w:szCs w:val="22"/>
        </w:rPr>
        <w:t xml:space="preserve"> </w:t>
      </w:r>
    </w:p>
    <w:p w14:paraId="61E1C946" w14:textId="77777777" w:rsidR="003B7896" w:rsidRPr="00F7548C" w:rsidRDefault="003B7896" w:rsidP="00233507">
      <w:pPr>
        <w:tabs>
          <w:tab w:val="num" w:pos="1220"/>
          <w:tab w:val="num" w:pos="1940"/>
        </w:tabs>
        <w:spacing w:line="276" w:lineRule="auto"/>
        <w:jc w:val="both"/>
        <w:rPr>
          <w:rFonts w:ascii="ITC Avant Garde" w:eastAsia="Arial" w:hAnsi="ITC Avant Garde" w:cs="Arial"/>
          <w:sz w:val="22"/>
          <w:szCs w:val="22"/>
          <w:lang w:val="es-ES_tradnl"/>
        </w:rPr>
      </w:pPr>
    </w:p>
    <w:p w14:paraId="16E1DA15" w14:textId="77777777" w:rsidR="001631ED" w:rsidRDefault="00823DAB"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 xml:space="preserve">Parte de la razonabilidad para que agentes económicos </w:t>
      </w:r>
      <w:r w:rsidR="00FE0FFB" w:rsidRPr="00F7548C">
        <w:rPr>
          <w:rFonts w:ascii="ITC Avant Garde" w:eastAsia="Arial" w:hAnsi="ITC Avant Garde" w:cs="Arial"/>
          <w:sz w:val="22"/>
          <w:szCs w:val="22"/>
          <w:lang w:val="es-ES_tradnl"/>
        </w:rPr>
        <w:t>de</w:t>
      </w:r>
      <w:r w:rsidRPr="00F7548C">
        <w:rPr>
          <w:rFonts w:ascii="ITC Avant Garde" w:eastAsia="Arial" w:hAnsi="ITC Avant Garde" w:cs="Arial"/>
          <w:sz w:val="22"/>
          <w:szCs w:val="22"/>
          <w:lang w:val="es-ES_tradnl"/>
        </w:rPr>
        <w:t xml:space="preserve"> dos industrias diferentes compartan una misma infraestructura, es que puedan adjudicarse de manera proporcional los costos de mantenimiento </w:t>
      </w:r>
      <w:r w:rsidR="001E6157" w:rsidRPr="00F7548C">
        <w:rPr>
          <w:rFonts w:ascii="ITC Avant Garde" w:eastAsia="Arial" w:hAnsi="ITC Avant Garde" w:cs="Arial"/>
          <w:sz w:val="22"/>
          <w:szCs w:val="22"/>
          <w:lang w:val="es-ES_tradnl"/>
        </w:rPr>
        <w:t>de aquellos</w:t>
      </w:r>
      <w:r w:rsidRPr="00F7548C">
        <w:rPr>
          <w:rFonts w:ascii="ITC Avant Garde" w:eastAsia="Arial" w:hAnsi="ITC Avant Garde" w:cs="Arial"/>
          <w:sz w:val="22"/>
          <w:szCs w:val="22"/>
          <w:lang w:val="es-ES_tradnl"/>
        </w:rPr>
        <w:t xml:space="preserve"> elementos de infraestructura que se están aprovechando. </w:t>
      </w:r>
      <w:r w:rsidR="001E6157" w:rsidRPr="00F7548C">
        <w:rPr>
          <w:rFonts w:ascii="ITC Avant Garde" w:eastAsia="Arial" w:hAnsi="ITC Avant Garde" w:cs="Arial"/>
          <w:sz w:val="22"/>
          <w:szCs w:val="22"/>
          <w:lang w:val="es-ES_tradnl"/>
        </w:rPr>
        <w:t>Por lo anterior, resulta conveniente</w:t>
      </w:r>
      <w:r w:rsidR="00334EC1" w:rsidRPr="00F7548C">
        <w:rPr>
          <w:rFonts w:ascii="ITC Avant Garde" w:eastAsia="Arial" w:hAnsi="ITC Avant Garde" w:cs="Arial"/>
          <w:sz w:val="22"/>
          <w:szCs w:val="22"/>
          <w:lang w:val="es-ES_tradnl"/>
        </w:rPr>
        <w:t xml:space="preserve"> el pago de contraprestaciones por parte de Telecomunicaciones de México </w:t>
      </w:r>
      <w:r w:rsidR="001E6157" w:rsidRPr="00F7548C">
        <w:rPr>
          <w:rFonts w:ascii="ITC Avant Garde" w:eastAsia="Arial" w:hAnsi="ITC Avant Garde" w:cs="Arial"/>
          <w:sz w:val="22"/>
          <w:szCs w:val="22"/>
          <w:lang w:val="es-ES_tradnl"/>
        </w:rPr>
        <w:t>h</w:t>
      </w:r>
      <w:r w:rsidR="00334EC1" w:rsidRPr="00F7548C">
        <w:rPr>
          <w:rFonts w:ascii="ITC Avant Garde" w:eastAsia="Arial" w:hAnsi="ITC Avant Garde" w:cs="Arial"/>
          <w:sz w:val="22"/>
          <w:szCs w:val="22"/>
          <w:lang w:val="es-ES_tradnl"/>
        </w:rPr>
        <w:t>a</w:t>
      </w:r>
      <w:r w:rsidR="001E6157" w:rsidRPr="00F7548C">
        <w:rPr>
          <w:rFonts w:ascii="ITC Avant Garde" w:eastAsia="Arial" w:hAnsi="ITC Avant Garde" w:cs="Arial"/>
          <w:sz w:val="22"/>
          <w:szCs w:val="22"/>
          <w:lang w:val="es-ES_tradnl"/>
        </w:rPr>
        <w:t>cia</w:t>
      </w:r>
      <w:r w:rsidR="00334EC1" w:rsidRPr="00F7548C">
        <w:rPr>
          <w:rFonts w:ascii="ITC Avant Garde" w:eastAsia="Arial" w:hAnsi="ITC Avant Garde" w:cs="Arial"/>
          <w:sz w:val="22"/>
          <w:szCs w:val="22"/>
          <w:lang w:val="es-ES_tradnl"/>
        </w:rPr>
        <w:t xml:space="preserve"> CFE, </w:t>
      </w:r>
      <w:r w:rsidR="001E6157" w:rsidRPr="00F7548C">
        <w:rPr>
          <w:rFonts w:ascii="ITC Avant Garde" w:eastAsia="Arial" w:hAnsi="ITC Avant Garde" w:cs="Arial"/>
          <w:sz w:val="22"/>
          <w:szCs w:val="22"/>
          <w:lang w:val="es-ES_tradnl"/>
        </w:rPr>
        <w:t xml:space="preserve">con la finalidad de </w:t>
      </w:r>
      <w:r w:rsidR="007028D1" w:rsidRPr="00F7548C">
        <w:rPr>
          <w:rFonts w:ascii="ITC Avant Garde" w:eastAsia="Arial" w:hAnsi="ITC Avant Garde" w:cs="Arial"/>
          <w:sz w:val="22"/>
          <w:szCs w:val="22"/>
          <w:lang w:val="es-ES_tradnl"/>
        </w:rPr>
        <w:t xml:space="preserve">cubrir mantenimiento y gastos operativos asociados a la infraestructura compartida. </w:t>
      </w:r>
      <w:r w:rsidR="001631ED">
        <w:rPr>
          <w:rFonts w:ascii="ITC Avant Garde" w:eastAsia="Arial" w:hAnsi="ITC Avant Garde" w:cs="Arial"/>
          <w:sz w:val="22"/>
          <w:szCs w:val="22"/>
          <w:lang w:val="es-ES_tradnl"/>
        </w:rPr>
        <w:t xml:space="preserve">En este entendido, el artículo 72, segundo párrafo de la Ley de la Industria Eléctrica señala que: </w:t>
      </w:r>
    </w:p>
    <w:p w14:paraId="256E7B0F" w14:textId="77777777" w:rsidR="001631ED" w:rsidRDefault="001631ED" w:rsidP="00233507">
      <w:pPr>
        <w:tabs>
          <w:tab w:val="num" w:pos="1220"/>
          <w:tab w:val="num" w:pos="1940"/>
        </w:tabs>
        <w:spacing w:line="276" w:lineRule="auto"/>
        <w:jc w:val="both"/>
        <w:rPr>
          <w:rFonts w:ascii="ITC Avant Garde" w:eastAsia="Arial" w:hAnsi="ITC Avant Garde" w:cs="Arial"/>
          <w:sz w:val="22"/>
          <w:szCs w:val="22"/>
          <w:lang w:val="es-ES_tradnl"/>
        </w:rPr>
      </w:pPr>
    </w:p>
    <w:p w14:paraId="73DE6AF0" w14:textId="432A2E9B" w:rsidR="00387CB8" w:rsidRPr="005B2961" w:rsidRDefault="001631ED" w:rsidP="000F3A6D">
      <w:pPr>
        <w:tabs>
          <w:tab w:val="num" w:pos="1220"/>
          <w:tab w:val="num" w:pos="1940"/>
        </w:tabs>
        <w:spacing w:line="276" w:lineRule="auto"/>
        <w:ind w:left="708"/>
        <w:jc w:val="both"/>
        <w:rPr>
          <w:rFonts w:ascii="ITC Avant Garde" w:hAnsi="ITC Avant Garde"/>
          <w:bCs/>
          <w:sz w:val="22"/>
          <w:szCs w:val="22"/>
        </w:rPr>
      </w:pPr>
      <w:r w:rsidRPr="005B2961">
        <w:rPr>
          <w:rFonts w:ascii="ITC Avant Garde" w:eastAsia="Arial" w:hAnsi="ITC Avant Garde" w:cs="Arial"/>
          <w:sz w:val="20"/>
          <w:szCs w:val="22"/>
          <w:lang w:val="es-ES_tradnl"/>
        </w:rPr>
        <w:t xml:space="preserve">“En las instalaciones y derechos de vía de la infraestructura del Sistema Eléctrico Nacional </w:t>
      </w:r>
      <w:r w:rsidRPr="005B2961">
        <w:rPr>
          <w:rFonts w:ascii="ITC Avant Garde" w:eastAsia="Arial" w:hAnsi="ITC Avant Garde" w:cs="Arial"/>
          <w:b/>
          <w:sz w:val="20"/>
          <w:szCs w:val="22"/>
          <w:u w:val="single"/>
          <w:lang w:val="es-ES_tradnl"/>
        </w:rPr>
        <w:t>se permitirá el acceso al mayor número posible de prestadores de servicios públicos de industrias distintas a la eléctrica a cambio de una remuneración justa</w:t>
      </w:r>
      <w:r w:rsidRPr="005B2961">
        <w:rPr>
          <w:rFonts w:ascii="ITC Avant Garde" w:eastAsia="Arial" w:hAnsi="ITC Avant Garde" w:cs="Arial"/>
          <w:sz w:val="20"/>
          <w:szCs w:val="22"/>
          <w:lang w:val="es-ES_tradnl"/>
        </w:rPr>
        <w:t>, siempre que no se ponga en riesgo la seguridad y continuidad de la prestación de los servicios”.</w:t>
      </w:r>
      <w:r w:rsidR="00B37A14" w:rsidRPr="005B2961">
        <w:rPr>
          <w:rFonts w:ascii="ITC Avant Garde" w:eastAsia="Arial" w:hAnsi="ITC Avant Garde" w:cs="Arial"/>
          <w:sz w:val="20"/>
          <w:szCs w:val="22"/>
          <w:lang w:val="es-ES_tradnl"/>
        </w:rPr>
        <w:t xml:space="preserve"> (</w:t>
      </w:r>
      <w:proofErr w:type="gramStart"/>
      <w:r w:rsidR="00B37A14" w:rsidRPr="005B2961">
        <w:rPr>
          <w:rFonts w:ascii="ITC Avant Garde" w:eastAsia="Arial" w:hAnsi="ITC Avant Garde" w:cs="Arial"/>
          <w:sz w:val="20"/>
          <w:szCs w:val="22"/>
          <w:lang w:val="es-ES_tradnl"/>
        </w:rPr>
        <w:t>énfasis</w:t>
      </w:r>
      <w:proofErr w:type="gramEnd"/>
      <w:r w:rsidR="00B37A14" w:rsidRPr="005B2961">
        <w:rPr>
          <w:rFonts w:ascii="ITC Avant Garde" w:eastAsia="Arial" w:hAnsi="ITC Avant Garde" w:cs="Arial"/>
          <w:sz w:val="20"/>
          <w:szCs w:val="22"/>
          <w:lang w:val="es-ES_tradnl"/>
        </w:rPr>
        <w:t xml:space="preserve"> añadido)</w:t>
      </w:r>
    </w:p>
    <w:p w14:paraId="23B3EBC3" w14:textId="77777777" w:rsidR="003019C9" w:rsidRPr="00F7548C" w:rsidRDefault="003019C9" w:rsidP="00233507">
      <w:pPr>
        <w:tabs>
          <w:tab w:val="num" w:pos="1220"/>
          <w:tab w:val="num" w:pos="1940"/>
        </w:tabs>
        <w:spacing w:line="276" w:lineRule="auto"/>
        <w:jc w:val="both"/>
        <w:rPr>
          <w:rFonts w:ascii="ITC Avant Garde" w:eastAsia="Arial" w:hAnsi="ITC Avant Garde" w:cs="Arial"/>
          <w:sz w:val="22"/>
          <w:szCs w:val="22"/>
          <w:lang w:val="es-ES_tradnl"/>
        </w:rPr>
      </w:pPr>
    </w:p>
    <w:p w14:paraId="422BB05C" w14:textId="5A1AF4D6" w:rsidR="00277A17" w:rsidRPr="00F7548C" w:rsidRDefault="001E6157"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Ahora bien</w:t>
      </w:r>
      <w:r w:rsidR="00522752" w:rsidRPr="00F7548C">
        <w:rPr>
          <w:rFonts w:ascii="ITC Avant Garde" w:eastAsia="Arial" w:hAnsi="ITC Avant Garde" w:cs="Arial"/>
          <w:sz w:val="22"/>
          <w:szCs w:val="22"/>
          <w:lang w:val="es-ES_tradnl"/>
        </w:rPr>
        <w:t xml:space="preserve">, </w:t>
      </w:r>
      <w:r w:rsidR="00C85611" w:rsidRPr="00F7548C">
        <w:rPr>
          <w:rFonts w:ascii="ITC Avant Garde" w:eastAsia="Arial" w:hAnsi="ITC Avant Garde" w:cs="Arial"/>
          <w:sz w:val="22"/>
          <w:szCs w:val="22"/>
          <w:lang w:val="es-ES_tradnl"/>
        </w:rPr>
        <w:t xml:space="preserve">es posible que </w:t>
      </w:r>
      <w:r w:rsidR="005B4A22" w:rsidRPr="00F7548C">
        <w:rPr>
          <w:rFonts w:ascii="ITC Avant Garde" w:eastAsia="Arial" w:hAnsi="ITC Avant Garde" w:cs="Arial"/>
          <w:sz w:val="22"/>
          <w:szCs w:val="22"/>
          <w:lang w:val="es-ES_tradnl"/>
        </w:rPr>
        <w:t xml:space="preserve">Telecomunicaciones de México contrate o subcontrate con terceros </w:t>
      </w:r>
      <w:r w:rsidR="00C85611" w:rsidRPr="00F7548C">
        <w:rPr>
          <w:rFonts w:ascii="ITC Avant Garde" w:eastAsia="Arial" w:hAnsi="ITC Avant Garde" w:cs="Arial"/>
          <w:sz w:val="22"/>
          <w:szCs w:val="22"/>
          <w:lang w:val="es-ES_tradnl"/>
        </w:rPr>
        <w:t xml:space="preserve">las </w:t>
      </w:r>
      <w:r w:rsidR="005B4A22" w:rsidRPr="00F7548C">
        <w:rPr>
          <w:rFonts w:ascii="ITC Avant Garde" w:eastAsia="Arial" w:hAnsi="ITC Avant Garde" w:cs="Arial"/>
          <w:sz w:val="22"/>
          <w:szCs w:val="22"/>
          <w:lang w:val="es-ES_tradnl"/>
        </w:rPr>
        <w:t xml:space="preserve">actividades relacionadas con el </w:t>
      </w:r>
      <w:r w:rsidR="00C85611" w:rsidRPr="00F7548C">
        <w:rPr>
          <w:rFonts w:ascii="ITC Avant Garde" w:eastAsia="Arial" w:hAnsi="ITC Avant Garde" w:cs="Arial"/>
          <w:sz w:val="22"/>
          <w:szCs w:val="22"/>
          <w:lang w:val="es-ES_tradnl"/>
        </w:rPr>
        <w:t>A</w:t>
      </w:r>
      <w:r w:rsidR="005B4A22" w:rsidRPr="00F7548C">
        <w:rPr>
          <w:rFonts w:ascii="ITC Avant Garde" w:eastAsia="Arial" w:hAnsi="ITC Avant Garde" w:cs="Arial"/>
          <w:sz w:val="22"/>
          <w:szCs w:val="22"/>
          <w:lang w:val="es-ES_tradnl"/>
        </w:rPr>
        <w:t xml:space="preserve">cceso y </w:t>
      </w:r>
      <w:r w:rsidR="00C85611" w:rsidRPr="00F7548C">
        <w:rPr>
          <w:rFonts w:ascii="ITC Avant Garde" w:eastAsia="Arial" w:hAnsi="ITC Avant Garde" w:cs="Arial"/>
          <w:sz w:val="22"/>
          <w:szCs w:val="22"/>
          <w:lang w:val="es-ES_tradnl"/>
        </w:rPr>
        <w:t>U</w:t>
      </w:r>
      <w:r w:rsidR="005B4A22" w:rsidRPr="00F7548C">
        <w:rPr>
          <w:rFonts w:ascii="ITC Avant Garde" w:eastAsia="Arial" w:hAnsi="ITC Avant Garde" w:cs="Arial"/>
          <w:sz w:val="22"/>
          <w:szCs w:val="22"/>
          <w:lang w:val="es-ES_tradnl"/>
        </w:rPr>
        <w:t xml:space="preserve">so de </w:t>
      </w:r>
      <w:r w:rsidR="00C85611" w:rsidRPr="00F7548C">
        <w:rPr>
          <w:rFonts w:ascii="ITC Avant Garde" w:eastAsia="Arial" w:hAnsi="ITC Avant Garde" w:cs="Arial"/>
          <w:sz w:val="22"/>
          <w:szCs w:val="22"/>
          <w:lang w:val="es-ES_tradnl"/>
        </w:rPr>
        <w:t>I</w:t>
      </w:r>
      <w:r w:rsidR="005B4A22" w:rsidRPr="00F7548C">
        <w:rPr>
          <w:rFonts w:ascii="ITC Avant Garde" w:eastAsia="Arial" w:hAnsi="ITC Avant Garde" w:cs="Arial"/>
          <w:sz w:val="22"/>
          <w:szCs w:val="22"/>
          <w:lang w:val="es-ES_tradnl"/>
        </w:rPr>
        <w:t>nfraestructura,</w:t>
      </w:r>
      <w:r w:rsidR="00277A17" w:rsidRPr="00F7548C">
        <w:rPr>
          <w:rFonts w:ascii="ITC Avant Garde" w:eastAsia="Arial" w:hAnsi="ITC Avant Garde" w:cs="Arial"/>
          <w:sz w:val="22"/>
          <w:szCs w:val="22"/>
          <w:lang w:val="es-ES_tradnl"/>
        </w:rPr>
        <w:t xml:space="preserve"> </w:t>
      </w:r>
      <w:r w:rsidR="00C85611" w:rsidRPr="00F7548C">
        <w:rPr>
          <w:rFonts w:ascii="ITC Avant Garde" w:eastAsia="Arial" w:hAnsi="ITC Avant Garde" w:cs="Arial"/>
          <w:sz w:val="22"/>
          <w:szCs w:val="22"/>
          <w:lang w:val="es-ES_tradnl"/>
        </w:rPr>
        <w:t xml:space="preserve">y frente a este escenario debe establecerse que incluso un tercero contratado </w:t>
      </w:r>
      <w:r w:rsidR="00920897">
        <w:rPr>
          <w:rFonts w:ascii="ITC Avant Garde" w:eastAsia="Arial" w:hAnsi="ITC Avant Garde" w:cs="Arial"/>
          <w:sz w:val="22"/>
          <w:szCs w:val="22"/>
          <w:lang w:val="es-ES_tradnl"/>
        </w:rPr>
        <w:t>por Telecomunicaciones de México,</w:t>
      </w:r>
      <w:r w:rsidR="00C85611" w:rsidRPr="00F7548C">
        <w:rPr>
          <w:rFonts w:ascii="ITC Avant Garde" w:eastAsia="Arial" w:hAnsi="ITC Avant Garde" w:cs="Arial"/>
          <w:sz w:val="22"/>
          <w:szCs w:val="22"/>
          <w:lang w:val="es-ES_tradnl"/>
        </w:rPr>
        <w:t xml:space="preserve"> debe </w:t>
      </w:r>
      <w:r w:rsidR="00920897">
        <w:rPr>
          <w:rFonts w:ascii="ITC Avant Garde" w:eastAsia="Arial" w:hAnsi="ITC Avant Garde" w:cs="Arial"/>
          <w:sz w:val="22"/>
          <w:szCs w:val="22"/>
          <w:lang w:val="es-ES_tradnl"/>
        </w:rPr>
        <w:t xml:space="preserve">estar </w:t>
      </w:r>
      <w:r w:rsidR="00C85611" w:rsidRPr="00F7548C">
        <w:rPr>
          <w:rFonts w:ascii="ITC Avant Garde" w:eastAsia="Arial" w:hAnsi="ITC Avant Garde" w:cs="Arial"/>
          <w:sz w:val="22"/>
          <w:szCs w:val="22"/>
          <w:lang w:val="es-ES_tradnl"/>
        </w:rPr>
        <w:t>sujet</w:t>
      </w:r>
      <w:r w:rsidR="00920897">
        <w:rPr>
          <w:rFonts w:ascii="ITC Avant Garde" w:eastAsia="Arial" w:hAnsi="ITC Avant Garde" w:cs="Arial"/>
          <w:sz w:val="22"/>
          <w:szCs w:val="22"/>
          <w:lang w:val="es-ES_tradnl"/>
        </w:rPr>
        <w:t>o</w:t>
      </w:r>
      <w:r w:rsidR="00C85611" w:rsidRPr="00F7548C">
        <w:rPr>
          <w:rFonts w:ascii="ITC Avant Garde" w:eastAsia="Arial" w:hAnsi="ITC Avant Garde" w:cs="Arial"/>
          <w:sz w:val="22"/>
          <w:szCs w:val="22"/>
          <w:lang w:val="es-ES_tradnl"/>
        </w:rPr>
        <w:t xml:space="preserve"> a</w:t>
      </w:r>
      <w:r w:rsidR="00277A17" w:rsidRPr="00F7548C">
        <w:rPr>
          <w:rFonts w:ascii="ITC Avant Garde" w:eastAsia="Arial" w:hAnsi="ITC Avant Garde" w:cs="Arial"/>
          <w:sz w:val="22"/>
          <w:szCs w:val="22"/>
          <w:lang w:val="es-ES_tradnl"/>
        </w:rPr>
        <w:t xml:space="preserve">l cumplimiento de los términos contractuales con la CFE y demás disposiciones aplicables, por </w:t>
      </w:r>
      <w:r w:rsidR="00522752" w:rsidRPr="00F7548C">
        <w:rPr>
          <w:rFonts w:ascii="ITC Avant Garde" w:eastAsia="Arial" w:hAnsi="ITC Avant Garde" w:cs="Arial"/>
          <w:sz w:val="22"/>
          <w:szCs w:val="22"/>
          <w:lang w:val="es-ES_tradnl"/>
        </w:rPr>
        <w:t xml:space="preserve">lo que </w:t>
      </w:r>
      <w:r w:rsidR="005A6F95" w:rsidRPr="00F7548C">
        <w:rPr>
          <w:rFonts w:ascii="ITC Avant Garde" w:eastAsia="Arial" w:hAnsi="ITC Avant Garde" w:cs="Arial"/>
          <w:sz w:val="22"/>
          <w:szCs w:val="22"/>
          <w:lang w:val="es-ES_tradnl"/>
        </w:rPr>
        <w:t xml:space="preserve">Telecomunicaciones de México será obligado solidario de </w:t>
      </w:r>
      <w:r w:rsidR="00522752" w:rsidRPr="00F7548C">
        <w:rPr>
          <w:rFonts w:ascii="ITC Avant Garde" w:eastAsia="Arial" w:hAnsi="ITC Avant Garde" w:cs="Arial"/>
          <w:sz w:val="22"/>
          <w:szCs w:val="22"/>
          <w:lang w:val="es-ES_tradnl"/>
        </w:rPr>
        <w:t xml:space="preserve">cualquier </w:t>
      </w:r>
      <w:r w:rsidR="00C85611" w:rsidRPr="00F7548C">
        <w:rPr>
          <w:rFonts w:ascii="ITC Avant Garde" w:eastAsia="Arial" w:hAnsi="ITC Avant Garde" w:cs="Arial"/>
          <w:sz w:val="22"/>
          <w:szCs w:val="22"/>
          <w:lang w:val="es-ES_tradnl"/>
        </w:rPr>
        <w:t>incumplimiento por parte de</w:t>
      </w:r>
      <w:r w:rsidR="00410C90">
        <w:rPr>
          <w:rFonts w:ascii="ITC Avant Garde" w:eastAsia="Arial" w:hAnsi="ITC Avant Garde" w:cs="Arial"/>
          <w:sz w:val="22"/>
          <w:szCs w:val="22"/>
          <w:lang w:val="es-ES_tradnl"/>
        </w:rPr>
        <w:t xml:space="preserve"> </w:t>
      </w:r>
      <w:r w:rsidR="00C85611" w:rsidRPr="00F7548C">
        <w:rPr>
          <w:rFonts w:ascii="ITC Avant Garde" w:eastAsia="Arial" w:hAnsi="ITC Avant Garde" w:cs="Arial"/>
          <w:sz w:val="22"/>
          <w:szCs w:val="22"/>
          <w:lang w:val="es-ES_tradnl"/>
        </w:rPr>
        <w:t>l</w:t>
      </w:r>
      <w:r w:rsidR="00410C90">
        <w:rPr>
          <w:rFonts w:ascii="ITC Avant Garde" w:eastAsia="Arial" w:hAnsi="ITC Avant Garde" w:cs="Arial"/>
          <w:sz w:val="22"/>
          <w:szCs w:val="22"/>
          <w:lang w:val="es-ES_tradnl"/>
        </w:rPr>
        <w:t>os</w:t>
      </w:r>
      <w:r w:rsidR="00C85611" w:rsidRPr="00F7548C">
        <w:rPr>
          <w:rFonts w:ascii="ITC Avant Garde" w:eastAsia="Arial" w:hAnsi="ITC Avant Garde" w:cs="Arial"/>
          <w:sz w:val="22"/>
          <w:szCs w:val="22"/>
          <w:lang w:val="es-ES_tradnl"/>
        </w:rPr>
        <w:t xml:space="preserve"> tercero</w:t>
      </w:r>
      <w:r w:rsidR="00410C90">
        <w:rPr>
          <w:rFonts w:ascii="ITC Avant Garde" w:eastAsia="Arial" w:hAnsi="ITC Avant Garde" w:cs="Arial"/>
          <w:sz w:val="22"/>
          <w:szCs w:val="22"/>
          <w:lang w:val="es-ES_tradnl"/>
        </w:rPr>
        <w:t>s</w:t>
      </w:r>
      <w:r w:rsidR="00277A17" w:rsidRPr="00F7548C">
        <w:rPr>
          <w:rFonts w:ascii="ITC Avant Garde" w:eastAsia="Arial" w:hAnsi="ITC Avant Garde" w:cs="Arial"/>
          <w:sz w:val="22"/>
          <w:szCs w:val="22"/>
          <w:lang w:val="es-ES_tradnl"/>
        </w:rPr>
        <w:t>.</w:t>
      </w:r>
    </w:p>
    <w:p w14:paraId="0C6DC923" w14:textId="77777777" w:rsidR="008D4136" w:rsidRPr="00F7548C" w:rsidRDefault="008D4136" w:rsidP="00233507">
      <w:pPr>
        <w:tabs>
          <w:tab w:val="num" w:pos="1220"/>
          <w:tab w:val="num" w:pos="1940"/>
        </w:tabs>
        <w:spacing w:line="276" w:lineRule="auto"/>
        <w:jc w:val="both"/>
        <w:rPr>
          <w:rFonts w:ascii="ITC Avant Garde" w:eastAsia="Arial" w:hAnsi="ITC Avant Garde" w:cs="Arial"/>
          <w:sz w:val="22"/>
          <w:szCs w:val="22"/>
          <w:lang w:val="es-ES_tradnl"/>
        </w:rPr>
      </w:pPr>
    </w:p>
    <w:p w14:paraId="633C2C07" w14:textId="572F9832" w:rsidR="008D4136" w:rsidRPr="00F7548C" w:rsidRDefault="008F1FE0"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Por último, l</w:t>
      </w:r>
      <w:r w:rsidR="007671FD" w:rsidRPr="00F7548C">
        <w:rPr>
          <w:rFonts w:ascii="ITC Avant Garde" w:eastAsia="Arial" w:hAnsi="ITC Avant Garde" w:cs="Arial"/>
          <w:sz w:val="22"/>
          <w:szCs w:val="22"/>
          <w:lang w:val="es-ES_tradnl"/>
        </w:rPr>
        <w:t xml:space="preserve">a supervisión y verificación de los </w:t>
      </w:r>
      <w:r w:rsidR="00477124" w:rsidRPr="00F7548C">
        <w:rPr>
          <w:rFonts w:ascii="ITC Avant Garde" w:eastAsia="Arial" w:hAnsi="ITC Avant Garde" w:cs="Arial"/>
          <w:sz w:val="22"/>
          <w:szCs w:val="22"/>
          <w:lang w:val="es-ES_tradnl"/>
        </w:rPr>
        <w:t>L</w:t>
      </w:r>
      <w:r w:rsidR="007671FD" w:rsidRPr="00F7548C">
        <w:rPr>
          <w:rFonts w:ascii="ITC Avant Garde" w:eastAsia="Arial" w:hAnsi="ITC Avant Garde" w:cs="Arial"/>
          <w:sz w:val="22"/>
          <w:szCs w:val="22"/>
          <w:lang w:val="es-ES_tradnl"/>
        </w:rPr>
        <w:t>ineamientos requiere que el Instituto cuente con información</w:t>
      </w:r>
      <w:r w:rsidRPr="00F7548C">
        <w:rPr>
          <w:rFonts w:ascii="ITC Avant Garde" w:eastAsia="Arial" w:hAnsi="ITC Avant Garde" w:cs="Arial"/>
          <w:sz w:val="22"/>
          <w:szCs w:val="22"/>
          <w:lang w:val="es-ES_tradnl"/>
        </w:rPr>
        <w:t xml:space="preserve"> relacionada al acceso y uso de infraestructura</w:t>
      </w:r>
      <w:r w:rsidR="007671FD" w:rsidRPr="00F7548C">
        <w:rPr>
          <w:rFonts w:ascii="ITC Avant Garde" w:eastAsia="Arial" w:hAnsi="ITC Avant Garde" w:cs="Arial"/>
          <w:sz w:val="22"/>
          <w:szCs w:val="22"/>
          <w:lang w:val="es-ES_tradnl"/>
        </w:rPr>
        <w:t xml:space="preserve">, por lo </w:t>
      </w:r>
      <w:r w:rsidR="000D60D6" w:rsidRPr="00F7548C">
        <w:rPr>
          <w:rFonts w:ascii="ITC Avant Garde" w:eastAsia="Arial" w:hAnsi="ITC Avant Garde" w:cs="Arial"/>
          <w:sz w:val="22"/>
          <w:szCs w:val="22"/>
          <w:lang w:val="es-ES_tradnl"/>
        </w:rPr>
        <w:t xml:space="preserve">cual, </w:t>
      </w:r>
      <w:r w:rsidR="001E6157" w:rsidRPr="00F7548C">
        <w:rPr>
          <w:rFonts w:ascii="ITC Avant Garde" w:eastAsia="Arial" w:hAnsi="ITC Avant Garde" w:cs="Arial"/>
          <w:sz w:val="22"/>
          <w:szCs w:val="22"/>
          <w:lang w:val="es-ES_tradnl"/>
        </w:rPr>
        <w:t xml:space="preserve">se contempla que existan una obligación específica </w:t>
      </w:r>
      <w:r w:rsidR="00354DA8">
        <w:rPr>
          <w:rFonts w:ascii="ITC Avant Garde" w:eastAsia="Arial" w:hAnsi="ITC Avant Garde" w:cs="Arial"/>
          <w:sz w:val="22"/>
          <w:szCs w:val="22"/>
          <w:lang w:val="es-ES_tradnl"/>
        </w:rPr>
        <w:t xml:space="preserve">a CFE y Telecomunicaciones de México </w:t>
      </w:r>
      <w:r w:rsidR="001E6157" w:rsidRPr="00F7548C">
        <w:rPr>
          <w:rFonts w:ascii="ITC Avant Garde" w:eastAsia="Arial" w:hAnsi="ITC Avant Garde" w:cs="Arial"/>
          <w:sz w:val="22"/>
          <w:szCs w:val="22"/>
          <w:lang w:val="es-ES_tradnl"/>
        </w:rPr>
        <w:t>que permita al regulador, allegarse de todos los elementos para en su caso tomar decisiones, incluyendo la</w:t>
      </w:r>
      <w:r w:rsidR="00045A1C">
        <w:rPr>
          <w:rFonts w:ascii="ITC Avant Garde" w:eastAsia="Arial" w:hAnsi="ITC Avant Garde" w:cs="Arial"/>
          <w:sz w:val="22"/>
          <w:szCs w:val="22"/>
          <w:lang w:val="es-ES_tradnl"/>
        </w:rPr>
        <w:t xml:space="preserve">s relacionadas con la </w:t>
      </w:r>
      <w:r w:rsidR="001E6157" w:rsidRPr="00F7548C">
        <w:rPr>
          <w:rFonts w:ascii="ITC Avant Garde" w:eastAsia="Arial" w:hAnsi="ITC Avant Garde" w:cs="Arial"/>
          <w:sz w:val="22"/>
          <w:szCs w:val="22"/>
          <w:lang w:val="es-ES_tradnl"/>
        </w:rPr>
        <w:t>resoluci</w:t>
      </w:r>
      <w:r w:rsidR="00F52345" w:rsidRPr="00F7548C">
        <w:rPr>
          <w:rFonts w:ascii="ITC Avant Garde" w:eastAsia="Arial" w:hAnsi="ITC Avant Garde" w:cs="Arial"/>
          <w:sz w:val="22"/>
          <w:szCs w:val="22"/>
          <w:lang w:val="es-ES_tradnl"/>
        </w:rPr>
        <w:t>ón de desacuerdos entre las</w:t>
      </w:r>
      <w:r w:rsidR="001E6157" w:rsidRPr="00F7548C">
        <w:rPr>
          <w:rFonts w:ascii="ITC Avant Garde" w:eastAsia="Arial" w:hAnsi="ITC Avant Garde" w:cs="Arial"/>
          <w:sz w:val="22"/>
          <w:szCs w:val="22"/>
          <w:lang w:val="es-ES_tradnl"/>
        </w:rPr>
        <w:t xml:space="preserve"> partes involucradas.</w:t>
      </w:r>
    </w:p>
    <w:p w14:paraId="1D2A8CD1" w14:textId="2E1621F4" w:rsidR="00C75083" w:rsidRPr="00F7548C" w:rsidRDefault="00BC375A" w:rsidP="00C75083">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b/>
          <w:sz w:val="22"/>
          <w:szCs w:val="22"/>
          <w:lang w:val="es-ES_tradnl"/>
        </w:rPr>
        <w:t>QUINTO</w:t>
      </w:r>
      <w:r w:rsidR="00C75083" w:rsidRPr="00F7548C">
        <w:rPr>
          <w:rFonts w:ascii="ITC Avant Garde" w:eastAsia="Arial" w:hAnsi="ITC Avant Garde" w:cs="Arial"/>
          <w:b/>
          <w:sz w:val="22"/>
          <w:szCs w:val="22"/>
          <w:lang w:val="es-ES_tradnl"/>
        </w:rPr>
        <w:t>.- Evidencia internacional de redes troncales de fibra óptica.</w:t>
      </w:r>
      <w:r w:rsidR="00C75083" w:rsidRPr="00F7548C">
        <w:rPr>
          <w:rFonts w:ascii="ITC Avant Garde" w:eastAsia="Arial" w:hAnsi="ITC Avant Garde" w:cs="Arial"/>
          <w:sz w:val="22"/>
          <w:szCs w:val="22"/>
          <w:lang w:val="es-ES_tradnl"/>
        </w:rPr>
        <w:t xml:space="preserve"> Gobiernos y reguladores han impulsado el desarrollo de redes de transporte de alta capacidad que permitan la integración de las distintas redes de acceso y que fomenten la </w:t>
      </w:r>
      <w:r w:rsidR="00C75083" w:rsidRPr="00F7548C">
        <w:rPr>
          <w:rFonts w:ascii="ITC Avant Garde" w:eastAsia="Arial" w:hAnsi="ITC Avant Garde" w:cs="Arial"/>
          <w:sz w:val="22"/>
          <w:szCs w:val="22"/>
          <w:lang w:val="es-ES_tradnl"/>
        </w:rPr>
        <w:lastRenderedPageBreak/>
        <w:t xml:space="preserve">convergencia de servicios de telecomunicaciones. </w:t>
      </w:r>
      <w:r w:rsidR="00FF66CA" w:rsidRPr="00F7548C">
        <w:rPr>
          <w:rFonts w:ascii="ITC Avant Garde" w:eastAsia="Arial" w:hAnsi="ITC Avant Garde" w:cs="Arial"/>
          <w:sz w:val="22"/>
          <w:szCs w:val="22"/>
          <w:lang w:val="es-ES_tradnl"/>
        </w:rPr>
        <w:t xml:space="preserve">Para </w:t>
      </w:r>
      <w:r w:rsidR="00FF66CA">
        <w:rPr>
          <w:rFonts w:ascii="ITC Avant Garde" w:eastAsia="Arial" w:hAnsi="ITC Avant Garde" w:cs="Arial"/>
          <w:sz w:val="22"/>
          <w:szCs w:val="22"/>
          <w:lang w:val="es-ES_tradnl"/>
        </w:rPr>
        <w:t xml:space="preserve">el desarrollo de </w:t>
      </w:r>
      <w:r w:rsidR="00FF66CA" w:rsidRPr="00F7548C">
        <w:rPr>
          <w:rFonts w:ascii="ITC Avant Garde" w:eastAsia="Arial" w:hAnsi="ITC Avant Garde" w:cs="Arial"/>
          <w:sz w:val="22"/>
          <w:szCs w:val="22"/>
          <w:lang w:val="es-ES_tradnl"/>
        </w:rPr>
        <w:t>estos proyectos de infraestructura se han canalizado recursos públicos.</w:t>
      </w:r>
      <w:r w:rsidR="00FF66CA">
        <w:rPr>
          <w:rFonts w:ascii="ITC Avant Garde" w:eastAsia="Arial" w:hAnsi="ITC Avant Garde" w:cs="Arial"/>
          <w:sz w:val="22"/>
          <w:szCs w:val="22"/>
          <w:lang w:val="es-ES_tradnl"/>
        </w:rPr>
        <w:t xml:space="preserve"> A continuación se resumen algunos proyectos análogos en otros países:</w:t>
      </w:r>
    </w:p>
    <w:p w14:paraId="0468F125" w14:textId="77777777" w:rsidR="00C75083" w:rsidRPr="00F7548C" w:rsidRDefault="00C75083" w:rsidP="00C75083">
      <w:pPr>
        <w:tabs>
          <w:tab w:val="num" w:pos="1220"/>
          <w:tab w:val="num" w:pos="1940"/>
        </w:tabs>
        <w:spacing w:line="276" w:lineRule="auto"/>
        <w:jc w:val="both"/>
        <w:rPr>
          <w:rFonts w:ascii="ITC Avant Garde" w:eastAsia="Arial" w:hAnsi="ITC Avant Garde" w:cs="Arial"/>
          <w:b/>
          <w:sz w:val="22"/>
          <w:szCs w:val="22"/>
          <w:lang w:val="es-ES_tradnl"/>
        </w:rPr>
      </w:pPr>
    </w:p>
    <w:p w14:paraId="48F7B9EF" w14:textId="066B507B" w:rsidR="00C75083" w:rsidRPr="00F7548C" w:rsidRDefault="000A1628" w:rsidP="00C75083">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b/>
          <w:sz w:val="22"/>
          <w:szCs w:val="22"/>
          <w:lang w:val="es-ES_tradnl"/>
        </w:rPr>
        <w:t>5</w:t>
      </w:r>
      <w:r w:rsidR="00C75083" w:rsidRPr="00F7548C">
        <w:rPr>
          <w:rFonts w:ascii="ITC Avant Garde" w:eastAsia="Arial" w:hAnsi="ITC Avant Garde" w:cs="Arial"/>
          <w:b/>
          <w:sz w:val="22"/>
          <w:szCs w:val="22"/>
          <w:lang w:val="es-ES_tradnl"/>
        </w:rPr>
        <w:t>.1- Sudáfrica</w:t>
      </w:r>
      <w:r w:rsidR="00C75083" w:rsidRPr="00F7548C">
        <w:rPr>
          <w:rFonts w:ascii="ITC Avant Garde" w:eastAsia="Arial" w:hAnsi="ITC Avant Garde" w:cs="Arial"/>
          <w:sz w:val="22"/>
          <w:szCs w:val="22"/>
          <w:lang w:val="es-ES_tradnl"/>
        </w:rPr>
        <w:t>. En el 2009 la autoridad reguladora de Sudáfrica (</w:t>
      </w:r>
      <w:proofErr w:type="spellStart"/>
      <w:r w:rsidR="00C75083" w:rsidRPr="00F7548C">
        <w:rPr>
          <w:rFonts w:ascii="ITC Avant Garde" w:eastAsia="Arial" w:hAnsi="ITC Avant Garde" w:cs="Arial"/>
          <w:i/>
          <w:sz w:val="22"/>
          <w:szCs w:val="22"/>
          <w:lang w:val="es-ES_tradnl"/>
        </w:rPr>
        <w:t>Independent</w:t>
      </w:r>
      <w:proofErr w:type="spellEnd"/>
      <w:r w:rsidR="00C75083" w:rsidRPr="00F7548C">
        <w:rPr>
          <w:rFonts w:ascii="ITC Avant Garde" w:eastAsia="Arial" w:hAnsi="ITC Avant Garde" w:cs="Arial"/>
          <w:i/>
          <w:sz w:val="22"/>
          <w:szCs w:val="22"/>
          <w:lang w:val="es-ES_tradnl"/>
        </w:rPr>
        <w:t xml:space="preserve"> </w:t>
      </w:r>
      <w:proofErr w:type="spellStart"/>
      <w:r w:rsidR="00C75083" w:rsidRPr="00F7548C">
        <w:rPr>
          <w:rFonts w:ascii="ITC Avant Garde" w:eastAsia="Arial" w:hAnsi="ITC Avant Garde" w:cs="Arial"/>
          <w:i/>
          <w:sz w:val="22"/>
          <w:szCs w:val="22"/>
          <w:lang w:val="es-ES_tradnl"/>
        </w:rPr>
        <w:t>Communication</w:t>
      </w:r>
      <w:proofErr w:type="spellEnd"/>
      <w:r w:rsidR="00C75083" w:rsidRPr="00F7548C">
        <w:rPr>
          <w:rFonts w:ascii="ITC Avant Garde" w:eastAsia="Arial" w:hAnsi="ITC Avant Garde" w:cs="Arial"/>
          <w:i/>
          <w:sz w:val="22"/>
          <w:szCs w:val="22"/>
          <w:lang w:val="es-ES_tradnl"/>
        </w:rPr>
        <w:t xml:space="preserve"> </w:t>
      </w:r>
      <w:proofErr w:type="spellStart"/>
      <w:r w:rsidR="00C75083" w:rsidRPr="00F7548C">
        <w:rPr>
          <w:rFonts w:ascii="ITC Avant Garde" w:eastAsia="Arial" w:hAnsi="ITC Avant Garde" w:cs="Arial"/>
          <w:i/>
          <w:sz w:val="22"/>
          <w:szCs w:val="22"/>
          <w:lang w:val="es-ES_tradnl"/>
        </w:rPr>
        <w:t>Authority</w:t>
      </w:r>
      <w:proofErr w:type="spellEnd"/>
      <w:r w:rsidR="00C75083" w:rsidRPr="00F7548C">
        <w:rPr>
          <w:rFonts w:ascii="ITC Avant Garde" w:eastAsia="Arial" w:hAnsi="ITC Avant Garde" w:cs="Arial"/>
          <w:i/>
          <w:sz w:val="22"/>
          <w:szCs w:val="22"/>
          <w:lang w:val="es-ES_tradnl"/>
        </w:rPr>
        <w:t xml:space="preserve"> of South </w:t>
      </w:r>
      <w:proofErr w:type="spellStart"/>
      <w:r w:rsidR="00C75083" w:rsidRPr="00F7548C">
        <w:rPr>
          <w:rFonts w:ascii="ITC Avant Garde" w:eastAsia="Arial" w:hAnsi="ITC Avant Garde" w:cs="Arial"/>
          <w:i/>
          <w:sz w:val="22"/>
          <w:szCs w:val="22"/>
          <w:lang w:val="es-ES_tradnl"/>
        </w:rPr>
        <w:t>Africa</w:t>
      </w:r>
      <w:proofErr w:type="spellEnd"/>
      <w:r w:rsidR="00C75083" w:rsidRPr="00F7548C">
        <w:rPr>
          <w:rFonts w:ascii="ITC Avant Garde" w:eastAsia="Arial" w:hAnsi="ITC Avant Garde" w:cs="Arial"/>
          <w:sz w:val="22"/>
          <w:szCs w:val="22"/>
          <w:lang w:val="es-ES_tradnl"/>
        </w:rPr>
        <w:t>) estableció un conjunto de obligaciones al título de concesión de “</w:t>
      </w:r>
      <w:proofErr w:type="spellStart"/>
      <w:r w:rsidR="00C75083" w:rsidRPr="00F7548C">
        <w:rPr>
          <w:rFonts w:ascii="ITC Avant Garde" w:eastAsia="Arial" w:hAnsi="ITC Avant Garde" w:cs="Arial"/>
          <w:sz w:val="22"/>
          <w:szCs w:val="22"/>
          <w:lang w:val="es-ES_tradnl"/>
        </w:rPr>
        <w:t>Broadband</w:t>
      </w:r>
      <w:proofErr w:type="spellEnd"/>
      <w:r w:rsidR="00C75083" w:rsidRPr="00F7548C">
        <w:rPr>
          <w:rFonts w:ascii="ITC Avant Garde" w:eastAsia="Arial" w:hAnsi="ITC Avant Garde" w:cs="Arial"/>
          <w:sz w:val="22"/>
          <w:szCs w:val="22"/>
          <w:lang w:val="es-ES_tradnl"/>
        </w:rPr>
        <w:t xml:space="preserve"> </w:t>
      </w:r>
      <w:proofErr w:type="spellStart"/>
      <w:r w:rsidR="00C75083" w:rsidRPr="00F7548C">
        <w:rPr>
          <w:rFonts w:ascii="ITC Avant Garde" w:eastAsia="Arial" w:hAnsi="ITC Avant Garde" w:cs="Arial"/>
          <w:sz w:val="22"/>
          <w:szCs w:val="22"/>
          <w:lang w:val="es-ES_tradnl"/>
        </w:rPr>
        <w:t>Infraco</w:t>
      </w:r>
      <w:proofErr w:type="spellEnd"/>
      <w:r w:rsidR="00C75083" w:rsidRPr="00F7548C">
        <w:rPr>
          <w:rFonts w:ascii="ITC Avant Garde" w:eastAsia="Arial" w:hAnsi="ITC Avant Garde" w:cs="Arial"/>
          <w:sz w:val="22"/>
          <w:szCs w:val="22"/>
          <w:lang w:val="es-ES_tradnl"/>
        </w:rPr>
        <w:t xml:space="preserve"> </w:t>
      </w:r>
      <w:proofErr w:type="spellStart"/>
      <w:r w:rsidR="00C75083" w:rsidRPr="00F7548C">
        <w:rPr>
          <w:rFonts w:ascii="ITC Avant Garde" w:eastAsia="Arial" w:hAnsi="ITC Avant Garde" w:cs="Arial"/>
          <w:sz w:val="22"/>
          <w:szCs w:val="22"/>
          <w:lang w:val="es-ES_tradnl"/>
        </w:rPr>
        <w:t>Limited</w:t>
      </w:r>
      <w:proofErr w:type="spellEnd"/>
      <w:r w:rsidR="00C75083" w:rsidRPr="00F7548C">
        <w:rPr>
          <w:rFonts w:ascii="ITC Avant Garde" w:eastAsia="Arial" w:hAnsi="ITC Avant Garde" w:cs="Arial"/>
          <w:sz w:val="22"/>
          <w:szCs w:val="22"/>
          <w:lang w:val="es-ES_tradnl"/>
        </w:rPr>
        <w:t>” (empresa pública administrada por el Estado) para la red de fibra óptica, entre las que destacan:</w:t>
      </w:r>
    </w:p>
    <w:p w14:paraId="62A4E714" w14:textId="42F1B3D2" w:rsidR="00C75083" w:rsidRPr="00F7548C" w:rsidRDefault="00C75083" w:rsidP="000A1628">
      <w:pPr>
        <w:tabs>
          <w:tab w:val="left" w:pos="1220"/>
        </w:tabs>
        <w:spacing w:line="276" w:lineRule="auto"/>
        <w:jc w:val="both"/>
        <w:rPr>
          <w:rFonts w:ascii="ITC Avant Garde" w:eastAsia="Arial" w:hAnsi="ITC Avant Garde" w:cs="Arial"/>
          <w:sz w:val="22"/>
          <w:szCs w:val="22"/>
          <w:lang w:val="es-ES_tradnl"/>
        </w:rPr>
      </w:pPr>
    </w:p>
    <w:p w14:paraId="29C36DFF" w14:textId="77777777" w:rsidR="00C75083" w:rsidRPr="00F7548C" w:rsidRDefault="00C75083" w:rsidP="005B2961">
      <w:pPr>
        <w:pStyle w:val="Prrafodelista"/>
        <w:numPr>
          <w:ilvl w:val="0"/>
          <w:numId w:val="34"/>
        </w:numPr>
        <w:spacing w:before="240" w:line="276" w:lineRule="auto"/>
        <w:ind w:left="1068"/>
        <w:jc w:val="both"/>
        <w:rPr>
          <w:rFonts w:ascii="ITC Avant Garde" w:eastAsia="Arial" w:hAnsi="ITC Avant Garde" w:cs="Arial"/>
          <w:sz w:val="22"/>
          <w:szCs w:val="22"/>
        </w:rPr>
      </w:pPr>
      <w:r w:rsidRPr="00F7548C">
        <w:rPr>
          <w:rFonts w:ascii="ITC Avant Garde" w:eastAsia="Arial" w:hAnsi="ITC Avant Garde" w:cs="Arial"/>
          <w:sz w:val="22"/>
          <w:szCs w:val="22"/>
        </w:rPr>
        <w:t>Despliegue de red. Se contempla el crecimiento de fibra óptica, puntos de presencia, interconexión con países vecinos y otros elementos con base en un calendario aprobado por el regulador.</w:t>
      </w:r>
    </w:p>
    <w:p w14:paraId="495F9804" w14:textId="77777777" w:rsidR="00C75083" w:rsidRPr="00F7548C" w:rsidRDefault="00C75083" w:rsidP="005B2961">
      <w:pPr>
        <w:pStyle w:val="Prrafodelista"/>
        <w:numPr>
          <w:ilvl w:val="0"/>
          <w:numId w:val="34"/>
        </w:numPr>
        <w:spacing w:before="240" w:line="276" w:lineRule="auto"/>
        <w:ind w:left="1068"/>
        <w:jc w:val="both"/>
        <w:rPr>
          <w:rFonts w:ascii="ITC Avant Garde" w:eastAsia="Arial" w:hAnsi="ITC Avant Garde" w:cs="Arial"/>
          <w:sz w:val="22"/>
          <w:szCs w:val="22"/>
        </w:rPr>
      </w:pPr>
      <w:r w:rsidRPr="00F7548C">
        <w:rPr>
          <w:rFonts w:ascii="ITC Avant Garde" w:eastAsia="Arial" w:hAnsi="ITC Avant Garde" w:cs="Arial"/>
          <w:sz w:val="22"/>
          <w:szCs w:val="22"/>
        </w:rPr>
        <w:t xml:space="preserve">Acceso universal. Se establecen los distritos o áreas donde el concesionario deberá tener puntos de presencia antes de cumplir ciertos plazos definidos. </w:t>
      </w:r>
    </w:p>
    <w:p w14:paraId="7357BD1F" w14:textId="77777777" w:rsidR="00C75083" w:rsidRPr="00F7548C" w:rsidRDefault="00C75083" w:rsidP="005B2961">
      <w:pPr>
        <w:pStyle w:val="Prrafodelista"/>
        <w:numPr>
          <w:ilvl w:val="0"/>
          <w:numId w:val="34"/>
        </w:numPr>
        <w:spacing w:before="240" w:line="276" w:lineRule="auto"/>
        <w:ind w:left="1068"/>
        <w:jc w:val="both"/>
        <w:rPr>
          <w:rFonts w:ascii="ITC Avant Garde" w:eastAsia="Arial" w:hAnsi="ITC Avant Garde" w:cs="Arial"/>
          <w:sz w:val="22"/>
          <w:szCs w:val="22"/>
        </w:rPr>
      </w:pPr>
      <w:r w:rsidRPr="00F7548C">
        <w:rPr>
          <w:rFonts w:ascii="ITC Avant Garde" w:eastAsia="Arial" w:hAnsi="ITC Avant Garde" w:cs="Arial"/>
          <w:sz w:val="22"/>
          <w:szCs w:val="22"/>
        </w:rPr>
        <w:t>Plan de implementación. El concesionario debe presentar a la autoridad regulatoria un plan de implementación que es parte de su título de concesión, dicho plan incluye la localización de los puntos de presencia por instalar.</w:t>
      </w:r>
    </w:p>
    <w:p w14:paraId="07FF4F24" w14:textId="77777777" w:rsidR="00C75083" w:rsidRPr="00F7548C" w:rsidRDefault="00C75083" w:rsidP="005B2961">
      <w:pPr>
        <w:pStyle w:val="Prrafodelista"/>
        <w:spacing w:before="240" w:line="276" w:lineRule="auto"/>
        <w:ind w:left="540"/>
        <w:contextualSpacing/>
        <w:jc w:val="both"/>
        <w:rPr>
          <w:rFonts w:ascii="ITC Avant Garde" w:hAnsi="ITC Avant Garde"/>
          <w:b/>
          <w:sz w:val="22"/>
          <w:szCs w:val="22"/>
        </w:rPr>
      </w:pPr>
    </w:p>
    <w:p w14:paraId="688BDBBC" w14:textId="0AE807BD" w:rsidR="00C75083" w:rsidRPr="00F7548C" w:rsidRDefault="000A1628" w:rsidP="000A1628">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b/>
          <w:sz w:val="22"/>
          <w:szCs w:val="22"/>
          <w:lang w:val="es-ES_tradnl"/>
        </w:rPr>
        <w:t>5</w:t>
      </w:r>
      <w:r w:rsidR="00C75083" w:rsidRPr="00F7548C">
        <w:rPr>
          <w:rFonts w:ascii="ITC Avant Garde" w:eastAsia="Arial" w:hAnsi="ITC Avant Garde" w:cs="Arial"/>
          <w:b/>
          <w:sz w:val="22"/>
          <w:szCs w:val="22"/>
          <w:lang w:val="es-ES_tradnl"/>
        </w:rPr>
        <w:t>.2- Colombia.</w:t>
      </w:r>
      <w:r w:rsidR="00C75083" w:rsidRPr="00F7548C">
        <w:rPr>
          <w:rFonts w:ascii="ITC Avant Garde" w:eastAsia="Arial" w:hAnsi="ITC Avant Garde" w:cs="Arial"/>
          <w:sz w:val="22"/>
          <w:szCs w:val="22"/>
          <w:lang w:val="es-ES_tradnl"/>
        </w:rPr>
        <w:t xml:space="preserve"> El Ministerio de Tecnologías de la Información y las Comunicaciones (MINTIC) de Colombia estableció obligaciones al concesionario que se adjudicó el “Proyecto Nacional de Fibra Óptica” relativas a la planeación, diseño, instalación, puesta en servicio, administración, operación y mantenimiento de la red de transporte óptico. Se establecieron las siguientes obligaciones para orientar la expansión de la infraestructura de fibra óptica:</w:t>
      </w:r>
    </w:p>
    <w:p w14:paraId="5879BC52" w14:textId="77777777" w:rsidR="00C75083" w:rsidRPr="00F7548C" w:rsidRDefault="00C75083" w:rsidP="000A1628">
      <w:pPr>
        <w:spacing w:line="276" w:lineRule="auto"/>
        <w:ind w:left="360"/>
        <w:jc w:val="both"/>
        <w:rPr>
          <w:rFonts w:ascii="ITC Avant Garde" w:hAnsi="ITC Avant Garde"/>
          <w:sz w:val="22"/>
          <w:szCs w:val="22"/>
          <w:lang w:val="es-ES_tradnl" w:eastAsia="es-ES"/>
        </w:rPr>
      </w:pPr>
    </w:p>
    <w:p w14:paraId="513A8DC0" w14:textId="77777777" w:rsidR="00C75083" w:rsidRPr="00F7548C" w:rsidRDefault="00C75083" w:rsidP="000A1628">
      <w:pPr>
        <w:pStyle w:val="Prrafodelista"/>
        <w:numPr>
          <w:ilvl w:val="0"/>
          <w:numId w:val="35"/>
        </w:numPr>
        <w:spacing w:line="276" w:lineRule="auto"/>
        <w:jc w:val="both"/>
        <w:rPr>
          <w:rFonts w:ascii="ITC Avant Garde" w:eastAsia="Arial" w:hAnsi="ITC Avant Garde" w:cs="Arial"/>
          <w:sz w:val="22"/>
          <w:szCs w:val="22"/>
        </w:rPr>
      </w:pPr>
      <w:r w:rsidRPr="00F7548C">
        <w:rPr>
          <w:rFonts w:ascii="ITC Avant Garde" w:eastAsia="Arial" w:hAnsi="ITC Avant Garde" w:cs="Arial"/>
          <w:sz w:val="22"/>
          <w:szCs w:val="22"/>
        </w:rPr>
        <w:t>Cobertura. Alcanzar al menos 700 municipios conectados por fibra.</w:t>
      </w:r>
    </w:p>
    <w:p w14:paraId="4E5CD12C" w14:textId="77777777" w:rsidR="00C75083" w:rsidRPr="00F7548C" w:rsidRDefault="00C75083" w:rsidP="000A1628">
      <w:pPr>
        <w:pStyle w:val="Prrafodelista"/>
        <w:numPr>
          <w:ilvl w:val="0"/>
          <w:numId w:val="35"/>
        </w:numPr>
        <w:spacing w:line="276" w:lineRule="auto"/>
        <w:jc w:val="both"/>
        <w:rPr>
          <w:rFonts w:ascii="ITC Avant Garde" w:eastAsia="Arial" w:hAnsi="ITC Avant Garde" w:cs="Arial"/>
          <w:sz w:val="22"/>
          <w:szCs w:val="22"/>
        </w:rPr>
      </w:pPr>
      <w:r w:rsidRPr="00F7548C">
        <w:rPr>
          <w:rFonts w:ascii="ITC Avant Garde" w:eastAsia="Arial" w:hAnsi="ITC Avant Garde" w:cs="Arial"/>
          <w:sz w:val="22"/>
          <w:szCs w:val="22"/>
        </w:rPr>
        <w:t>Infraestructura:</w:t>
      </w:r>
    </w:p>
    <w:p w14:paraId="59D15754" w14:textId="77777777" w:rsidR="00C75083" w:rsidRPr="00F7548C" w:rsidRDefault="00C75083" w:rsidP="000A1628">
      <w:pPr>
        <w:pStyle w:val="Prrafodelista"/>
        <w:numPr>
          <w:ilvl w:val="0"/>
          <w:numId w:val="25"/>
        </w:numPr>
        <w:tabs>
          <w:tab w:val="num" w:pos="1916"/>
        </w:tabs>
        <w:spacing w:line="276" w:lineRule="auto"/>
        <w:ind w:left="1776"/>
        <w:jc w:val="both"/>
        <w:rPr>
          <w:rFonts w:ascii="ITC Avant Garde" w:eastAsia="Arial" w:hAnsi="ITC Avant Garde" w:cs="Arial"/>
          <w:sz w:val="22"/>
          <w:szCs w:val="22"/>
        </w:rPr>
      </w:pPr>
      <w:r w:rsidRPr="00F7548C">
        <w:rPr>
          <w:rFonts w:ascii="ITC Avant Garde" w:eastAsia="Arial" w:hAnsi="ITC Avant Garde" w:cs="Arial"/>
          <w:sz w:val="22"/>
          <w:szCs w:val="22"/>
        </w:rPr>
        <w:t>La infraestructura debe tener la capacidad de interconectarse con las redes actuales de fibra óptica, propias o de terceros.</w:t>
      </w:r>
    </w:p>
    <w:p w14:paraId="4F102342" w14:textId="77777777" w:rsidR="00C75083" w:rsidRPr="00F7548C" w:rsidRDefault="00C75083" w:rsidP="000A1628">
      <w:pPr>
        <w:pStyle w:val="Prrafodelista"/>
        <w:numPr>
          <w:ilvl w:val="0"/>
          <w:numId w:val="25"/>
        </w:numPr>
        <w:tabs>
          <w:tab w:val="num" w:pos="1916"/>
        </w:tabs>
        <w:spacing w:line="276" w:lineRule="auto"/>
        <w:ind w:left="1776"/>
        <w:jc w:val="both"/>
        <w:rPr>
          <w:rFonts w:ascii="ITC Avant Garde" w:eastAsia="Arial" w:hAnsi="ITC Avant Garde" w:cs="Arial"/>
          <w:sz w:val="22"/>
          <w:szCs w:val="22"/>
        </w:rPr>
      </w:pPr>
      <w:r w:rsidRPr="00F7548C">
        <w:rPr>
          <w:rFonts w:ascii="ITC Avant Garde" w:eastAsia="Arial" w:hAnsi="ITC Avant Garde" w:cs="Arial"/>
          <w:sz w:val="22"/>
          <w:szCs w:val="22"/>
        </w:rPr>
        <w:t xml:space="preserve">Se puede utilizar infraestructura de soporte nueva o existente, tales como infraestructura vial, eléctrica, férrea, de oleoductos o gasoductos. </w:t>
      </w:r>
    </w:p>
    <w:p w14:paraId="39256A7A" w14:textId="2221520D" w:rsidR="00C75083" w:rsidRPr="00F7548C" w:rsidRDefault="00C75083" w:rsidP="000A1628">
      <w:pPr>
        <w:pStyle w:val="Prrafodelista"/>
        <w:numPr>
          <w:ilvl w:val="0"/>
          <w:numId w:val="25"/>
        </w:numPr>
        <w:tabs>
          <w:tab w:val="num" w:pos="1916"/>
        </w:tabs>
        <w:spacing w:line="276" w:lineRule="auto"/>
        <w:ind w:left="1776"/>
        <w:jc w:val="both"/>
        <w:rPr>
          <w:rFonts w:ascii="ITC Avant Garde" w:eastAsia="Arial" w:hAnsi="ITC Avant Garde" w:cs="Arial"/>
          <w:sz w:val="22"/>
          <w:szCs w:val="22"/>
        </w:rPr>
      </w:pPr>
      <w:r w:rsidRPr="00F7548C">
        <w:rPr>
          <w:rFonts w:ascii="ITC Avant Garde" w:eastAsia="Arial" w:hAnsi="ITC Avant Garde" w:cs="Arial"/>
          <w:sz w:val="22"/>
          <w:szCs w:val="22"/>
        </w:rPr>
        <w:t xml:space="preserve">La tecnología e infraestructura a desplegar debe garantizar el cumplimiento de </w:t>
      </w:r>
      <w:r w:rsidR="00D370FB">
        <w:rPr>
          <w:rFonts w:ascii="ITC Avant Garde" w:eastAsia="Arial" w:hAnsi="ITC Avant Garde" w:cs="Arial"/>
          <w:sz w:val="22"/>
          <w:szCs w:val="22"/>
        </w:rPr>
        <w:t>parámetros</w:t>
      </w:r>
      <w:r w:rsidRPr="00F7548C">
        <w:rPr>
          <w:rFonts w:ascii="ITC Avant Garde" w:eastAsia="Arial" w:hAnsi="ITC Avant Garde" w:cs="Arial"/>
          <w:sz w:val="22"/>
          <w:szCs w:val="22"/>
        </w:rPr>
        <w:t xml:space="preserve"> de calidad y niveles de servicio exigidos. </w:t>
      </w:r>
    </w:p>
    <w:p w14:paraId="6B729971" w14:textId="77777777" w:rsidR="00C75083" w:rsidRPr="00F7548C" w:rsidRDefault="00C75083" w:rsidP="000A1628">
      <w:pPr>
        <w:pStyle w:val="Prrafodelista"/>
        <w:numPr>
          <w:ilvl w:val="0"/>
          <w:numId w:val="25"/>
        </w:numPr>
        <w:tabs>
          <w:tab w:val="num" w:pos="1916"/>
        </w:tabs>
        <w:spacing w:line="276" w:lineRule="auto"/>
        <w:ind w:left="1776"/>
        <w:jc w:val="both"/>
        <w:rPr>
          <w:rFonts w:ascii="ITC Avant Garde" w:eastAsia="Arial" w:hAnsi="ITC Avant Garde" w:cs="Arial"/>
          <w:sz w:val="22"/>
          <w:szCs w:val="22"/>
        </w:rPr>
      </w:pPr>
      <w:r w:rsidRPr="00F7548C">
        <w:rPr>
          <w:rFonts w:ascii="ITC Avant Garde" w:eastAsia="Arial" w:hAnsi="ITC Avant Garde" w:cs="Arial"/>
          <w:sz w:val="22"/>
          <w:szCs w:val="22"/>
        </w:rPr>
        <w:lastRenderedPageBreak/>
        <w:t xml:space="preserve">Se pueden utilizar redes propias y/o de terceros para la prestación de los servicios de telecomunicaciones. </w:t>
      </w:r>
    </w:p>
    <w:p w14:paraId="2506EF4C" w14:textId="77777777" w:rsidR="00C75083" w:rsidRPr="00F7548C" w:rsidRDefault="00C75083" w:rsidP="000A1628">
      <w:pPr>
        <w:pStyle w:val="Prrafodelista"/>
        <w:numPr>
          <w:ilvl w:val="0"/>
          <w:numId w:val="35"/>
        </w:numPr>
        <w:spacing w:line="276" w:lineRule="auto"/>
        <w:ind w:left="1416"/>
        <w:jc w:val="both"/>
        <w:rPr>
          <w:rFonts w:ascii="ITC Avant Garde" w:eastAsia="Arial" w:hAnsi="ITC Avant Garde" w:cs="Arial"/>
          <w:sz w:val="22"/>
          <w:szCs w:val="22"/>
        </w:rPr>
      </w:pPr>
      <w:r w:rsidRPr="00F7548C">
        <w:rPr>
          <w:rFonts w:ascii="ITC Avant Garde" w:eastAsia="Arial" w:hAnsi="ITC Avant Garde" w:cs="Arial"/>
          <w:sz w:val="22"/>
          <w:szCs w:val="22"/>
        </w:rPr>
        <w:t>Implementación. Se deben presentar planes de instalación, de puesta en servicio y de mantenimiento de la infraestructura de la red de transporte, de la red de acceso y del servicio de acceso a Internet de los municipios a cubrir.</w:t>
      </w:r>
    </w:p>
    <w:p w14:paraId="1616FB8C" w14:textId="77777777" w:rsidR="00C75083" w:rsidRPr="00F7548C" w:rsidRDefault="00C75083" w:rsidP="000A1628">
      <w:pPr>
        <w:pStyle w:val="Prrafodelista"/>
        <w:numPr>
          <w:ilvl w:val="0"/>
          <w:numId w:val="35"/>
        </w:numPr>
        <w:spacing w:line="276" w:lineRule="auto"/>
        <w:ind w:left="1416"/>
        <w:jc w:val="both"/>
        <w:rPr>
          <w:rFonts w:ascii="ITC Avant Garde" w:eastAsia="Arial" w:hAnsi="ITC Avant Garde" w:cs="Arial"/>
          <w:sz w:val="22"/>
          <w:szCs w:val="22"/>
        </w:rPr>
      </w:pPr>
      <w:r w:rsidRPr="00F7548C">
        <w:rPr>
          <w:rFonts w:ascii="ITC Avant Garde" w:eastAsia="Arial" w:hAnsi="ITC Avant Garde" w:cs="Arial"/>
          <w:sz w:val="22"/>
          <w:szCs w:val="22"/>
        </w:rPr>
        <w:t xml:space="preserve">Operación. </w:t>
      </w:r>
    </w:p>
    <w:p w14:paraId="0ABCE189" w14:textId="77777777" w:rsidR="00C75083" w:rsidRPr="00F7548C" w:rsidRDefault="00C75083" w:rsidP="000A1628">
      <w:pPr>
        <w:pStyle w:val="Prrafodelista"/>
        <w:numPr>
          <w:ilvl w:val="0"/>
          <w:numId w:val="25"/>
        </w:numPr>
        <w:tabs>
          <w:tab w:val="num" w:pos="1916"/>
        </w:tabs>
        <w:spacing w:line="276" w:lineRule="auto"/>
        <w:ind w:left="1776"/>
        <w:jc w:val="both"/>
        <w:rPr>
          <w:rFonts w:ascii="ITC Avant Garde" w:eastAsia="Arial" w:hAnsi="ITC Avant Garde" w:cs="Arial"/>
          <w:sz w:val="22"/>
          <w:szCs w:val="22"/>
        </w:rPr>
      </w:pPr>
      <w:r w:rsidRPr="00F7548C">
        <w:rPr>
          <w:rFonts w:ascii="ITC Avant Garde" w:eastAsia="Arial" w:hAnsi="ITC Avant Garde" w:cs="Arial"/>
          <w:sz w:val="22"/>
          <w:szCs w:val="22"/>
        </w:rPr>
        <w:t>Se debe garantizar la disponibilidad del servicio (medido de forma mensual) para la capacidad suministrada por tramo óptico.</w:t>
      </w:r>
    </w:p>
    <w:p w14:paraId="0B24F6AD" w14:textId="77777777" w:rsidR="00C75083" w:rsidRPr="00F7548C" w:rsidRDefault="00C75083" w:rsidP="00C75083">
      <w:pPr>
        <w:spacing w:line="276" w:lineRule="auto"/>
        <w:jc w:val="both"/>
        <w:rPr>
          <w:rFonts w:ascii="ITC Avant Garde" w:eastAsia="Arial" w:hAnsi="ITC Avant Garde" w:cs="Arial"/>
          <w:sz w:val="22"/>
          <w:szCs w:val="22"/>
        </w:rPr>
      </w:pPr>
    </w:p>
    <w:p w14:paraId="2417FD47" w14:textId="30A041CE" w:rsidR="00C75083" w:rsidRPr="00F7548C" w:rsidRDefault="000A1628" w:rsidP="00C75083">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b/>
          <w:sz w:val="22"/>
          <w:szCs w:val="22"/>
          <w:lang w:val="es-ES_tradnl"/>
        </w:rPr>
        <w:t>5</w:t>
      </w:r>
      <w:r w:rsidR="00C75083" w:rsidRPr="00F7548C">
        <w:rPr>
          <w:rFonts w:ascii="ITC Avant Garde" w:eastAsia="Arial" w:hAnsi="ITC Avant Garde" w:cs="Arial"/>
          <w:b/>
          <w:sz w:val="22"/>
          <w:szCs w:val="22"/>
          <w:lang w:val="es-ES_tradnl"/>
        </w:rPr>
        <w:t>.3- Brasil</w:t>
      </w:r>
      <w:r w:rsidR="00C75083" w:rsidRPr="00F7548C">
        <w:rPr>
          <w:rFonts w:ascii="ITC Avant Garde" w:eastAsia="Arial" w:hAnsi="ITC Avant Garde" w:cs="Arial"/>
          <w:sz w:val="22"/>
          <w:szCs w:val="22"/>
          <w:lang w:val="es-ES_tradnl"/>
        </w:rPr>
        <w:t>. Mediante el “</w:t>
      </w:r>
      <w:r w:rsidR="00C75083" w:rsidRPr="00F7548C">
        <w:rPr>
          <w:rFonts w:ascii="ITC Avant Garde" w:eastAsia="Arial" w:hAnsi="ITC Avant Garde" w:cs="Arial"/>
          <w:i/>
          <w:sz w:val="22"/>
          <w:szCs w:val="22"/>
          <w:lang w:val="es-ES_tradnl"/>
        </w:rPr>
        <w:t>Programa Nacional de Banda Larga</w:t>
      </w:r>
      <w:r w:rsidR="00C75083" w:rsidRPr="00F7548C">
        <w:rPr>
          <w:rFonts w:ascii="ITC Avant Garde" w:eastAsia="Arial" w:hAnsi="ITC Avant Garde" w:cs="Arial"/>
          <w:sz w:val="22"/>
          <w:szCs w:val="22"/>
          <w:lang w:val="es-ES_tradnl"/>
        </w:rPr>
        <w:t xml:space="preserve">” (PNBL), el Ministerio de Comunicaciones de Brasil, ha ejecutado diversas acciones para la ampliación de la red pública de fibra óptica administrada por </w:t>
      </w:r>
      <w:proofErr w:type="spellStart"/>
      <w:r w:rsidR="00C75083" w:rsidRPr="00F7548C">
        <w:rPr>
          <w:rFonts w:ascii="ITC Avant Garde" w:eastAsia="Arial" w:hAnsi="ITC Avant Garde" w:cs="Arial"/>
          <w:sz w:val="22"/>
          <w:szCs w:val="22"/>
          <w:lang w:val="es-ES_tradnl"/>
        </w:rPr>
        <w:t>Telebras</w:t>
      </w:r>
      <w:proofErr w:type="spellEnd"/>
      <w:r w:rsidR="00C75083" w:rsidRPr="00F7548C">
        <w:rPr>
          <w:rFonts w:ascii="ITC Avant Garde" w:eastAsia="Arial" w:hAnsi="ITC Avant Garde" w:cs="Arial"/>
          <w:sz w:val="22"/>
          <w:szCs w:val="22"/>
          <w:lang w:val="es-ES_tradnl"/>
        </w:rPr>
        <w:t>. Para la expansión de la red de fibra óptica se ha considerado:</w:t>
      </w:r>
    </w:p>
    <w:p w14:paraId="475C49A2" w14:textId="77777777" w:rsidR="00C75083" w:rsidRPr="00F7548C" w:rsidRDefault="00C75083" w:rsidP="00C75083">
      <w:pPr>
        <w:tabs>
          <w:tab w:val="num" w:pos="1220"/>
          <w:tab w:val="num" w:pos="1940"/>
        </w:tabs>
        <w:spacing w:line="276" w:lineRule="auto"/>
        <w:jc w:val="both"/>
        <w:rPr>
          <w:rFonts w:ascii="ITC Avant Garde" w:eastAsia="Arial" w:hAnsi="ITC Avant Garde" w:cs="Arial"/>
          <w:sz w:val="22"/>
          <w:szCs w:val="22"/>
          <w:lang w:val="es-ES_tradnl"/>
        </w:rPr>
      </w:pPr>
    </w:p>
    <w:p w14:paraId="3A81B893" w14:textId="77777777" w:rsidR="00C75083" w:rsidRPr="00F7548C" w:rsidRDefault="00C75083" w:rsidP="00C75083">
      <w:pPr>
        <w:pStyle w:val="Prrafodelista"/>
        <w:numPr>
          <w:ilvl w:val="0"/>
          <w:numId w:val="26"/>
        </w:numPr>
        <w:spacing w:line="276" w:lineRule="auto"/>
        <w:jc w:val="both"/>
        <w:rPr>
          <w:rFonts w:ascii="ITC Avant Garde" w:eastAsia="Arial" w:hAnsi="ITC Avant Garde" w:cs="Arial"/>
          <w:sz w:val="22"/>
          <w:szCs w:val="22"/>
        </w:rPr>
      </w:pPr>
      <w:r w:rsidRPr="00F7548C">
        <w:rPr>
          <w:rFonts w:ascii="ITC Avant Garde" w:eastAsia="Arial" w:hAnsi="ITC Avant Garde" w:cs="Arial"/>
          <w:sz w:val="22"/>
          <w:szCs w:val="22"/>
        </w:rPr>
        <w:t xml:space="preserve">Despliegue del </w:t>
      </w:r>
      <w:proofErr w:type="spellStart"/>
      <w:r w:rsidRPr="00F7548C">
        <w:rPr>
          <w:rFonts w:ascii="ITC Avant Garde" w:eastAsia="Arial" w:hAnsi="ITC Avant Garde" w:cs="Arial"/>
          <w:i/>
          <w:sz w:val="22"/>
          <w:szCs w:val="22"/>
        </w:rPr>
        <w:t>backbone</w:t>
      </w:r>
      <w:proofErr w:type="spellEnd"/>
      <w:r w:rsidRPr="00F7548C">
        <w:rPr>
          <w:rFonts w:ascii="ITC Avant Garde" w:eastAsia="Arial" w:hAnsi="ITC Avant Garde" w:cs="Arial"/>
          <w:sz w:val="22"/>
          <w:szCs w:val="22"/>
        </w:rPr>
        <w:t xml:space="preserve"> de fibra óptica con DWDM</w:t>
      </w:r>
      <w:r w:rsidRPr="00F7548C">
        <w:rPr>
          <w:rStyle w:val="Refdenotaalpie"/>
          <w:rFonts w:ascii="ITC Avant Garde" w:eastAsia="Arial" w:hAnsi="ITC Avant Garde" w:cs="Arial"/>
          <w:sz w:val="22"/>
          <w:szCs w:val="22"/>
        </w:rPr>
        <w:footnoteReference w:id="2"/>
      </w:r>
      <w:r w:rsidRPr="00F7548C">
        <w:rPr>
          <w:rFonts w:ascii="ITC Avant Garde" w:eastAsia="Arial" w:hAnsi="ITC Avant Garde" w:cs="Arial"/>
          <w:sz w:val="22"/>
          <w:szCs w:val="22"/>
        </w:rPr>
        <w:t xml:space="preserve"> para soportar la red del gobierno federal en las capitales de las regiones del Sureste, Noreste, Sur, Oeste y Norte, Centro-Norte.</w:t>
      </w:r>
    </w:p>
    <w:p w14:paraId="1D92A863" w14:textId="77777777" w:rsidR="00C75083" w:rsidRPr="00F7548C" w:rsidRDefault="00C75083" w:rsidP="00C75083">
      <w:pPr>
        <w:pStyle w:val="Prrafodelista"/>
        <w:numPr>
          <w:ilvl w:val="0"/>
          <w:numId w:val="26"/>
        </w:numPr>
        <w:spacing w:line="276" w:lineRule="auto"/>
        <w:jc w:val="both"/>
        <w:rPr>
          <w:rFonts w:ascii="ITC Avant Garde" w:eastAsia="Arial" w:hAnsi="ITC Avant Garde" w:cs="Arial"/>
          <w:sz w:val="22"/>
          <w:szCs w:val="22"/>
        </w:rPr>
      </w:pPr>
      <w:r w:rsidRPr="00F7548C">
        <w:rPr>
          <w:rFonts w:ascii="ITC Avant Garde" w:eastAsia="Arial" w:hAnsi="ITC Avant Garde" w:cs="Arial"/>
          <w:sz w:val="22"/>
          <w:szCs w:val="22"/>
        </w:rPr>
        <w:t xml:space="preserve">Integración y compartición de infraestructura con las redes gubernamentales estatales existentes (red </w:t>
      </w:r>
      <w:proofErr w:type="spellStart"/>
      <w:r w:rsidRPr="00F7548C">
        <w:rPr>
          <w:rFonts w:ascii="ITC Avant Garde" w:eastAsia="Arial" w:hAnsi="ITC Avant Garde" w:cs="Arial"/>
          <w:i/>
          <w:sz w:val="22"/>
          <w:szCs w:val="22"/>
        </w:rPr>
        <w:t>backbone</w:t>
      </w:r>
      <w:proofErr w:type="spellEnd"/>
      <w:r w:rsidRPr="00F7548C">
        <w:rPr>
          <w:rFonts w:ascii="ITC Avant Garde" w:eastAsia="Arial" w:hAnsi="ITC Avant Garde" w:cs="Arial"/>
          <w:sz w:val="22"/>
          <w:szCs w:val="22"/>
        </w:rPr>
        <w:t xml:space="preserve"> nacional), con redes municipales y metropolitanas (redes </w:t>
      </w:r>
      <w:proofErr w:type="spellStart"/>
      <w:r w:rsidRPr="00F7548C">
        <w:rPr>
          <w:rFonts w:ascii="ITC Avant Garde" w:eastAsia="Arial" w:hAnsi="ITC Avant Garde" w:cs="Arial"/>
          <w:i/>
          <w:sz w:val="22"/>
          <w:szCs w:val="22"/>
        </w:rPr>
        <w:t>backhaul</w:t>
      </w:r>
      <w:proofErr w:type="spellEnd"/>
      <w:r w:rsidRPr="00F7548C">
        <w:rPr>
          <w:rFonts w:ascii="ITC Avant Garde" w:eastAsia="Arial" w:hAnsi="ITC Avant Garde" w:cs="Arial"/>
          <w:sz w:val="22"/>
          <w:szCs w:val="22"/>
        </w:rPr>
        <w:t>).</w:t>
      </w:r>
    </w:p>
    <w:p w14:paraId="1E528E4C" w14:textId="77777777" w:rsidR="00C75083" w:rsidRPr="00F7548C" w:rsidRDefault="00C75083" w:rsidP="00C75083">
      <w:pPr>
        <w:pStyle w:val="Prrafodelista"/>
        <w:numPr>
          <w:ilvl w:val="0"/>
          <w:numId w:val="26"/>
        </w:numPr>
        <w:spacing w:line="276" w:lineRule="auto"/>
        <w:jc w:val="both"/>
        <w:rPr>
          <w:rFonts w:ascii="ITC Avant Garde" w:eastAsia="Arial" w:hAnsi="ITC Avant Garde" w:cs="Arial"/>
          <w:sz w:val="22"/>
          <w:szCs w:val="22"/>
        </w:rPr>
      </w:pPr>
      <w:r w:rsidRPr="00F7548C">
        <w:rPr>
          <w:rFonts w:ascii="ITC Avant Garde" w:eastAsia="Arial" w:hAnsi="ITC Avant Garde" w:cs="Arial"/>
          <w:sz w:val="22"/>
          <w:szCs w:val="22"/>
        </w:rPr>
        <w:t>Integración de puntos de intercambio de tráfico en sitios específicos de la red troncal nacional.</w:t>
      </w:r>
    </w:p>
    <w:p w14:paraId="6029B327" w14:textId="77777777" w:rsidR="00C75083" w:rsidRPr="00F7548C" w:rsidRDefault="00C75083" w:rsidP="00C75083">
      <w:pPr>
        <w:pStyle w:val="Prrafodelista"/>
        <w:numPr>
          <w:ilvl w:val="0"/>
          <w:numId w:val="26"/>
        </w:numPr>
        <w:spacing w:line="276" w:lineRule="auto"/>
        <w:jc w:val="both"/>
        <w:rPr>
          <w:rFonts w:ascii="ITC Avant Garde" w:eastAsia="Arial" w:hAnsi="ITC Avant Garde" w:cs="Arial"/>
          <w:sz w:val="22"/>
          <w:szCs w:val="22"/>
        </w:rPr>
      </w:pPr>
      <w:r w:rsidRPr="00F7548C">
        <w:rPr>
          <w:rFonts w:ascii="ITC Avant Garde" w:eastAsia="Arial" w:hAnsi="ITC Avant Garde" w:cs="Arial"/>
          <w:sz w:val="22"/>
          <w:szCs w:val="22"/>
        </w:rPr>
        <w:t xml:space="preserve">Aumento de la capacidad de las redes de </w:t>
      </w:r>
      <w:proofErr w:type="spellStart"/>
      <w:r w:rsidRPr="00F7548C">
        <w:rPr>
          <w:rFonts w:ascii="ITC Avant Garde" w:eastAsia="Arial" w:hAnsi="ITC Avant Garde" w:cs="Arial"/>
          <w:i/>
          <w:sz w:val="22"/>
          <w:szCs w:val="22"/>
        </w:rPr>
        <w:t>backhaul</w:t>
      </w:r>
      <w:proofErr w:type="spellEnd"/>
      <w:r w:rsidRPr="00F7548C">
        <w:rPr>
          <w:rFonts w:ascii="ITC Avant Garde" w:eastAsia="Arial" w:hAnsi="ITC Avant Garde" w:cs="Arial"/>
          <w:sz w:val="22"/>
          <w:szCs w:val="22"/>
        </w:rPr>
        <w:t xml:space="preserve"> en puntos específicos.</w:t>
      </w:r>
    </w:p>
    <w:p w14:paraId="3ACACC30" w14:textId="77777777" w:rsidR="00C75083" w:rsidRPr="00F7548C" w:rsidRDefault="00C75083" w:rsidP="00C75083">
      <w:pPr>
        <w:pStyle w:val="Prrafodelista"/>
        <w:numPr>
          <w:ilvl w:val="0"/>
          <w:numId w:val="26"/>
        </w:numPr>
        <w:spacing w:line="276" w:lineRule="auto"/>
        <w:jc w:val="both"/>
        <w:rPr>
          <w:rFonts w:ascii="ITC Avant Garde" w:eastAsia="Arial" w:hAnsi="ITC Avant Garde" w:cs="Arial"/>
          <w:sz w:val="22"/>
          <w:szCs w:val="22"/>
        </w:rPr>
      </w:pPr>
      <w:r w:rsidRPr="00F7548C">
        <w:rPr>
          <w:rFonts w:ascii="ITC Avant Garde" w:eastAsia="Arial" w:hAnsi="ITC Avant Garde" w:cs="Arial"/>
          <w:sz w:val="22"/>
          <w:szCs w:val="22"/>
        </w:rPr>
        <w:t>Emisión de regulaciones de infraestructura para fomentar la implementación de la infraestructura de fibra óptica de forma conjunta con otras infraestructuras del país tales como las redes de carreteras, ferrocarriles, oleoductos, entre otras.</w:t>
      </w:r>
    </w:p>
    <w:p w14:paraId="1108324B" w14:textId="77777777" w:rsidR="00C75083" w:rsidRPr="00F7548C" w:rsidRDefault="00C75083" w:rsidP="00C75083">
      <w:pPr>
        <w:pStyle w:val="Prrafodelista"/>
        <w:spacing w:line="276" w:lineRule="auto"/>
        <w:ind w:left="0"/>
        <w:contextualSpacing/>
        <w:jc w:val="both"/>
        <w:rPr>
          <w:rFonts w:ascii="ITC Avant Garde" w:hAnsi="ITC Avant Garde"/>
          <w:sz w:val="22"/>
          <w:szCs w:val="22"/>
        </w:rPr>
      </w:pPr>
    </w:p>
    <w:p w14:paraId="027E2D75" w14:textId="725134BA" w:rsidR="00C75083" w:rsidRPr="00F7548C" w:rsidRDefault="000A1628" w:rsidP="00C75083">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b/>
          <w:sz w:val="22"/>
          <w:szCs w:val="22"/>
          <w:lang w:val="es-ES_tradnl"/>
        </w:rPr>
        <w:t>5</w:t>
      </w:r>
      <w:r w:rsidR="00C75083" w:rsidRPr="00F7548C">
        <w:rPr>
          <w:rFonts w:ascii="ITC Avant Garde" w:eastAsia="Arial" w:hAnsi="ITC Avant Garde" w:cs="Arial"/>
          <w:b/>
          <w:sz w:val="22"/>
          <w:szCs w:val="22"/>
          <w:lang w:val="es-ES_tradnl"/>
        </w:rPr>
        <w:t>.4- Perú.</w:t>
      </w:r>
      <w:r w:rsidR="00C75083" w:rsidRPr="00F7548C">
        <w:rPr>
          <w:rFonts w:ascii="ITC Avant Garde" w:eastAsia="Arial" w:hAnsi="ITC Avant Garde" w:cs="Arial"/>
          <w:sz w:val="22"/>
          <w:szCs w:val="22"/>
          <w:lang w:val="es-ES_tradnl"/>
        </w:rPr>
        <w:t xml:space="preserve"> Con el objetivo de impulsar el desarrollo, utilización y masificación de la banda ancha el congreso peruano aprobó la construcción de una “Red Dorsal Nacional de Fibra Óptica”. Se establecieron disposiciones para el acceso y uso de la infraestructura asociada a la prestación de servicios públicos de energía eléctrica e hidrocarburos, incluida la </w:t>
      </w:r>
      <w:proofErr w:type="spellStart"/>
      <w:r w:rsidR="00C75083" w:rsidRPr="00F7548C">
        <w:rPr>
          <w:rFonts w:ascii="ITC Avant Garde" w:eastAsia="Arial" w:hAnsi="ITC Avant Garde" w:cs="Arial"/>
          <w:sz w:val="22"/>
          <w:szCs w:val="22"/>
          <w:lang w:val="es-ES_tradnl"/>
        </w:rPr>
        <w:t>coubicación</w:t>
      </w:r>
      <w:proofErr w:type="spellEnd"/>
      <w:r w:rsidR="00C75083" w:rsidRPr="00F7548C">
        <w:rPr>
          <w:rFonts w:ascii="ITC Avant Garde" w:eastAsia="Arial" w:hAnsi="ITC Avant Garde" w:cs="Arial"/>
          <w:sz w:val="22"/>
          <w:szCs w:val="22"/>
          <w:lang w:val="es-ES_tradnl"/>
        </w:rPr>
        <w:t xml:space="preserve">, así como el uso de derechos de vía. También, se estableció que la red de fibra óptica debía proporcionar servicios de transporte a otros operadores y no a usuarios finales. Entre las obligaciones que </w:t>
      </w:r>
      <w:r w:rsidR="00C75083" w:rsidRPr="00F7548C">
        <w:rPr>
          <w:rFonts w:ascii="ITC Avant Garde" w:eastAsia="Arial" w:hAnsi="ITC Avant Garde" w:cs="Arial"/>
          <w:sz w:val="22"/>
          <w:szCs w:val="22"/>
          <w:lang w:val="es-ES_tradnl"/>
        </w:rPr>
        <w:lastRenderedPageBreak/>
        <w:t>se le establecieron al concesionario que se adjudicó el proyecto se encuentran las siguientes:</w:t>
      </w:r>
    </w:p>
    <w:p w14:paraId="3DA29C8C" w14:textId="77777777" w:rsidR="00C75083" w:rsidRPr="00F7548C" w:rsidRDefault="00C75083" w:rsidP="00C75083">
      <w:pPr>
        <w:pStyle w:val="Prrafodelista"/>
        <w:spacing w:line="276" w:lineRule="auto"/>
        <w:ind w:left="0"/>
        <w:contextualSpacing/>
        <w:jc w:val="both"/>
        <w:rPr>
          <w:rFonts w:ascii="ITC Avant Garde" w:hAnsi="ITC Avant Garde"/>
          <w:sz w:val="22"/>
          <w:szCs w:val="22"/>
        </w:rPr>
      </w:pPr>
    </w:p>
    <w:p w14:paraId="225C85CC" w14:textId="77777777" w:rsidR="00C75083" w:rsidRPr="00F7548C" w:rsidRDefault="00C75083" w:rsidP="00C75083">
      <w:pPr>
        <w:pStyle w:val="Prrafodelista"/>
        <w:numPr>
          <w:ilvl w:val="0"/>
          <w:numId w:val="27"/>
        </w:numPr>
        <w:spacing w:line="276" w:lineRule="auto"/>
        <w:jc w:val="both"/>
        <w:rPr>
          <w:rFonts w:ascii="ITC Avant Garde" w:eastAsia="Arial" w:hAnsi="ITC Avant Garde" w:cs="Arial"/>
          <w:sz w:val="22"/>
          <w:szCs w:val="22"/>
        </w:rPr>
      </w:pPr>
      <w:r w:rsidRPr="00F7548C">
        <w:rPr>
          <w:rFonts w:ascii="ITC Avant Garde" w:eastAsia="Arial" w:hAnsi="ITC Avant Garde" w:cs="Arial"/>
          <w:i/>
          <w:sz w:val="22"/>
          <w:szCs w:val="22"/>
        </w:rPr>
        <w:t>Despliegue de la red</w:t>
      </w:r>
      <w:r w:rsidRPr="00F7548C">
        <w:rPr>
          <w:rFonts w:ascii="ITC Avant Garde" w:eastAsia="Arial" w:hAnsi="ITC Avant Garde" w:cs="Arial"/>
          <w:sz w:val="22"/>
          <w:szCs w:val="22"/>
        </w:rPr>
        <w:t>. Se le otorgaron 7 meses al concesionario para presentar un programa de despliegue que detalle las tareas y actividades a realizar.</w:t>
      </w:r>
    </w:p>
    <w:p w14:paraId="5285B2E8" w14:textId="58733674" w:rsidR="00C75083" w:rsidRPr="00F7548C" w:rsidRDefault="00C75083" w:rsidP="00C75083">
      <w:pPr>
        <w:pStyle w:val="Prrafodelista"/>
        <w:numPr>
          <w:ilvl w:val="0"/>
          <w:numId w:val="27"/>
        </w:numPr>
        <w:spacing w:line="276" w:lineRule="auto"/>
        <w:jc w:val="both"/>
        <w:rPr>
          <w:rFonts w:ascii="ITC Avant Garde" w:eastAsia="Arial" w:hAnsi="ITC Avant Garde" w:cs="Arial"/>
          <w:sz w:val="22"/>
          <w:szCs w:val="22"/>
        </w:rPr>
      </w:pPr>
      <w:r w:rsidRPr="00F7548C">
        <w:rPr>
          <w:rFonts w:ascii="ITC Avant Garde" w:eastAsia="Arial" w:hAnsi="ITC Avant Garde" w:cs="Arial"/>
          <w:i/>
          <w:sz w:val="22"/>
          <w:szCs w:val="22"/>
        </w:rPr>
        <w:t>Continuidad y calidad del servicio</w:t>
      </w:r>
      <w:r w:rsidRPr="00F7548C">
        <w:rPr>
          <w:rFonts w:ascii="ITC Avant Garde" w:eastAsia="Arial" w:hAnsi="ITC Avant Garde" w:cs="Arial"/>
          <w:sz w:val="22"/>
          <w:szCs w:val="22"/>
        </w:rPr>
        <w:t xml:space="preserve">. Se estableció una disponibilidad del 99.999 % medida anualmente para los enlaces de </w:t>
      </w:r>
      <w:proofErr w:type="spellStart"/>
      <w:r w:rsidRPr="00F7548C">
        <w:rPr>
          <w:rFonts w:ascii="ITC Avant Garde" w:eastAsia="Arial" w:hAnsi="ITC Avant Garde" w:cs="Arial"/>
          <w:i/>
          <w:sz w:val="22"/>
          <w:szCs w:val="22"/>
        </w:rPr>
        <w:t>core</w:t>
      </w:r>
      <w:proofErr w:type="spellEnd"/>
      <w:r w:rsidRPr="00F7548C">
        <w:rPr>
          <w:rFonts w:ascii="ITC Avant Garde" w:eastAsia="Arial" w:hAnsi="ITC Avant Garde" w:cs="Arial"/>
          <w:sz w:val="22"/>
          <w:szCs w:val="22"/>
        </w:rPr>
        <w:t xml:space="preserve">, desagregación a </w:t>
      </w:r>
      <w:proofErr w:type="spellStart"/>
      <w:r w:rsidRPr="00F7548C">
        <w:rPr>
          <w:rFonts w:ascii="ITC Avant Garde" w:eastAsia="Arial" w:hAnsi="ITC Avant Garde" w:cs="Arial"/>
          <w:i/>
          <w:sz w:val="22"/>
          <w:szCs w:val="22"/>
        </w:rPr>
        <w:t>core</w:t>
      </w:r>
      <w:proofErr w:type="spellEnd"/>
      <w:r w:rsidRPr="00F7548C">
        <w:rPr>
          <w:rFonts w:ascii="ITC Avant Garde" w:eastAsia="Arial" w:hAnsi="ITC Avant Garde" w:cs="Arial"/>
          <w:sz w:val="22"/>
          <w:szCs w:val="22"/>
        </w:rPr>
        <w:t xml:space="preserve"> y de distribución a </w:t>
      </w:r>
      <w:proofErr w:type="spellStart"/>
      <w:r w:rsidRPr="00F7548C">
        <w:rPr>
          <w:rFonts w:ascii="ITC Avant Garde" w:eastAsia="Arial" w:hAnsi="ITC Avant Garde" w:cs="Arial"/>
          <w:i/>
          <w:sz w:val="22"/>
          <w:szCs w:val="22"/>
        </w:rPr>
        <w:t>core</w:t>
      </w:r>
      <w:proofErr w:type="spellEnd"/>
      <w:r w:rsidRPr="00F7548C">
        <w:rPr>
          <w:rFonts w:ascii="ITC Avant Garde" w:eastAsia="Arial" w:hAnsi="ITC Avant Garde" w:cs="Arial"/>
          <w:sz w:val="22"/>
          <w:szCs w:val="22"/>
        </w:rPr>
        <w:t>.</w:t>
      </w:r>
    </w:p>
    <w:p w14:paraId="5CC6E151" w14:textId="77777777" w:rsidR="00C75083" w:rsidRPr="00F7548C" w:rsidRDefault="00C75083" w:rsidP="00C75083">
      <w:pPr>
        <w:pStyle w:val="Prrafodelista"/>
        <w:numPr>
          <w:ilvl w:val="0"/>
          <w:numId w:val="27"/>
        </w:numPr>
        <w:spacing w:line="276" w:lineRule="auto"/>
        <w:jc w:val="both"/>
        <w:rPr>
          <w:rFonts w:ascii="ITC Avant Garde" w:eastAsia="Arial" w:hAnsi="ITC Avant Garde" w:cs="Arial"/>
          <w:sz w:val="22"/>
          <w:szCs w:val="22"/>
        </w:rPr>
      </w:pPr>
      <w:r w:rsidRPr="00F7548C">
        <w:rPr>
          <w:rFonts w:ascii="ITC Avant Garde" w:eastAsia="Arial" w:hAnsi="ITC Avant Garde" w:cs="Arial"/>
          <w:i/>
          <w:sz w:val="22"/>
          <w:szCs w:val="22"/>
        </w:rPr>
        <w:t>Capacidad</w:t>
      </w:r>
      <w:r w:rsidRPr="00F7548C">
        <w:rPr>
          <w:rFonts w:ascii="ITC Avant Garde" w:eastAsia="Arial" w:hAnsi="ITC Avant Garde" w:cs="Arial"/>
          <w:sz w:val="22"/>
          <w:szCs w:val="22"/>
        </w:rPr>
        <w:t xml:space="preserve">. La capacidad contratada de todos los enlaces puede alcanzar como máximo hasta un 75% de la capacidad instalada, pasando dicho porcentaje el concesionario deberá ampliar la capacidad existente. </w:t>
      </w:r>
    </w:p>
    <w:p w14:paraId="0523FE04" w14:textId="0748F665" w:rsidR="00C75083" w:rsidRPr="00F7548C" w:rsidRDefault="00C75083" w:rsidP="00C75083">
      <w:pPr>
        <w:pStyle w:val="Prrafodelista"/>
        <w:numPr>
          <w:ilvl w:val="0"/>
          <w:numId w:val="27"/>
        </w:numPr>
        <w:spacing w:line="276" w:lineRule="auto"/>
        <w:jc w:val="both"/>
        <w:rPr>
          <w:rFonts w:ascii="ITC Avant Garde" w:eastAsia="Arial" w:hAnsi="ITC Avant Garde" w:cs="Arial"/>
          <w:sz w:val="22"/>
          <w:szCs w:val="22"/>
        </w:rPr>
      </w:pPr>
      <w:r w:rsidRPr="00F7548C">
        <w:rPr>
          <w:rFonts w:ascii="ITC Avant Garde" w:eastAsia="Arial" w:hAnsi="ITC Avant Garde" w:cs="Arial"/>
          <w:i/>
          <w:sz w:val="22"/>
          <w:szCs w:val="22"/>
        </w:rPr>
        <w:t>Puntos de conexión internacional</w:t>
      </w:r>
      <w:r w:rsidRPr="00F7548C">
        <w:rPr>
          <w:rFonts w:ascii="ITC Avant Garde" w:eastAsia="Arial" w:hAnsi="ITC Avant Garde" w:cs="Arial"/>
          <w:sz w:val="22"/>
          <w:szCs w:val="22"/>
        </w:rPr>
        <w:t xml:space="preserve">. El concesionario debe de instalar y equipar los nodos con enlaces ópticos que permitan la conexión con las redes de los 4 países limítrofes de Perú. Cada uno de los puntos de conexión internacional debe tener la capacidad de establecer lambdas exclusivas sobre DWDM para conectarse al </w:t>
      </w:r>
      <w:proofErr w:type="spellStart"/>
      <w:r w:rsidR="00477124" w:rsidRPr="00F7548C">
        <w:rPr>
          <w:rFonts w:ascii="ITC Avant Garde" w:eastAsia="Arial" w:hAnsi="ITC Avant Garde" w:cs="Arial"/>
          <w:sz w:val="22"/>
          <w:szCs w:val="22"/>
        </w:rPr>
        <w:t>c</w:t>
      </w:r>
      <w:r w:rsidRPr="00F7548C">
        <w:rPr>
          <w:rFonts w:ascii="ITC Avant Garde" w:eastAsia="Arial" w:hAnsi="ITC Avant Garde" w:cs="Arial"/>
          <w:sz w:val="22"/>
          <w:szCs w:val="22"/>
        </w:rPr>
        <w:t>ore</w:t>
      </w:r>
      <w:proofErr w:type="spellEnd"/>
      <w:r w:rsidRPr="00F7548C">
        <w:rPr>
          <w:rFonts w:ascii="ITC Avant Garde" w:eastAsia="Arial" w:hAnsi="ITC Avant Garde" w:cs="Arial"/>
          <w:sz w:val="22"/>
          <w:szCs w:val="22"/>
        </w:rPr>
        <w:t xml:space="preserve"> de la red.</w:t>
      </w:r>
    </w:p>
    <w:p w14:paraId="075497C8" w14:textId="77777777" w:rsidR="00C75083" w:rsidRPr="00F7548C" w:rsidRDefault="00C75083" w:rsidP="00C75083">
      <w:pPr>
        <w:pStyle w:val="Prrafodelista"/>
        <w:numPr>
          <w:ilvl w:val="0"/>
          <w:numId w:val="27"/>
        </w:numPr>
        <w:spacing w:line="276" w:lineRule="auto"/>
        <w:jc w:val="both"/>
        <w:rPr>
          <w:rFonts w:ascii="ITC Avant Garde" w:eastAsia="Arial" w:hAnsi="ITC Avant Garde" w:cs="Arial"/>
          <w:sz w:val="22"/>
          <w:szCs w:val="22"/>
        </w:rPr>
      </w:pPr>
      <w:r w:rsidRPr="00F7548C">
        <w:rPr>
          <w:rFonts w:ascii="ITC Avant Garde" w:eastAsia="Arial" w:hAnsi="ITC Avant Garde" w:cs="Arial"/>
          <w:i/>
          <w:sz w:val="22"/>
          <w:szCs w:val="22"/>
        </w:rPr>
        <w:t>Cronograma de trabajo</w:t>
      </w:r>
      <w:r w:rsidRPr="00F7548C">
        <w:rPr>
          <w:rFonts w:ascii="ITC Avant Garde" w:eastAsia="Arial" w:hAnsi="ITC Avant Garde" w:cs="Arial"/>
          <w:sz w:val="22"/>
          <w:szCs w:val="22"/>
        </w:rPr>
        <w:t>. El Ministerio de Transportes y Comunicaciones aprobó el plan de implementación, así como el cronograma de entregas parciales.</w:t>
      </w:r>
    </w:p>
    <w:p w14:paraId="534F899B" w14:textId="77777777" w:rsidR="00C75083" w:rsidRPr="00F7548C" w:rsidRDefault="00C75083" w:rsidP="00C75083">
      <w:pPr>
        <w:tabs>
          <w:tab w:val="num" w:pos="1220"/>
          <w:tab w:val="num" w:pos="1940"/>
        </w:tabs>
        <w:spacing w:line="276" w:lineRule="auto"/>
        <w:jc w:val="both"/>
        <w:rPr>
          <w:rFonts w:ascii="ITC Avant Garde" w:eastAsia="Arial" w:hAnsi="ITC Avant Garde" w:cs="Arial"/>
          <w:b/>
          <w:sz w:val="22"/>
          <w:szCs w:val="22"/>
          <w:lang w:val="es-ES_tradnl"/>
        </w:rPr>
      </w:pPr>
    </w:p>
    <w:p w14:paraId="2D5ED0C2" w14:textId="6DD0E25A" w:rsidR="00C75083" w:rsidRPr="00F7548C" w:rsidRDefault="00BC375A" w:rsidP="000A1628">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b/>
          <w:sz w:val="22"/>
          <w:szCs w:val="22"/>
          <w:lang w:val="es-ES_tradnl"/>
        </w:rPr>
        <w:t>SEXTO</w:t>
      </w:r>
      <w:r w:rsidR="00C75083" w:rsidRPr="00F7548C">
        <w:rPr>
          <w:rFonts w:ascii="ITC Avant Garde" w:eastAsia="Arial" w:hAnsi="ITC Avant Garde" w:cs="Arial"/>
          <w:b/>
          <w:sz w:val="22"/>
          <w:szCs w:val="22"/>
          <w:lang w:val="es-ES_tradnl"/>
        </w:rPr>
        <w:t>- Construcción y crecimiento de la Red Troncal Nacional.</w:t>
      </w:r>
      <w:r w:rsidR="00C75083" w:rsidRPr="00F7548C">
        <w:rPr>
          <w:rFonts w:ascii="ITC Avant Garde" w:eastAsia="Arial" w:hAnsi="ITC Avant Garde" w:cs="Arial"/>
          <w:sz w:val="22"/>
          <w:szCs w:val="22"/>
          <w:lang w:val="es-ES_tradnl"/>
        </w:rPr>
        <w:t xml:space="preserve"> El artículo Décimo Quinto Transitorio del Decreto, señala que Telecomunicaciones de México tendrá atribuciones y recursos para planear, diseñar y ejecutar la construcción y el crecimiento de una robusta red troncal de telecomunicaciones de cobertura nacional. Lo anterior, de conformidad con los lineamientos que emita el Instituto.</w:t>
      </w:r>
    </w:p>
    <w:p w14:paraId="297B66F6" w14:textId="77777777" w:rsidR="00C75083" w:rsidRPr="00F7548C" w:rsidRDefault="00C75083" w:rsidP="00C75083">
      <w:pPr>
        <w:tabs>
          <w:tab w:val="num" w:pos="1220"/>
          <w:tab w:val="num" w:pos="1940"/>
        </w:tabs>
        <w:spacing w:line="276" w:lineRule="auto"/>
        <w:jc w:val="both"/>
        <w:rPr>
          <w:rFonts w:ascii="ITC Avant Garde" w:eastAsia="Arial" w:hAnsi="ITC Avant Garde" w:cs="Arial"/>
          <w:sz w:val="22"/>
          <w:szCs w:val="22"/>
          <w:lang w:val="es-ES_tradnl"/>
        </w:rPr>
      </w:pPr>
    </w:p>
    <w:p w14:paraId="7E29C5F4" w14:textId="77777777" w:rsidR="00C75083" w:rsidRPr="00F7548C" w:rsidRDefault="00C75083" w:rsidP="00C75083">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Los planes y programas de despliegue son una constante en la experiencia internacional, en éstos se han fijado objetivos específicos que se deben cumplir en plazos establecidos tomando en cuenta la duración de las concesiones y los objetivos de los programas establecidos por los gobiernos que impulsaron dichos proyectos. Estos programas de despliegue se desarrollan de forma conjunta con el operador encargado de la red, situación que le da certidumbre a todo el desarrollo e implementación del proyecto.</w:t>
      </w:r>
    </w:p>
    <w:p w14:paraId="239C12A2" w14:textId="77777777" w:rsidR="00C75083" w:rsidRPr="00F7548C" w:rsidRDefault="00C75083" w:rsidP="00C75083">
      <w:pPr>
        <w:tabs>
          <w:tab w:val="num" w:pos="1220"/>
          <w:tab w:val="num" w:pos="1940"/>
        </w:tabs>
        <w:spacing w:line="276" w:lineRule="auto"/>
        <w:jc w:val="both"/>
        <w:rPr>
          <w:rFonts w:ascii="ITC Avant Garde" w:eastAsia="Arial" w:hAnsi="ITC Avant Garde" w:cs="Arial"/>
          <w:sz w:val="22"/>
          <w:szCs w:val="22"/>
          <w:lang w:val="es-ES_tradnl"/>
        </w:rPr>
      </w:pPr>
    </w:p>
    <w:p w14:paraId="3583A765" w14:textId="77777777" w:rsidR="00C75083" w:rsidRPr="00F7548C" w:rsidRDefault="00C75083" w:rsidP="00C75083">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 xml:space="preserve">El Decreto establece que la red troncal debe ser robusta y de cobertura nacional, por esta razón, los lineamientos deben establecer un porcentaje de disponibilidad y niveles de calidad mínimos que garanticen la prestación de servicios comerciales, así como los incentivos para asegurar su crecimiento a través del tiempo. Además, </w:t>
      </w:r>
      <w:r w:rsidRPr="00F7548C">
        <w:rPr>
          <w:rFonts w:ascii="ITC Avant Garde" w:eastAsia="Arial" w:hAnsi="ITC Avant Garde" w:cs="Arial"/>
          <w:sz w:val="22"/>
          <w:szCs w:val="22"/>
          <w:lang w:val="es-ES_tradnl"/>
        </w:rPr>
        <w:lastRenderedPageBreak/>
        <w:t>resulta pertinente brindarle la suficiente flexibilidad a Telecomunicaciones de México para diseñar un programa de despliegue que incluya las tareas a ejecutar con plazos definidos y que constituyan compromisos que el mismo concesionario pueda cumplir, conforme a los planes y programas de inversión, cobertura geográfica, poblacional o social, de conectividad en sitios públicos y de contribución a la cobertura universal que formule anualmente la Secretaría de Comunicaciones y Transportes.</w:t>
      </w:r>
    </w:p>
    <w:p w14:paraId="16B99FAA" w14:textId="77777777" w:rsidR="00C75083" w:rsidRPr="00F7548C" w:rsidRDefault="00C75083" w:rsidP="00C75083">
      <w:pPr>
        <w:tabs>
          <w:tab w:val="num" w:pos="1220"/>
          <w:tab w:val="num" w:pos="1940"/>
        </w:tabs>
        <w:spacing w:line="276" w:lineRule="auto"/>
        <w:jc w:val="both"/>
        <w:rPr>
          <w:rFonts w:ascii="ITC Avant Garde" w:eastAsia="Arial" w:hAnsi="ITC Avant Garde" w:cs="Arial"/>
          <w:sz w:val="22"/>
          <w:szCs w:val="22"/>
          <w:lang w:val="es-ES_tradnl"/>
        </w:rPr>
      </w:pPr>
    </w:p>
    <w:p w14:paraId="6A2F0BA8" w14:textId="444AD251" w:rsidR="00C75083" w:rsidRPr="00F7548C" w:rsidRDefault="00C75083" w:rsidP="00C75083">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La CFE cuenta con los derechos de vía que pueden ser necesarios para iniciar la operación de una nueva red troncal, y además dispone de al menos 35,000 kilómetros de fibra óptica en el territorio nacional</w:t>
      </w:r>
      <w:r w:rsidR="00B37A14">
        <w:rPr>
          <w:rFonts w:ascii="ITC Avant Garde" w:eastAsia="Arial" w:hAnsi="ITC Avant Garde" w:cs="Arial"/>
          <w:sz w:val="22"/>
          <w:szCs w:val="22"/>
          <w:lang w:val="es-ES_tradnl"/>
        </w:rPr>
        <w:t>,</w:t>
      </w:r>
      <w:r w:rsidRPr="00F7548C">
        <w:rPr>
          <w:rFonts w:ascii="ITC Avant Garde" w:eastAsia="Arial" w:hAnsi="ITC Avant Garde" w:cs="Arial"/>
          <w:sz w:val="22"/>
          <w:szCs w:val="22"/>
          <w:lang w:val="es-ES_tradnl"/>
        </w:rPr>
        <w:t xml:space="preserve"> al menos 143 puntos de presencia, así como miles de postes desplegados en las localidades del país. </w:t>
      </w:r>
    </w:p>
    <w:p w14:paraId="29DF1023" w14:textId="77777777" w:rsidR="00C75083" w:rsidRPr="00F7548C" w:rsidRDefault="00C75083" w:rsidP="00C75083">
      <w:pPr>
        <w:tabs>
          <w:tab w:val="num" w:pos="1220"/>
          <w:tab w:val="num" w:pos="1940"/>
        </w:tabs>
        <w:spacing w:line="276" w:lineRule="auto"/>
        <w:jc w:val="both"/>
        <w:rPr>
          <w:rFonts w:ascii="ITC Avant Garde" w:eastAsia="Arial" w:hAnsi="ITC Avant Garde" w:cs="Arial"/>
          <w:sz w:val="22"/>
          <w:szCs w:val="22"/>
          <w:lang w:val="es-ES_tradnl"/>
        </w:rPr>
      </w:pPr>
    </w:p>
    <w:p w14:paraId="6D7ADBF7" w14:textId="77777777" w:rsidR="00C75083" w:rsidRDefault="00C75083" w:rsidP="00C75083">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Una red troncal que provee servicios comerciales debe ser capaz de suministrar servicios de forma ininterrumpida y con alta calidad a sus clientes, esto implica tener alta disponibilidad y parámetros de calidad de servicio adecuados, para asegurar la correcta funcionalidad de las aplicaciones de audio, datos y video de los usuarios. Estos parámetros deben ser consistentes con las mejores prácticas internacionales y las necesidades del mercado que se debe atender.</w:t>
      </w:r>
    </w:p>
    <w:p w14:paraId="59331545" w14:textId="77777777" w:rsidR="001F1C07" w:rsidRPr="00F7548C" w:rsidRDefault="001F1C07" w:rsidP="00C75083">
      <w:pPr>
        <w:tabs>
          <w:tab w:val="num" w:pos="1220"/>
          <w:tab w:val="num" w:pos="1940"/>
        </w:tabs>
        <w:spacing w:line="276" w:lineRule="auto"/>
        <w:jc w:val="both"/>
        <w:rPr>
          <w:rFonts w:ascii="ITC Avant Garde" w:eastAsia="Arial" w:hAnsi="ITC Avant Garde" w:cs="Arial"/>
          <w:sz w:val="22"/>
          <w:szCs w:val="22"/>
          <w:lang w:val="es-ES_tradnl"/>
        </w:rPr>
      </w:pPr>
    </w:p>
    <w:p w14:paraId="5AC61563" w14:textId="08085F6E" w:rsidR="00233507" w:rsidRDefault="001F1C07" w:rsidP="009E3DBE">
      <w:pPr>
        <w:tabs>
          <w:tab w:val="num" w:pos="1220"/>
          <w:tab w:val="num" w:pos="1940"/>
        </w:tabs>
        <w:spacing w:line="276" w:lineRule="auto"/>
        <w:jc w:val="both"/>
        <w:rPr>
          <w:rFonts w:ascii="ITC Avant Garde" w:eastAsia="Arial" w:hAnsi="ITC Avant Garde" w:cs="Arial"/>
          <w:sz w:val="22"/>
          <w:szCs w:val="22"/>
          <w:lang w:val="es-ES_tradnl"/>
        </w:rPr>
      </w:pPr>
      <w:r>
        <w:rPr>
          <w:rFonts w:ascii="ITC Avant Garde" w:eastAsia="Arial" w:hAnsi="ITC Avant Garde" w:cs="Arial"/>
          <w:sz w:val="22"/>
          <w:szCs w:val="22"/>
          <w:lang w:val="es-ES_tradnl"/>
        </w:rPr>
        <w:t>En consistencia con lo anterior, Telecomunicaciones de México incluyó en su agenda del Programa Institucional 2014-2018</w:t>
      </w:r>
      <w:r w:rsidR="00CD2003">
        <w:rPr>
          <w:rFonts w:ascii="ITC Avant Garde" w:eastAsia="Arial" w:hAnsi="ITC Avant Garde" w:cs="Arial"/>
          <w:sz w:val="22"/>
          <w:szCs w:val="22"/>
          <w:lang w:val="es-ES_tradnl"/>
        </w:rPr>
        <w:t xml:space="preserve"> (en lo sucesivo, “Programa Institucional”)</w:t>
      </w:r>
      <w:r>
        <w:rPr>
          <w:rFonts w:ascii="ITC Avant Garde" w:eastAsia="Arial" w:hAnsi="ITC Avant Garde" w:cs="Arial"/>
          <w:sz w:val="22"/>
          <w:szCs w:val="22"/>
          <w:lang w:val="es-ES_tradnl"/>
        </w:rPr>
        <w:t xml:space="preserve">, la necesidad de ejecutar un programa de trabajo e inversiones para que el 95% de la </w:t>
      </w:r>
      <w:r w:rsidRPr="001F1C07">
        <w:rPr>
          <w:rFonts w:ascii="ITC Avant Garde" w:eastAsia="Arial" w:hAnsi="ITC Avant Garde" w:cs="Arial"/>
          <w:sz w:val="22"/>
          <w:szCs w:val="22"/>
          <w:lang w:val="es-ES_tradnl"/>
        </w:rPr>
        <w:t>población esté</w:t>
      </w:r>
      <w:r>
        <w:rPr>
          <w:rFonts w:ascii="ITC Avant Garde" w:eastAsia="Arial" w:hAnsi="ITC Avant Garde" w:cs="Arial"/>
          <w:sz w:val="22"/>
          <w:szCs w:val="22"/>
          <w:lang w:val="es-ES_tradnl"/>
        </w:rPr>
        <w:t xml:space="preserve"> al menos a una distancia de 40 kilómetros</w:t>
      </w:r>
      <w:r w:rsidRPr="001F1C07">
        <w:rPr>
          <w:rFonts w:ascii="ITC Avant Garde" w:eastAsia="Arial" w:hAnsi="ITC Avant Garde" w:cs="Arial"/>
          <w:sz w:val="22"/>
          <w:szCs w:val="22"/>
          <w:lang w:val="es-ES_tradnl"/>
        </w:rPr>
        <w:t xml:space="preserve"> de una pun</w:t>
      </w:r>
      <w:r>
        <w:rPr>
          <w:rFonts w:ascii="ITC Avant Garde" w:eastAsia="Arial" w:hAnsi="ITC Avant Garde" w:cs="Arial"/>
          <w:sz w:val="22"/>
          <w:szCs w:val="22"/>
          <w:lang w:val="es-ES_tradnl"/>
        </w:rPr>
        <w:t>ta de fibra óptica</w:t>
      </w:r>
      <w:r w:rsidR="009E3DBE">
        <w:rPr>
          <w:rFonts w:ascii="ITC Avant Garde" w:eastAsia="Arial" w:hAnsi="ITC Avant Garde" w:cs="Arial"/>
          <w:sz w:val="22"/>
          <w:szCs w:val="22"/>
          <w:lang w:val="es-ES_tradnl"/>
        </w:rPr>
        <w:t>,</w:t>
      </w:r>
      <w:r>
        <w:rPr>
          <w:rFonts w:ascii="ITC Avant Garde" w:eastAsia="Arial" w:hAnsi="ITC Avant Garde" w:cs="Arial"/>
          <w:sz w:val="22"/>
          <w:szCs w:val="22"/>
          <w:lang w:val="es-ES_tradnl"/>
        </w:rPr>
        <w:t xml:space="preserve"> y los </w:t>
      </w:r>
      <w:r w:rsidRPr="001F1C07">
        <w:rPr>
          <w:rFonts w:ascii="ITC Avant Garde" w:eastAsia="Arial" w:hAnsi="ITC Avant Garde" w:cs="Arial"/>
          <w:sz w:val="22"/>
          <w:szCs w:val="22"/>
          <w:lang w:val="es-ES_tradnl"/>
        </w:rPr>
        <w:t>concesionari</w:t>
      </w:r>
      <w:r>
        <w:rPr>
          <w:rFonts w:ascii="ITC Avant Garde" w:eastAsia="Arial" w:hAnsi="ITC Avant Garde" w:cs="Arial"/>
          <w:sz w:val="22"/>
          <w:szCs w:val="22"/>
          <w:lang w:val="es-ES_tradnl"/>
        </w:rPr>
        <w:t xml:space="preserve">os puedan entregar conectividad </w:t>
      </w:r>
      <w:r w:rsidRPr="001F1C07">
        <w:rPr>
          <w:rFonts w:ascii="ITC Avant Garde" w:eastAsia="Arial" w:hAnsi="ITC Avant Garde" w:cs="Arial"/>
          <w:sz w:val="22"/>
          <w:szCs w:val="22"/>
          <w:lang w:val="es-ES_tradnl"/>
        </w:rPr>
        <w:t>de banda anch</w:t>
      </w:r>
      <w:r>
        <w:rPr>
          <w:rFonts w:ascii="ITC Avant Garde" w:eastAsia="Arial" w:hAnsi="ITC Avant Garde" w:cs="Arial"/>
          <w:sz w:val="22"/>
          <w:szCs w:val="22"/>
          <w:lang w:val="es-ES_tradnl"/>
        </w:rPr>
        <w:t xml:space="preserve">a por tierra o inalámbricamente </w:t>
      </w:r>
      <w:r w:rsidRPr="001F1C07">
        <w:rPr>
          <w:rFonts w:ascii="ITC Avant Garde" w:eastAsia="Arial" w:hAnsi="ITC Avant Garde" w:cs="Arial"/>
          <w:sz w:val="22"/>
          <w:szCs w:val="22"/>
          <w:lang w:val="es-ES_tradnl"/>
        </w:rPr>
        <w:t>a usuarios finale</w:t>
      </w:r>
      <w:r>
        <w:rPr>
          <w:rFonts w:ascii="ITC Avant Garde" w:eastAsia="Arial" w:hAnsi="ITC Avant Garde" w:cs="Arial"/>
          <w:sz w:val="22"/>
          <w:szCs w:val="22"/>
          <w:lang w:val="es-ES_tradnl"/>
        </w:rPr>
        <w:t>s</w:t>
      </w:r>
      <w:r w:rsidRPr="001F1C07">
        <w:rPr>
          <w:rFonts w:ascii="ITC Avant Garde" w:eastAsia="Arial" w:hAnsi="ITC Avant Garde" w:cs="Arial"/>
          <w:sz w:val="22"/>
          <w:szCs w:val="22"/>
          <w:lang w:val="es-ES_tradnl"/>
        </w:rPr>
        <w:t>.</w:t>
      </w:r>
      <w:r w:rsidR="009E3DBE">
        <w:rPr>
          <w:rFonts w:ascii="ITC Avant Garde" w:eastAsia="Arial" w:hAnsi="ITC Avant Garde" w:cs="Arial"/>
          <w:sz w:val="22"/>
          <w:szCs w:val="22"/>
          <w:lang w:val="es-ES_tradnl"/>
        </w:rPr>
        <w:t xml:space="preserve"> Asimismo, se señala la importancia que tiene para Telecomunicaciones de México, convenir con la CFE un esquema de trabajo operativo </w:t>
      </w:r>
      <w:r w:rsidR="009E3DBE" w:rsidRPr="009E3DBE">
        <w:rPr>
          <w:rFonts w:ascii="ITC Avant Garde" w:eastAsia="Arial" w:hAnsi="ITC Avant Garde" w:cs="Arial"/>
          <w:sz w:val="22"/>
          <w:szCs w:val="22"/>
          <w:lang w:val="es-ES_tradnl"/>
        </w:rPr>
        <w:t xml:space="preserve">acorde a las </w:t>
      </w:r>
      <w:r w:rsidR="009E3DBE">
        <w:rPr>
          <w:rFonts w:ascii="ITC Avant Garde" w:eastAsia="Arial" w:hAnsi="ITC Avant Garde" w:cs="Arial"/>
          <w:sz w:val="22"/>
          <w:szCs w:val="22"/>
          <w:lang w:val="es-ES_tradnl"/>
        </w:rPr>
        <w:t xml:space="preserve">disposiciones que emita el Instituto, </w:t>
      </w:r>
      <w:r w:rsidR="009E3DBE" w:rsidRPr="009E3DBE">
        <w:rPr>
          <w:rFonts w:ascii="ITC Avant Garde" w:eastAsia="Arial" w:hAnsi="ITC Avant Garde" w:cs="Arial"/>
          <w:sz w:val="22"/>
          <w:szCs w:val="22"/>
          <w:lang w:val="es-ES_tradnl"/>
        </w:rPr>
        <w:t>para que pri</w:t>
      </w:r>
      <w:r w:rsidR="009E3DBE">
        <w:rPr>
          <w:rFonts w:ascii="ITC Avant Garde" w:eastAsia="Arial" w:hAnsi="ITC Avant Garde" w:cs="Arial"/>
          <w:sz w:val="22"/>
          <w:szCs w:val="22"/>
          <w:lang w:val="es-ES_tradnl"/>
        </w:rPr>
        <w:t xml:space="preserve">meramente el servicio tenga una </w:t>
      </w:r>
      <w:r w:rsidR="009E3DBE" w:rsidRPr="009E3DBE">
        <w:rPr>
          <w:rFonts w:ascii="ITC Avant Garde" w:eastAsia="Arial" w:hAnsi="ITC Avant Garde" w:cs="Arial"/>
          <w:sz w:val="22"/>
          <w:szCs w:val="22"/>
          <w:lang w:val="es-ES_tradnl"/>
        </w:rPr>
        <w:t>alta disponi</w:t>
      </w:r>
      <w:r w:rsidR="009E3DBE">
        <w:rPr>
          <w:rFonts w:ascii="ITC Avant Garde" w:eastAsia="Arial" w:hAnsi="ITC Avant Garde" w:cs="Arial"/>
          <w:sz w:val="22"/>
          <w:szCs w:val="22"/>
          <w:lang w:val="es-ES_tradnl"/>
        </w:rPr>
        <w:t xml:space="preserve">bilidad con niveles de servicio </w:t>
      </w:r>
      <w:r w:rsidR="009E3DBE" w:rsidRPr="009E3DBE">
        <w:rPr>
          <w:rFonts w:ascii="ITC Avant Garde" w:eastAsia="Arial" w:hAnsi="ITC Avant Garde" w:cs="Arial"/>
          <w:sz w:val="22"/>
          <w:szCs w:val="22"/>
          <w:lang w:val="es-ES_tradnl"/>
        </w:rPr>
        <w:t>garantizados</w:t>
      </w:r>
      <w:r w:rsidR="009E3DBE">
        <w:rPr>
          <w:rFonts w:ascii="ITC Avant Garde" w:eastAsia="Arial" w:hAnsi="ITC Avant Garde" w:cs="Arial"/>
          <w:sz w:val="22"/>
          <w:szCs w:val="22"/>
          <w:lang w:val="es-ES_tradnl"/>
        </w:rPr>
        <w:t>.</w:t>
      </w:r>
      <w:r w:rsidR="00CD2003">
        <w:rPr>
          <w:rStyle w:val="Refdenotaalpie"/>
          <w:rFonts w:ascii="ITC Avant Garde" w:eastAsia="Arial" w:hAnsi="ITC Avant Garde" w:cs="Arial"/>
          <w:sz w:val="22"/>
          <w:szCs w:val="22"/>
          <w:lang w:val="es-ES_tradnl"/>
        </w:rPr>
        <w:footnoteReference w:id="3"/>
      </w:r>
    </w:p>
    <w:p w14:paraId="17C3CD30" w14:textId="77777777" w:rsidR="001F1C07" w:rsidRDefault="001F1C07" w:rsidP="00233507">
      <w:pPr>
        <w:tabs>
          <w:tab w:val="num" w:pos="1220"/>
          <w:tab w:val="num" w:pos="1940"/>
        </w:tabs>
        <w:spacing w:line="276" w:lineRule="auto"/>
        <w:jc w:val="both"/>
        <w:rPr>
          <w:rFonts w:ascii="ITC Avant Garde" w:eastAsia="Arial" w:hAnsi="ITC Avant Garde" w:cs="Arial"/>
          <w:sz w:val="22"/>
          <w:szCs w:val="22"/>
          <w:lang w:val="es-ES_tradnl"/>
        </w:rPr>
      </w:pPr>
    </w:p>
    <w:p w14:paraId="369F81E1" w14:textId="016F737B" w:rsidR="00CD2003" w:rsidRDefault="00CD2003" w:rsidP="00233507">
      <w:pPr>
        <w:tabs>
          <w:tab w:val="num" w:pos="1220"/>
          <w:tab w:val="num" w:pos="1940"/>
        </w:tabs>
        <w:spacing w:line="276" w:lineRule="auto"/>
        <w:jc w:val="both"/>
        <w:rPr>
          <w:rFonts w:ascii="ITC Avant Garde" w:eastAsia="Arial" w:hAnsi="ITC Avant Garde" w:cs="Arial"/>
          <w:sz w:val="22"/>
          <w:szCs w:val="22"/>
          <w:lang w:val="es-ES_tradnl"/>
        </w:rPr>
      </w:pPr>
      <w:r w:rsidRPr="00CD2003">
        <w:rPr>
          <w:rFonts w:ascii="ITC Avant Garde" w:eastAsia="Arial" w:hAnsi="ITC Avant Garde" w:cs="Arial"/>
          <w:sz w:val="22"/>
          <w:szCs w:val="22"/>
          <w:lang w:val="es-ES_tradnl"/>
        </w:rPr>
        <w:t xml:space="preserve">El </w:t>
      </w:r>
      <w:r>
        <w:rPr>
          <w:rFonts w:ascii="ITC Avant Garde" w:eastAsia="Arial" w:hAnsi="ITC Avant Garde" w:cs="Arial"/>
          <w:sz w:val="22"/>
          <w:szCs w:val="22"/>
          <w:lang w:val="es-ES_tradnl"/>
        </w:rPr>
        <w:t xml:space="preserve">Programa Institucional considera la importancia de que Telecomunicaciones de México establezca </w:t>
      </w:r>
      <w:r w:rsidRPr="00CD2003">
        <w:rPr>
          <w:rFonts w:ascii="ITC Avant Garde" w:eastAsia="Arial" w:hAnsi="ITC Avant Garde" w:cs="Arial"/>
          <w:sz w:val="22"/>
          <w:szCs w:val="22"/>
          <w:lang w:val="es-ES_tradnl"/>
        </w:rPr>
        <w:t>un acuerdo con CFE para definir y concertar el modo de operar de todos aquellos equipos que serán compartidos</w:t>
      </w:r>
      <w:r>
        <w:rPr>
          <w:rFonts w:ascii="ITC Avant Garde" w:eastAsia="Arial" w:hAnsi="ITC Avant Garde" w:cs="Arial"/>
          <w:sz w:val="22"/>
          <w:szCs w:val="22"/>
          <w:lang w:val="es-ES_tradnl"/>
        </w:rPr>
        <w:t>,</w:t>
      </w:r>
      <w:r w:rsidRPr="00CD2003">
        <w:rPr>
          <w:rFonts w:ascii="ITC Avant Garde" w:eastAsia="Arial" w:hAnsi="ITC Avant Garde" w:cs="Arial"/>
          <w:sz w:val="22"/>
          <w:szCs w:val="22"/>
          <w:lang w:val="es-ES_tradnl"/>
        </w:rPr>
        <w:t xml:space="preserve"> por las necesidades que tiene CFE de monitorear la red de transmisión de energía eléctrica y asegurar el acceso efectivo y compartido de TELECOMM a la fibra ó</w:t>
      </w:r>
      <w:r>
        <w:rPr>
          <w:rFonts w:ascii="ITC Avant Garde" w:eastAsia="Arial" w:hAnsi="ITC Avant Garde" w:cs="Arial"/>
          <w:sz w:val="22"/>
          <w:szCs w:val="22"/>
          <w:lang w:val="es-ES_tradnl"/>
        </w:rPr>
        <w:t xml:space="preserve">ptica, derechos de vía, torres, </w:t>
      </w:r>
      <w:proofErr w:type="spellStart"/>
      <w:r w:rsidRPr="00CD2003">
        <w:rPr>
          <w:rFonts w:ascii="ITC Avant Garde" w:eastAsia="Arial" w:hAnsi="ITC Avant Garde" w:cs="Arial"/>
          <w:sz w:val="22"/>
          <w:szCs w:val="22"/>
          <w:lang w:val="es-ES_tradnl"/>
        </w:rPr>
        <w:lastRenderedPageBreak/>
        <w:t>postería</w:t>
      </w:r>
      <w:proofErr w:type="spellEnd"/>
      <w:r w:rsidRPr="00CD2003">
        <w:rPr>
          <w:rFonts w:ascii="ITC Avant Garde" w:eastAsia="Arial" w:hAnsi="ITC Avant Garde" w:cs="Arial"/>
          <w:sz w:val="22"/>
          <w:szCs w:val="22"/>
          <w:lang w:val="es-ES_tradnl"/>
        </w:rPr>
        <w:t>, edificios e instalaciones que quedarán a cargo de la CFE</w:t>
      </w:r>
      <w:r>
        <w:rPr>
          <w:rFonts w:ascii="ITC Avant Garde" w:eastAsia="Arial" w:hAnsi="ITC Avant Garde" w:cs="Arial"/>
          <w:sz w:val="22"/>
          <w:szCs w:val="22"/>
          <w:lang w:val="es-ES_tradnl"/>
        </w:rPr>
        <w:t>,</w:t>
      </w:r>
      <w:r w:rsidRPr="00CD2003">
        <w:rPr>
          <w:rFonts w:ascii="ITC Avant Garde" w:eastAsia="Arial" w:hAnsi="ITC Avant Garde" w:cs="Arial"/>
          <w:sz w:val="22"/>
          <w:szCs w:val="22"/>
          <w:lang w:val="es-ES_tradnl"/>
        </w:rPr>
        <w:t xml:space="preserve"> teniendo en cuenta una alta disponibilidad de la red y niveles de servicio aceptables. </w:t>
      </w:r>
    </w:p>
    <w:p w14:paraId="5A2D3C04" w14:textId="77777777" w:rsidR="00CD2003" w:rsidRPr="00F7548C" w:rsidRDefault="00CD2003" w:rsidP="00233507">
      <w:pPr>
        <w:tabs>
          <w:tab w:val="num" w:pos="1220"/>
          <w:tab w:val="num" w:pos="1940"/>
        </w:tabs>
        <w:spacing w:line="276" w:lineRule="auto"/>
        <w:jc w:val="both"/>
        <w:rPr>
          <w:rFonts w:ascii="ITC Avant Garde" w:eastAsia="Arial" w:hAnsi="ITC Avant Garde" w:cs="Arial"/>
          <w:sz w:val="22"/>
          <w:szCs w:val="22"/>
          <w:lang w:val="es-ES_tradnl"/>
        </w:rPr>
      </w:pPr>
    </w:p>
    <w:p w14:paraId="7C2F5033" w14:textId="5E52E104" w:rsidR="00233507" w:rsidRPr="00F7548C" w:rsidRDefault="00233507" w:rsidP="00233507">
      <w:pPr>
        <w:tabs>
          <w:tab w:val="num" w:pos="1220"/>
          <w:tab w:val="num" w:pos="1940"/>
        </w:tabs>
        <w:spacing w:line="276" w:lineRule="auto"/>
        <w:jc w:val="both"/>
        <w:rPr>
          <w:rFonts w:ascii="ITC Avant Garde" w:eastAsia="Arial" w:hAnsi="ITC Avant Garde" w:cs="Arial"/>
          <w:sz w:val="22"/>
          <w:szCs w:val="22"/>
          <w:lang w:val="es-ES_tradnl"/>
        </w:rPr>
      </w:pPr>
      <w:r w:rsidRPr="00F7548C">
        <w:rPr>
          <w:rFonts w:ascii="ITC Avant Garde" w:eastAsia="Arial" w:hAnsi="ITC Avant Garde" w:cs="Arial"/>
          <w:sz w:val="22"/>
          <w:szCs w:val="22"/>
          <w:lang w:val="es-ES_tradnl"/>
        </w:rPr>
        <w:t xml:space="preserve">Por lo anteriormente expuesto, con fundamento en los artículos 6° apartado B fracción II y 28 párrafos décimo quinto y vigésimo fracción IV de la Constitución Política de los Estados Unidos Mexicanos; Décimo Quinto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1, 2, 7, 15 fracciones I, </w:t>
      </w:r>
      <w:r w:rsidR="005C053C" w:rsidRPr="00F7548C">
        <w:rPr>
          <w:rFonts w:ascii="ITC Avant Garde" w:eastAsia="Arial" w:hAnsi="ITC Avant Garde" w:cs="Arial"/>
          <w:sz w:val="22"/>
          <w:szCs w:val="22"/>
          <w:lang w:val="es-ES_tradnl"/>
        </w:rPr>
        <w:t>XII</w:t>
      </w:r>
      <w:r w:rsidR="00C1180D">
        <w:rPr>
          <w:rFonts w:ascii="ITC Avant Garde" w:eastAsia="Arial" w:hAnsi="ITC Avant Garde" w:cs="Arial"/>
          <w:sz w:val="22"/>
          <w:szCs w:val="22"/>
          <w:lang w:val="es-ES_tradnl"/>
        </w:rPr>
        <w:t>I</w:t>
      </w:r>
      <w:r w:rsidR="005C053C" w:rsidRPr="00F7548C">
        <w:rPr>
          <w:rFonts w:ascii="ITC Avant Garde" w:eastAsia="Arial" w:hAnsi="ITC Avant Garde" w:cs="Arial"/>
          <w:sz w:val="22"/>
          <w:szCs w:val="22"/>
          <w:lang w:val="es-ES_tradnl"/>
        </w:rPr>
        <w:t xml:space="preserve">, </w:t>
      </w:r>
      <w:r w:rsidRPr="00F7548C">
        <w:rPr>
          <w:rFonts w:ascii="ITC Avant Garde" w:eastAsia="Arial" w:hAnsi="ITC Avant Garde" w:cs="Arial"/>
          <w:sz w:val="22"/>
          <w:szCs w:val="22"/>
          <w:lang w:val="es-ES_tradnl"/>
        </w:rPr>
        <w:t>XLV y L</w:t>
      </w:r>
      <w:r w:rsidR="00245E19" w:rsidRPr="00F7548C">
        <w:rPr>
          <w:rFonts w:ascii="ITC Avant Garde" w:eastAsia="Arial" w:hAnsi="ITC Avant Garde" w:cs="Arial"/>
          <w:sz w:val="22"/>
          <w:szCs w:val="22"/>
          <w:lang w:val="es-ES_tradnl"/>
        </w:rPr>
        <w:t>XIII</w:t>
      </w:r>
      <w:r w:rsidRPr="00F7548C">
        <w:rPr>
          <w:rFonts w:ascii="ITC Avant Garde" w:eastAsia="Arial" w:hAnsi="ITC Avant Garde" w:cs="Arial"/>
          <w:sz w:val="22"/>
          <w:szCs w:val="22"/>
          <w:lang w:val="es-ES_tradnl"/>
        </w:rPr>
        <w:t xml:space="preserve">, 16 y 17 fracción I de la Ley Federal de Telecomunicaciones y Radiodifusión, y 1, 4 fracción I, </w:t>
      </w:r>
      <w:r w:rsidR="005C053C" w:rsidRPr="00F7548C">
        <w:rPr>
          <w:rFonts w:ascii="ITC Avant Garde" w:eastAsia="Arial" w:hAnsi="ITC Avant Garde" w:cs="Arial"/>
          <w:sz w:val="22"/>
          <w:szCs w:val="22"/>
          <w:lang w:val="es-ES_tradnl"/>
        </w:rPr>
        <w:t>6 fracción I</w:t>
      </w:r>
      <w:r w:rsidR="00EB5E82" w:rsidRPr="00F7548C">
        <w:rPr>
          <w:rFonts w:ascii="ITC Avant Garde" w:eastAsia="Arial" w:hAnsi="ITC Avant Garde" w:cs="Arial"/>
          <w:sz w:val="22"/>
          <w:szCs w:val="22"/>
          <w:lang w:val="es-ES_tradnl"/>
        </w:rPr>
        <w:t xml:space="preserve"> y XXXVII</w:t>
      </w:r>
      <w:r w:rsidRPr="00F7548C">
        <w:rPr>
          <w:rFonts w:ascii="ITC Avant Garde" w:eastAsia="Arial" w:hAnsi="ITC Avant Garde" w:cs="Arial"/>
          <w:sz w:val="22"/>
          <w:szCs w:val="22"/>
          <w:lang w:val="es-ES_tradnl"/>
        </w:rPr>
        <w:t>, del Estatuto Orgánico del Instituto Federal de Telecomunicaciones, el Pleno del Instituto resuelve emitir los siguientes:</w:t>
      </w:r>
    </w:p>
    <w:p w14:paraId="3E24C18B" w14:textId="77777777" w:rsidR="00233507" w:rsidRPr="00F7548C" w:rsidRDefault="00233507" w:rsidP="00233507">
      <w:pPr>
        <w:spacing w:line="276" w:lineRule="auto"/>
        <w:jc w:val="center"/>
        <w:rPr>
          <w:rFonts w:ascii="ITC Avant Garde" w:hAnsi="ITC Avant Garde"/>
          <w:b/>
          <w:sz w:val="22"/>
          <w:szCs w:val="22"/>
        </w:rPr>
      </w:pPr>
    </w:p>
    <w:p w14:paraId="59D9B9C7" w14:textId="77777777" w:rsidR="000F3A6D" w:rsidRPr="00F7548C" w:rsidRDefault="000F3A6D" w:rsidP="0071127F">
      <w:pPr>
        <w:spacing w:line="276" w:lineRule="auto"/>
        <w:jc w:val="both"/>
        <w:rPr>
          <w:rFonts w:ascii="ITC Avant Garde" w:hAnsi="ITC Avant Garde"/>
          <w:b/>
          <w:sz w:val="22"/>
          <w:szCs w:val="22"/>
        </w:rPr>
      </w:pPr>
    </w:p>
    <w:p w14:paraId="3BE34DBB" w14:textId="77777777" w:rsidR="0071127F" w:rsidRPr="005B2961" w:rsidRDefault="0071127F" w:rsidP="005B2961">
      <w:pPr>
        <w:pStyle w:val="Ttulo2"/>
        <w:jc w:val="both"/>
        <w:rPr>
          <w:rFonts w:ascii="ITC Avant Garde" w:hAnsi="ITC Avant Garde"/>
          <w:b/>
          <w:color w:val="000000" w:themeColor="text1"/>
          <w:sz w:val="22"/>
          <w:szCs w:val="22"/>
        </w:rPr>
      </w:pPr>
      <w:r w:rsidRPr="005B2961">
        <w:rPr>
          <w:rFonts w:ascii="ITC Avant Garde" w:hAnsi="ITC Avant Garde"/>
          <w:b/>
          <w:color w:val="000000" w:themeColor="text1"/>
          <w:sz w:val="22"/>
          <w:szCs w:val="22"/>
        </w:rPr>
        <w:t>LINEAMIENTOS PARA EL ACCESO EFECTIVO Y COMPARTIDO A LA INFRAESTRUCTURA DE LA COMISIÓN FEDERAL DE ELECTRICIDAD, POR PARTE DE TELECOMUNICACIONES DE MÉXICO; Y PARA LA CONSTRUCCIÓN Y CRECIMIENTO DE LA RED TRONCAL NACIONAL</w:t>
      </w:r>
    </w:p>
    <w:p w14:paraId="1A29DE18" w14:textId="77777777" w:rsidR="0071127F" w:rsidRPr="00F7548C" w:rsidRDefault="0071127F" w:rsidP="0071127F">
      <w:pPr>
        <w:spacing w:line="276" w:lineRule="auto"/>
        <w:jc w:val="both"/>
        <w:rPr>
          <w:rFonts w:ascii="ITC Avant Garde" w:hAnsi="ITC Avant Garde"/>
          <w:b/>
          <w:sz w:val="22"/>
          <w:szCs w:val="22"/>
        </w:rPr>
      </w:pPr>
    </w:p>
    <w:p w14:paraId="67B565DD" w14:textId="10EB6AD1" w:rsidR="0071127F" w:rsidRPr="005B2961" w:rsidRDefault="0071127F" w:rsidP="005B2961">
      <w:pPr>
        <w:pStyle w:val="Ttulo3"/>
        <w:ind w:left="3119" w:right="3168"/>
        <w:jc w:val="center"/>
        <w:rPr>
          <w:rFonts w:ascii="ITC Avant Garde" w:hAnsi="ITC Avant Garde"/>
          <w:b/>
          <w:bCs/>
          <w:color w:val="000000" w:themeColor="text1"/>
          <w:sz w:val="22"/>
          <w:szCs w:val="22"/>
        </w:rPr>
      </w:pPr>
      <w:r w:rsidRPr="005B2961">
        <w:rPr>
          <w:rFonts w:ascii="ITC Avant Garde" w:hAnsi="ITC Avant Garde"/>
          <w:b/>
          <w:bCs/>
          <w:color w:val="000000" w:themeColor="text1"/>
          <w:sz w:val="22"/>
          <w:szCs w:val="22"/>
        </w:rPr>
        <w:t>Capítulo I</w:t>
      </w:r>
      <w:r w:rsidR="005B2961">
        <w:rPr>
          <w:rFonts w:ascii="ITC Avant Garde" w:hAnsi="ITC Avant Garde"/>
          <w:b/>
          <w:bCs/>
          <w:color w:val="000000" w:themeColor="text1"/>
          <w:sz w:val="22"/>
          <w:szCs w:val="22"/>
        </w:rPr>
        <w:t xml:space="preserve"> </w:t>
      </w:r>
      <w:r w:rsidRPr="005B2961">
        <w:rPr>
          <w:rFonts w:ascii="ITC Avant Garde" w:hAnsi="ITC Avant Garde"/>
          <w:b/>
          <w:bCs/>
          <w:color w:val="000000" w:themeColor="text1"/>
          <w:sz w:val="22"/>
          <w:szCs w:val="22"/>
          <w:u w:val="single"/>
        </w:rPr>
        <w:t>Disposiciones Generales</w:t>
      </w:r>
    </w:p>
    <w:p w14:paraId="023E7A8B" w14:textId="77777777" w:rsidR="0071127F" w:rsidRPr="00F7548C" w:rsidRDefault="0071127F" w:rsidP="0071127F">
      <w:pPr>
        <w:pStyle w:val="estilo30"/>
        <w:spacing w:before="0" w:beforeAutospacing="0" w:after="0" w:afterAutospacing="0" w:line="276" w:lineRule="auto"/>
        <w:jc w:val="both"/>
        <w:rPr>
          <w:rFonts w:ascii="ITC Avant Garde" w:hAnsi="ITC Avant Garde"/>
          <w:sz w:val="22"/>
          <w:szCs w:val="22"/>
        </w:rPr>
      </w:pPr>
    </w:p>
    <w:p w14:paraId="31EFC871" w14:textId="3670A092"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
          <w:bCs/>
          <w:sz w:val="22"/>
          <w:szCs w:val="22"/>
        </w:rPr>
        <w:t>Artículo</w:t>
      </w:r>
      <w:r w:rsidRPr="00F7548C">
        <w:rPr>
          <w:rFonts w:ascii="ITC Avant Garde" w:hAnsi="ITC Avant Garde"/>
          <w:b/>
          <w:sz w:val="22"/>
          <w:szCs w:val="22"/>
        </w:rPr>
        <w:t xml:space="preserve"> 1.-</w:t>
      </w:r>
      <w:r w:rsidRPr="00F7548C">
        <w:rPr>
          <w:rFonts w:ascii="ITC Avant Garde" w:hAnsi="ITC Avant Garde"/>
          <w:sz w:val="22"/>
          <w:szCs w:val="22"/>
        </w:rPr>
        <w:t xml:space="preserve"> </w:t>
      </w:r>
      <w:r w:rsidRPr="00F7548C">
        <w:rPr>
          <w:rFonts w:ascii="ITC Avant Garde" w:hAnsi="ITC Avant Garde"/>
          <w:bCs/>
          <w:sz w:val="22"/>
          <w:szCs w:val="22"/>
        </w:rPr>
        <w:t xml:space="preserve">El objetivo de los presentes Lineamientos es regular y establecer directrices para que la Comisión Federal de Electricidad garantice el acceso efectivo y compartido de </w:t>
      </w:r>
      <w:r w:rsidR="006874F1" w:rsidRPr="00F7548C">
        <w:rPr>
          <w:rFonts w:ascii="ITC Avant Garde" w:hAnsi="ITC Avant Garde"/>
          <w:bCs/>
          <w:sz w:val="22"/>
          <w:szCs w:val="22"/>
        </w:rPr>
        <w:t>la</w:t>
      </w:r>
      <w:r w:rsidRPr="00F7548C">
        <w:rPr>
          <w:rFonts w:ascii="ITC Avant Garde" w:hAnsi="ITC Avant Garde"/>
          <w:bCs/>
          <w:sz w:val="22"/>
          <w:szCs w:val="22"/>
        </w:rPr>
        <w:t xml:space="preserve"> infraestructura </w:t>
      </w:r>
      <w:r w:rsidR="006874F1" w:rsidRPr="00F7548C">
        <w:rPr>
          <w:rFonts w:ascii="ITC Avant Garde" w:hAnsi="ITC Avant Garde"/>
          <w:bCs/>
          <w:sz w:val="22"/>
          <w:szCs w:val="22"/>
        </w:rPr>
        <w:t xml:space="preserve">instalada o en proceso de instalación </w:t>
      </w:r>
      <w:r w:rsidRPr="00F7548C">
        <w:rPr>
          <w:rFonts w:ascii="ITC Avant Garde" w:hAnsi="ITC Avant Garde"/>
          <w:bCs/>
          <w:sz w:val="22"/>
          <w:szCs w:val="22"/>
        </w:rPr>
        <w:t xml:space="preserve">a Telecomunicaciones de México, así como para </w:t>
      </w:r>
      <w:r w:rsidR="001D0BD0" w:rsidRPr="00F7548C">
        <w:rPr>
          <w:rFonts w:ascii="ITC Avant Garde" w:hAnsi="ITC Avant Garde"/>
          <w:bCs/>
          <w:sz w:val="22"/>
          <w:szCs w:val="22"/>
        </w:rPr>
        <w:t xml:space="preserve">que éste pueda </w:t>
      </w:r>
      <w:r w:rsidRPr="00F7548C">
        <w:rPr>
          <w:rFonts w:ascii="ITC Avant Garde" w:hAnsi="ITC Avant Garde"/>
          <w:bCs/>
          <w:sz w:val="22"/>
          <w:szCs w:val="22"/>
        </w:rPr>
        <w:t>planear, diseñar y ejecutar la construcción y crecimiento de una robusta red troncal de telecomunicaciones de cobertura nacional que impulse el acceso efectivo de la población a la comunicación de banda ancha y a los servicios de telecomunicaciones.</w:t>
      </w:r>
    </w:p>
    <w:p w14:paraId="56E95564"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p>
    <w:p w14:paraId="507DD2F7"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
          <w:bCs/>
          <w:sz w:val="22"/>
          <w:szCs w:val="22"/>
        </w:rPr>
        <w:t>Artículo 2.-</w:t>
      </w:r>
      <w:r w:rsidRPr="00F7548C">
        <w:rPr>
          <w:rFonts w:ascii="ITC Avant Garde" w:hAnsi="ITC Avant Garde"/>
          <w:bCs/>
          <w:sz w:val="22"/>
          <w:szCs w:val="22"/>
        </w:rPr>
        <w:t xml:space="preserve"> Para los efectos de estos Lineamientos, además de las definiciones previstas en la Ley y demás disposiciones aplicables, los siguientes términos tendrán el significado que a continuación se indica:</w:t>
      </w:r>
    </w:p>
    <w:p w14:paraId="06132E51" w14:textId="77777777" w:rsidR="0071127F" w:rsidRPr="00F7548C" w:rsidRDefault="0071127F" w:rsidP="0071127F">
      <w:pPr>
        <w:pStyle w:val="Prrafodelista"/>
        <w:spacing w:line="276" w:lineRule="auto"/>
        <w:jc w:val="both"/>
        <w:rPr>
          <w:rFonts w:ascii="ITC Avant Garde" w:hAnsi="ITC Avant Garde"/>
          <w:bCs/>
          <w:sz w:val="22"/>
          <w:szCs w:val="22"/>
          <w:lang w:val="es-MX" w:eastAsia="es-MX"/>
        </w:rPr>
      </w:pPr>
    </w:p>
    <w:p w14:paraId="28E49213" w14:textId="79F9DB49"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b/>
          <w:sz w:val="22"/>
          <w:szCs w:val="22"/>
        </w:rPr>
      </w:pPr>
      <w:r w:rsidRPr="00F7548C">
        <w:rPr>
          <w:rFonts w:ascii="ITC Avant Garde" w:hAnsi="ITC Avant Garde"/>
          <w:b/>
          <w:sz w:val="22"/>
          <w:szCs w:val="22"/>
        </w:rPr>
        <w:t xml:space="preserve">Acceso y Uso de Infraestructura: </w:t>
      </w:r>
      <w:r w:rsidRPr="00F7548C">
        <w:rPr>
          <w:rFonts w:ascii="ITC Avant Garde" w:hAnsi="ITC Avant Garde"/>
          <w:sz w:val="22"/>
          <w:szCs w:val="22"/>
        </w:rPr>
        <w:t xml:space="preserve">El </w:t>
      </w:r>
      <w:r w:rsidR="00477124" w:rsidRPr="00F7548C">
        <w:rPr>
          <w:rFonts w:ascii="ITC Avant Garde" w:hAnsi="ITC Avant Garde"/>
          <w:sz w:val="22"/>
          <w:szCs w:val="22"/>
        </w:rPr>
        <w:t>aprovechamiento</w:t>
      </w:r>
      <w:r w:rsidRPr="00F7548C">
        <w:rPr>
          <w:rFonts w:ascii="ITC Avant Garde" w:hAnsi="ITC Avant Garde"/>
          <w:sz w:val="22"/>
          <w:szCs w:val="22"/>
        </w:rPr>
        <w:t xml:space="preserve"> </w:t>
      </w:r>
      <w:r w:rsidR="00477124" w:rsidRPr="00F7548C">
        <w:rPr>
          <w:rFonts w:ascii="ITC Avant Garde" w:hAnsi="ITC Avant Garde"/>
          <w:sz w:val="22"/>
          <w:szCs w:val="22"/>
        </w:rPr>
        <w:t>de</w:t>
      </w:r>
      <w:r w:rsidRPr="00F7548C">
        <w:rPr>
          <w:rFonts w:ascii="ITC Avant Garde" w:hAnsi="ITC Avant Garde"/>
          <w:sz w:val="22"/>
          <w:szCs w:val="22"/>
        </w:rPr>
        <w:t xml:space="preserve"> la red de fibra óptica de la Comisión Federal de Electricidad instalada tanto en sus líneas de transmisión como de distribución de energía eléctrica, así como la </w:t>
      </w:r>
      <w:r w:rsidRPr="00F7548C">
        <w:rPr>
          <w:rFonts w:ascii="ITC Avant Garde" w:hAnsi="ITC Avant Garde"/>
          <w:sz w:val="22"/>
          <w:szCs w:val="22"/>
        </w:rPr>
        <w:lastRenderedPageBreak/>
        <w:t xml:space="preserve">infraestructura </w:t>
      </w:r>
      <w:r w:rsidR="001D0BD0" w:rsidRPr="00F7548C">
        <w:rPr>
          <w:rFonts w:ascii="ITC Avant Garde" w:hAnsi="ITC Avant Garde"/>
          <w:sz w:val="22"/>
          <w:szCs w:val="22"/>
        </w:rPr>
        <w:t xml:space="preserve">que pueda ser destinada a prestadores de servicios públicos de telecomunicaciones </w:t>
      </w:r>
      <w:r w:rsidRPr="00F7548C">
        <w:rPr>
          <w:rFonts w:ascii="ITC Avant Garde" w:hAnsi="ITC Avant Garde"/>
          <w:sz w:val="22"/>
          <w:szCs w:val="22"/>
        </w:rPr>
        <w:t>con que cuenta, como son torres, postes, gasoductos, derechos de vía, cableado aéreo, subterráneo y submarino, sitios, construcciones, canalizaciones, ductos, obras, sistemas de suministro y respaldo de energía eléctrica, sistemas de climatización y demás aditamentos que pu</w:t>
      </w:r>
      <w:r w:rsidR="00045A1C">
        <w:rPr>
          <w:rFonts w:ascii="ITC Avant Garde" w:hAnsi="ITC Avant Garde"/>
          <w:sz w:val="22"/>
          <w:szCs w:val="22"/>
        </w:rPr>
        <w:t>ed</w:t>
      </w:r>
      <w:r w:rsidRPr="00F7548C">
        <w:rPr>
          <w:rFonts w:ascii="ITC Avant Garde" w:hAnsi="ITC Avant Garde"/>
          <w:sz w:val="22"/>
          <w:szCs w:val="22"/>
        </w:rPr>
        <w:t>an ser utilizados por Telecomunicaciones de México para la construcción, instalación y operación de la Red Troncal, así como para la prestación de los Servicios Mayoristas de Telecomunicaciones concesionados, entre otros;</w:t>
      </w:r>
    </w:p>
    <w:p w14:paraId="63C4A2AA" w14:textId="73C8C806" w:rsidR="0071127F" w:rsidRPr="00F7548C" w:rsidRDefault="0071127F" w:rsidP="0071127F">
      <w:pPr>
        <w:pStyle w:val="estilo30"/>
        <w:numPr>
          <w:ilvl w:val="0"/>
          <w:numId w:val="19"/>
        </w:numPr>
        <w:spacing w:line="276" w:lineRule="auto"/>
        <w:jc w:val="both"/>
        <w:rPr>
          <w:rFonts w:ascii="ITC Avant Garde" w:hAnsi="ITC Avant Garde"/>
          <w:sz w:val="22"/>
          <w:szCs w:val="22"/>
        </w:rPr>
      </w:pPr>
      <w:r w:rsidRPr="00F7548C">
        <w:rPr>
          <w:rFonts w:ascii="ITC Avant Garde" w:hAnsi="ITC Avant Garde"/>
          <w:b/>
          <w:sz w:val="22"/>
          <w:szCs w:val="22"/>
        </w:rPr>
        <w:t>CFE</w:t>
      </w:r>
      <w:r w:rsidRPr="00F7548C">
        <w:rPr>
          <w:rFonts w:ascii="ITC Avant Garde" w:hAnsi="ITC Avant Garde"/>
          <w:sz w:val="22"/>
          <w:szCs w:val="22"/>
        </w:rPr>
        <w:t>: La Comisión Federal de Electricidad; empresa productiva del Estado de propiedad exclusiva del Gobierno Federal, que  cuenta con personalidad jurídica, patrimonio propios y autonomía técnica, operativa y de gestión, para realizar actividades, operaciones o servicios necesarios para el cumplimiento de su objeto por sí misma; con apoyo de sus empresas productivas subsidiarias y empresas filiales, o mediante la celebración de contratos, convenios, alianzas o asociaciones o cualquier acto jurídico, con personas físicas o morales de los sectores público, privado o social, nacional o internacional;</w:t>
      </w:r>
      <w:r w:rsidR="00B303A6" w:rsidRPr="00F7548C">
        <w:rPr>
          <w:rFonts w:ascii="ITC Avant Garde" w:hAnsi="ITC Avant Garde"/>
          <w:sz w:val="22"/>
          <w:szCs w:val="22"/>
        </w:rPr>
        <w:t xml:space="preserve"> y que se encuentra prevista en la Ley de la Comisión Federal de Electricidad;</w:t>
      </w:r>
    </w:p>
    <w:p w14:paraId="09A143B4" w14:textId="015E78D5"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bCs/>
          <w:sz w:val="22"/>
          <w:szCs w:val="22"/>
        </w:rPr>
        <w:t>Cobertura Nacional:</w:t>
      </w:r>
      <w:r w:rsidRPr="00F7548C">
        <w:rPr>
          <w:rFonts w:ascii="ITC Avant Garde" w:hAnsi="ITC Avant Garde"/>
          <w:sz w:val="22"/>
          <w:szCs w:val="22"/>
        </w:rPr>
        <w:t xml:space="preserve"> El conjunto de Puntos de Presencia que debe tener la Red Troncal en el territorio nacional, para su instalación y crecimiento, considerando las previsiones de demanda y financiamiento, para que las redes de acceso puedan interconectarse, </w:t>
      </w:r>
      <w:r w:rsidR="00794136">
        <w:rPr>
          <w:rFonts w:ascii="ITC Avant Garde" w:hAnsi="ITC Avant Garde"/>
          <w:sz w:val="22"/>
          <w:szCs w:val="22"/>
        </w:rPr>
        <w:t>así como</w:t>
      </w:r>
      <w:r w:rsidRPr="00F7548C">
        <w:rPr>
          <w:rFonts w:ascii="ITC Avant Garde" w:hAnsi="ITC Avant Garde"/>
          <w:sz w:val="22"/>
          <w:szCs w:val="22"/>
        </w:rPr>
        <w:t xml:space="preserve"> aquellos puntos acordados con la Secretaria de Comunicaciones y Transportes, para coadyuvar con los programas de cobertura social y de conectividad;</w:t>
      </w:r>
    </w:p>
    <w:p w14:paraId="0AAF121B" w14:textId="77777777"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sz w:val="22"/>
          <w:szCs w:val="22"/>
        </w:rPr>
        <w:t>Decreto</w:t>
      </w:r>
      <w:r w:rsidRPr="00F7548C">
        <w:rPr>
          <w:rFonts w:ascii="ITC Avant Garde" w:hAnsi="ITC Avant Garde"/>
          <w:sz w:val="22"/>
          <w:szCs w:val="22"/>
        </w:rPr>
        <w:t>: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14:paraId="795654BF" w14:textId="6BCFA352" w:rsidR="0071127F" w:rsidRPr="00F7548C" w:rsidRDefault="00D370FB" w:rsidP="0071127F">
      <w:pPr>
        <w:pStyle w:val="estilo30"/>
        <w:numPr>
          <w:ilvl w:val="0"/>
          <w:numId w:val="19"/>
        </w:numPr>
        <w:spacing w:before="0" w:beforeAutospacing="0" w:after="0" w:afterAutospacing="0" w:line="276" w:lineRule="auto"/>
        <w:jc w:val="both"/>
        <w:rPr>
          <w:rFonts w:ascii="ITC Avant Garde" w:hAnsi="ITC Avant Garde"/>
          <w:sz w:val="22"/>
          <w:szCs w:val="22"/>
        </w:rPr>
      </w:pPr>
      <w:r>
        <w:rPr>
          <w:rFonts w:ascii="ITC Avant Garde" w:hAnsi="ITC Avant Garde"/>
          <w:b/>
          <w:sz w:val="22"/>
          <w:szCs w:val="22"/>
        </w:rPr>
        <w:t>Parámetro</w:t>
      </w:r>
      <w:r w:rsidR="0071127F" w:rsidRPr="00F7548C">
        <w:rPr>
          <w:rFonts w:ascii="ITC Avant Garde" w:hAnsi="ITC Avant Garde"/>
          <w:b/>
          <w:sz w:val="22"/>
          <w:szCs w:val="22"/>
        </w:rPr>
        <w:t xml:space="preserve"> de calidad:</w:t>
      </w:r>
      <w:r w:rsidR="0071127F" w:rsidRPr="00F7548C">
        <w:rPr>
          <w:rFonts w:ascii="ITC Avant Garde" w:hAnsi="ITC Avant Garde"/>
          <w:sz w:val="22"/>
          <w:szCs w:val="22"/>
        </w:rPr>
        <w:t xml:space="preserve"> </w:t>
      </w:r>
      <w:r>
        <w:rPr>
          <w:rFonts w:ascii="ITC Avant Garde" w:hAnsi="ITC Avant Garde"/>
          <w:sz w:val="22"/>
          <w:szCs w:val="22"/>
        </w:rPr>
        <w:t>M</w:t>
      </w:r>
      <w:r w:rsidR="0071127F" w:rsidRPr="00F7548C">
        <w:rPr>
          <w:rFonts w:ascii="ITC Avant Garde" w:hAnsi="ITC Avant Garde"/>
          <w:sz w:val="22"/>
          <w:szCs w:val="22"/>
        </w:rPr>
        <w:t>edi</w:t>
      </w:r>
      <w:r>
        <w:rPr>
          <w:rFonts w:ascii="ITC Avant Garde" w:hAnsi="ITC Avant Garde"/>
          <w:sz w:val="22"/>
          <w:szCs w:val="22"/>
        </w:rPr>
        <w:t>da</w:t>
      </w:r>
      <w:r w:rsidR="0071127F" w:rsidRPr="00F7548C">
        <w:rPr>
          <w:rFonts w:ascii="ITC Avant Garde" w:hAnsi="ITC Avant Garde"/>
          <w:sz w:val="22"/>
          <w:szCs w:val="22"/>
        </w:rPr>
        <w:t xml:space="preserve"> de carácter tangible y cuantificable, que permite evaluar la calidad de los procesos y servicios asociados al Acceso y Uso de Infraestructura;</w:t>
      </w:r>
    </w:p>
    <w:p w14:paraId="7FFE1367" w14:textId="77777777"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sz w:val="22"/>
          <w:szCs w:val="22"/>
        </w:rPr>
        <w:t>Instituto</w:t>
      </w:r>
      <w:r w:rsidRPr="00F7548C">
        <w:rPr>
          <w:rFonts w:ascii="ITC Avant Garde" w:hAnsi="ITC Avant Garde"/>
          <w:sz w:val="22"/>
          <w:szCs w:val="22"/>
        </w:rPr>
        <w:t>: Instituto Federal de Telecomunicaciones;</w:t>
      </w:r>
    </w:p>
    <w:p w14:paraId="513B4589" w14:textId="77777777"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proofErr w:type="spellStart"/>
      <w:r w:rsidRPr="00F7548C">
        <w:rPr>
          <w:rFonts w:ascii="ITC Avant Garde" w:hAnsi="ITC Avant Garde"/>
          <w:b/>
          <w:sz w:val="22"/>
          <w:szCs w:val="22"/>
        </w:rPr>
        <w:t>Jitter</w:t>
      </w:r>
      <w:proofErr w:type="spellEnd"/>
      <w:r w:rsidRPr="00F7548C">
        <w:rPr>
          <w:rFonts w:ascii="ITC Avant Garde" w:hAnsi="ITC Avant Garde"/>
          <w:sz w:val="22"/>
          <w:szCs w:val="22"/>
        </w:rPr>
        <w:t>: Variación en el retardo que existe en la entrega de paquetes consecutivos desde su origen hasta su destino;</w:t>
      </w:r>
    </w:p>
    <w:p w14:paraId="69E780FE" w14:textId="77777777"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sz w:val="22"/>
          <w:szCs w:val="22"/>
        </w:rPr>
        <w:t>Latencia</w:t>
      </w:r>
      <w:r w:rsidRPr="00F7548C">
        <w:rPr>
          <w:rFonts w:ascii="ITC Avant Garde" w:hAnsi="ITC Avant Garde"/>
          <w:sz w:val="22"/>
          <w:szCs w:val="22"/>
        </w:rPr>
        <w:t>: Cantidad de tiempo que tarda un paquete en ser transferido desde su origen hasta su destino;</w:t>
      </w:r>
    </w:p>
    <w:p w14:paraId="714C8383" w14:textId="77777777"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sz w:val="22"/>
          <w:szCs w:val="22"/>
        </w:rPr>
        <w:t>Pérdida de paquetes</w:t>
      </w:r>
      <w:r w:rsidRPr="00F7548C">
        <w:rPr>
          <w:rFonts w:ascii="ITC Avant Garde" w:hAnsi="ITC Avant Garde"/>
          <w:sz w:val="22"/>
          <w:szCs w:val="22"/>
        </w:rPr>
        <w:t>: Razón entre paquetes que no llegan a su destino y el total de paquetes enviados;</w:t>
      </w:r>
    </w:p>
    <w:p w14:paraId="1F5E205E" w14:textId="77777777"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bCs/>
          <w:sz w:val="22"/>
          <w:szCs w:val="22"/>
        </w:rPr>
        <w:lastRenderedPageBreak/>
        <w:t>Ley:</w:t>
      </w:r>
      <w:r w:rsidRPr="00F7548C">
        <w:rPr>
          <w:rFonts w:ascii="ITC Avant Garde" w:hAnsi="ITC Avant Garde"/>
          <w:sz w:val="22"/>
          <w:szCs w:val="22"/>
        </w:rPr>
        <w:t xml:space="preserve"> Ley Federal de Telecomunicaciones y Radiodifusión;</w:t>
      </w:r>
    </w:p>
    <w:p w14:paraId="790C7FA6" w14:textId="77777777"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sz w:val="22"/>
          <w:szCs w:val="22"/>
        </w:rPr>
        <w:t>Punto de Presencia</w:t>
      </w:r>
      <w:r w:rsidRPr="00F7548C">
        <w:rPr>
          <w:rFonts w:ascii="ITC Avant Garde" w:hAnsi="ITC Avant Garde"/>
          <w:sz w:val="22"/>
          <w:szCs w:val="22"/>
        </w:rPr>
        <w:t xml:space="preserve">: Elemento de red, ya sea de acceso o de conmutación, que permite recibir, transmitir y </w:t>
      </w:r>
      <w:proofErr w:type="spellStart"/>
      <w:r w:rsidRPr="00F7548C">
        <w:rPr>
          <w:rFonts w:ascii="ITC Avant Garde" w:hAnsi="ITC Avant Garde"/>
          <w:sz w:val="22"/>
          <w:szCs w:val="22"/>
        </w:rPr>
        <w:t>enrutar</w:t>
      </w:r>
      <w:proofErr w:type="spellEnd"/>
      <w:r w:rsidRPr="00F7548C">
        <w:rPr>
          <w:rFonts w:ascii="ITC Avant Garde" w:hAnsi="ITC Avant Garde"/>
          <w:sz w:val="22"/>
          <w:szCs w:val="22"/>
        </w:rPr>
        <w:t xml:space="preserve"> las comunicaciones;</w:t>
      </w:r>
    </w:p>
    <w:p w14:paraId="6F8A0AC6" w14:textId="12B62A41" w:rsidR="0071127F" w:rsidRPr="00F7548C" w:rsidRDefault="0071127F" w:rsidP="00422783">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sz w:val="22"/>
          <w:szCs w:val="22"/>
        </w:rPr>
        <w:t>Red Troncal</w:t>
      </w:r>
      <w:r w:rsidRPr="00F7548C">
        <w:rPr>
          <w:rFonts w:ascii="ITC Avant Garde" w:hAnsi="ITC Avant Garde"/>
          <w:sz w:val="22"/>
          <w:szCs w:val="22"/>
        </w:rPr>
        <w:t xml:space="preserve">: </w:t>
      </w:r>
      <w:r w:rsidR="00422783" w:rsidRPr="00422783">
        <w:rPr>
          <w:rFonts w:ascii="ITC Avant Garde" w:hAnsi="ITC Avant Garde"/>
          <w:sz w:val="22"/>
          <w:szCs w:val="22"/>
        </w:rPr>
        <w:t>Red soportada por una infraestructura de fibra óptica, que se establece para conectar ciertos nodos, como centrales de conmutación, puntos de presencia y puntos de interconexión, formando el eje de conexión principal de la red del operador a la cual se conectan redes públicas de telecomunicaciones de menor tamaño, que prestan servicios de telecomunicaciones a los usuarios finales</w:t>
      </w:r>
      <w:r w:rsidRPr="00F7548C">
        <w:rPr>
          <w:rFonts w:ascii="ITC Avant Garde" w:hAnsi="ITC Avant Garde"/>
          <w:sz w:val="22"/>
          <w:szCs w:val="22"/>
        </w:rPr>
        <w:t>;</w:t>
      </w:r>
    </w:p>
    <w:p w14:paraId="1DCC375B" w14:textId="37F8F1FE"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sz w:val="22"/>
          <w:szCs w:val="22"/>
        </w:rPr>
        <w:t>Red Troncal Nacional</w:t>
      </w:r>
      <w:r w:rsidRPr="00F7548C">
        <w:rPr>
          <w:rFonts w:ascii="ITC Avant Garde" w:hAnsi="ITC Avant Garde"/>
          <w:sz w:val="22"/>
          <w:szCs w:val="22"/>
        </w:rPr>
        <w:t xml:space="preserve">: Red Troncal a la que hace referencia el artículo Décimo Quinto Transitorio del Decreto, que </w:t>
      </w:r>
      <w:r w:rsidR="00B303A6" w:rsidRPr="00F7548C">
        <w:rPr>
          <w:rFonts w:ascii="ITC Avant Garde" w:hAnsi="ITC Avant Garde"/>
          <w:sz w:val="22"/>
          <w:szCs w:val="22"/>
        </w:rPr>
        <w:t>se caracteriza por</w:t>
      </w:r>
      <w:r w:rsidRPr="00F7548C">
        <w:rPr>
          <w:rFonts w:ascii="ITC Avant Garde" w:hAnsi="ITC Avant Garde"/>
          <w:sz w:val="22"/>
          <w:szCs w:val="22"/>
        </w:rPr>
        <w:t xml:space="preserve"> tener cobertura nacional y alta disponibilidad; </w:t>
      </w:r>
    </w:p>
    <w:p w14:paraId="3E74676A" w14:textId="31796E24"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bCs/>
          <w:sz w:val="22"/>
          <w:szCs w:val="22"/>
        </w:rPr>
        <w:t>Servicios Mayoristas de Telecomunicaciones:</w:t>
      </w:r>
      <w:r w:rsidRPr="00F7548C">
        <w:rPr>
          <w:rFonts w:ascii="ITC Avant Garde" w:hAnsi="ITC Avant Garde"/>
          <w:sz w:val="22"/>
          <w:szCs w:val="22"/>
        </w:rPr>
        <w:t xml:space="preserve"> Servicios de telecomunicaciones que consiste en el suministro de acceso a elementos individuales</w:t>
      </w:r>
      <w:r w:rsidR="00BC11B2">
        <w:rPr>
          <w:rFonts w:ascii="ITC Avant Garde" w:hAnsi="ITC Avant Garde"/>
          <w:sz w:val="22"/>
          <w:szCs w:val="22"/>
        </w:rPr>
        <w:t xml:space="preserve"> de la infraestructura</w:t>
      </w:r>
      <w:r w:rsidRPr="00F7548C">
        <w:rPr>
          <w:rFonts w:ascii="ITC Avant Garde" w:hAnsi="ITC Avant Garde"/>
          <w:sz w:val="22"/>
          <w:szCs w:val="22"/>
        </w:rPr>
        <w:t>, a capacidades de una red o servicios, incluyendo los de interconexión, que son utilizados por concesionarios o autorizados para proveer servicios de telecomunicaciones a los usuarios finales;</w:t>
      </w:r>
    </w:p>
    <w:p w14:paraId="1A24ACDF" w14:textId="498DBBF8" w:rsidR="00332292" w:rsidRPr="00F7548C" w:rsidRDefault="0071127F" w:rsidP="00FA5F6C">
      <w:pPr>
        <w:pStyle w:val="estilo30"/>
        <w:numPr>
          <w:ilvl w:val="0"/>
          <w:numId w:val="19"/>
        </w:numPr>
        <w:spacing w:line="276" w:lineRule="auto"/>
        <w:jc w:val="both"/>
        <w:rPr>
          <w:rFonts w:ascii="ITC Avant Garde" w:hAnsi="ITC Avant Garde"/>
          <w:sz w:val="22"/>
          <w:szCs w:val="22"/>
        </w:rPr>
      </w:pPr>
      <w:r w:rsidRPr="00F7548C">
        <w:rPr>
          <w:rFonts w:ascii="ITC Avant Garde" w:hAnsi="ITC Avant Garde"/>
          <w:b/>
          <w:sz w:val="22"/>
          <w:szCs w:val="22"/>
        </w:rPr>
        <w:t>Servicio Público de Transmisión y Distribución de Energía Eléctrica</w:t>
      </w:r>
      <w:r w:rsidRPr="00F7548C">
        <w:rPr>
          <w:rFonts w:ascii="ITC Avant Garde" w:hAnsi="ITC Avant Garde"/>
          <w:sz w:val="22"/>
          <w:szCs w:val="22"/>
        </w:rPr>
        <w:t xml:space="preserve">: </w:t>
      </w:r>
      <w:r w:rsidR="00FA5F6C" w:rsidRPr="00FA5F6C">
        <w:rPr>
          <w:rFonts w:ascii="ITC Avant Garde" w:hAnsi="ITC Avant Garde"/>
          <w:sz w:val="22"/>
          <w:szCs w:val="22"/>
        </w:rPr>
        <w:t>Servicio definido en el artículo 3, fracción XLII, de la</w:t>
      </w:r>
      <w:r w:rsidR="00FA5F6C">
        <w:rPr>
          <w:rFonts w:ascii="ITC Avant Garde" w:hAnsi="ITC Avant Garde"/>
          <w:sz w:val="22"/>
          <w:szCs w:val="22"/>
        </w:rPr>
        <w:t xml:space="preserve"> Ley de la Industria Eléctrica</w:t>
      </w:r>
      <w:r w:rsidRPr="00F7548C">
        <w:rPr>
          <w:rFonts w:ascii="ITC Avant Garde" w:hAnsi="ITC Avant Garde"/>
          <w:sz w:val="22"/>
          <w:szCs w:val="22"/>
        </w:rPr>
        <w:t>;</w:t>
      </w:r>
    </w:p>
    <w:p w14:paraId="589D0C55" w14:textId="5180885B" w:rsidR="00332292" w:rsidRPr="00F7548C" w:rsidRDefault="006B4684" w:rsidP="00C07820">
      <w:pPr>
        <w:pStyle w:val="estilo30"/>
        <w:numPr>
          <w:ilvl w:val="0"/>
          <w:numId w:val="19"/>
        </w:numPr>
        <w:spacing w:before="0" w:beforeAutospacing="0" w:after="0" w:afterAutospacing="0" w:line="276" w:lineRule="auto"/>
        <w:jc w:val="both"/>
        <w:rPr>
          <w:rFonts w:ascii="ITC Avant Garde" w:hAnsi="ITC Avant Garde"/>
          <w:b/>
          <w:bCs/>
          <w:sz w:val="22"/>
          <w:szCs w:val="22"/>
        </w:rPr>
      </w:pPr>
      <w:r w:rsidRPr="00F7548C">
        <w:rPr>
          <w:rFonts w:ascii="ITC Avant Garde" w:hAnsi="ITC Avant Garde"/>
          <w:b/>
          <w:bCs/>
          <w:sz w:val="22"/>
          <w:szCs w:val="22"/>
        </w:rPr>
        <w:t xml:space="preserve">Telecomunicaciones de México: </w:t>
      </w:r>
      <w:r w:rsidR="00C07820" w:rsidRPr="00016E6C">
        <w:rPr>
          <w:rFonts w:ascii="ITC Avant Garde" w:hAnsi="ITC Avant Garde"/>
          <w:bCs/>
          <w:sz w:val="22"/>
          <w:szCs w:val="22"/>
        </w:rPr>
        <w:t>Organismo Descentralizado del Gobierno Federal integrante del Sector Comunicaciones y Transportes, con personalidad jurídica y patrimonio propios</w:t>
      </w:r>
      <w:r w:rsidR="00B81506">
        <w:rPr>
          <w:rFonts w:ascii="ITC Avant Garde" w:hAnsi="ITC Avant Garde"/>
          <w:bCs/>
          <w:sz w:val="22"/>
          <w:szCs w:val="22"/>
        </w:rPr>
        <w:t>; y que se encuentra previsto en el</w:t>
      </w:r>
      <w:r w:rsidR="00C07820" w:rsidRPr="00C07820">
        <w:rPr>
          <w:rFonts w:ascii="ITC Avant Garde" w:hAnsi="ITC Avant Garde"/>
          <w:bCs/>
          <w:sz w:val="22"/>
          <w:szCs w:val="22"/>
        </w:rPr>
        <w:t xml:space="preserve"> </w:t>
      </w:r>
      <w:r w:rsidR="00B81506">
        <w:rPr>
          <w:rFonts w:ascii="ITC Avant Garde" w:hAnsi="ITC Avant Garde"/>
          <w:bCs/>
          <w:sz w:val="22"/>
          <w:szCs w:val="22"/>
        </w:rPr>
        <w:t>Estatuto Orgánico de Telecomunicaciones de México</w:t>
      </w:r>
      <w:r w:rsidR="00332292" w:rsidRPr="00F7548C">
        <w:rPr>
          <w:rFonts w:ascii="ITC Avant Garde" w:hAnsi="ITC Avant Garde"/>
          <w:bCs/>
          <w:sz w:val="22"/>
          <w:szCs w:val="22"/>
        </w:rPr>
        <w:t>;</w:t>
      </w:r>
    </w:p>
    <w:p w14:paraId="09E27E84" w14:textId="77777777"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bCs/>
          <w:sz w:val="22"/>
          <w:szCs w:val="22"/>
        </w:rPr>
        <w:t>Título de Concesión:</w:t>
      </w:r>
      <w:r w:rsidRPr="00F7548C">
        <w:rPr>
          <w:rFonts w:ascii="ITC Avant Garde" w:hAnsi="ITC Avant Garde"/>
          <w:sz w:val="22"/>
          <w:szCs w:val="22"/>
        </w:rPr>
        <w:t xml:space="preserve"> El título de concesión de uso comercial con carácter de red compartida mayorista de servicios de telecomunicaciones que le otorgó el Instituto a Telecomunicaciones de México, el 18 de enero de 2016, y</w:t>
      </w:r>
    </w:p>
    <w:p w14:paraId="511C567C" w14:textId="77777777" w:rsidR="0071127F" w:rsidRPr="00F7548C" w:rsidRDefault="0071127F" w:rsidP="0071127F">
      <w:pPr>
        <w:pStyle w:val="estilo30"/>
        <w:numPr>
          <w:ilvl w:val="0"/>
          <w:numId w:val="19"/>
        </w:numPr>
        <w:spacing w:before="0" w:beforeAutospacing="0" w:after="0" w:afterAutospacing="0" w:line="276" w:lineRule="auto"/>
        <w:jc w:val="both"/>
        <w:rPr>
          <w:rFonts w:ascii="ITC Avant Garde" w:hAnsi="ITC Avant Garde"/>
          <w:sz w:val="22"/>
          <w:szCs w:val="22"/>
        </w:rPr>
      </w:pPr>
      <w:r w:rsidRPr="00F7548C">
        <w:rPr>
          <w:rFonts w:ascii="ITC Avant Garde" w:hAnsi="ITC Avant Garde"/>
          <w:b/>
          <w:bCs/>
          <w:sz w:val="22"/>
          <w:szCs w:val="22"/>
        </w:rPr>
        <w:t>Visita Técnica:</w:t>
      </w:r>
      <w:r w:rsidRPr="00F7548C">
        <w:rPr>
          <w:rFonts w:ascii="ITC Avant Garde" w:hAnsi="ITC Avant Garde"/>
          <w:sz w:val="22"/>
          <w:szCs w:val="22"/>
        </w:rPr>
        <w:t xml:space="preserve"> La actividad conjunta por parte de la CFE y Telecomunicaciones de México, a fin de analizar y concretar in situ, los elementos sobre los que efectivamente se podrá ejercer el Acceso y Uso de Infraestructura.</w:t>
      </w:r>
    </w:p>
    <w:p w14:paraId="472EA64B"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p>
    <w:p w14:paraId="32056231" w14:textId="083505AF" w:rsidR="0071127F" w:rsidRPr="005B2961" w:rsidRDefault="0071127F" w:rsidP="005B2961">
      <w:pPr>
        <w:pStyle w:val="Ttulo3"/>
        <w:ind w:left="1134" w:right="1183" w:firstLine="142"/>
        <w:jc w:val="center"/>
        <w:rPr>
          <w:rFonts w:ascii="ITC Avant Garde" w:hAnsi="ITC Avant Garde"/>
          <w:b/>
          <w:bCs/>
          <w:color w:val="000000" w:themeColor="text1"/>
          <w:sz w:val="22"/>
          <w:szCs w:val="22"/>
          <w:u w:val="single"/>
        </w:rPr>
      </w:pPr>
      <w:r w:rsidRPr="005B2961">
        <w:rPr>
          <w:rFonts w:ascii="ITC Avant Garde" w:hAnsi="ITC Avant Garde"/>
          <w:b/>
          <w:bCs/>
          <w:color w:val="000000" w:themeColor="text1"/>
          <w:sz w:val="22"/>
          <w:szCs w:val="22"/>
        </w:rPr>
        <w:t>Capítulo II</w:t>
      </w:r>
      <w:r w:rsidR="005B2961">
        <w:rPr>
          <w:rFonts w:ascii="ITC Avant Garde" w:hAnsi="ITC Avant Garde"/>
          <w:b/>
          <w:bCs/>
          <w:color w:val="000000" w:themeColor="text1"/>
          <w:sz w:val="22"/>
          <w:szCs w:val="22"/>
          <w:u w:val="single"/>
        </w:rPr>
        <w:t xml:space="preserve"> </w:t>
      </w:r>
      <w:r w:rsidRPr="005B2961">
        <w:rPr>
          <w:rFonts w:ascii="ITC Avant Garde" w:hAnsi="ITC Avant Garde"/>
          <w:b/>
          <w:bCs/>
          <w:color w:val="000000" w:themeColor="text1"/>
          <w:sz w:val="22"/>
          <w:szCs w:val="22"/>
          <w:u w:val="single"/>
        </w:rPr>
        <w:t xml:space="preserve">Del Acceso y Uso de Infraestructura de la Comisión Federal de Electricidad </w:t>
      </w:r>
    </w:p>
    <w:p w14:paraId="4CABB764" w14:textId="77777777" w:rsidR="0071127F" w:rsidRPr="00F7548C" w:rsidRDefault="0071127F" w:rsidP="0071127F">
      <w:pPr>
        <w:pStyle w:val="estilo30"/>
        <w:spacing w:before="0" w:beforeAutospacing="0" w:after="0" w:afterAutospacing="0" w:line="276" w:lineRule="auto"/>
        <w:jc w:val="both"/>
        <w:rPr>
          <w:rFonts w:ascii="ITC Avant Garde" w:hAnsi="ITC Avant Garde"/>
          <w:sz w:val="22"/>
          <w:szCs w:val="22"/>
        </w:rPr>
      </w:pPr>
    </w:p>
    <w:p w14:paraId="72A74CD2"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
          <w:sz w:val="22"/>
          <w:szCs w:val="22"/>
        </w:rPr>
        <w:t>Artículo 3.-</w:t>
      </w:r>
      <w:r w:rsidRPr="00F7548C">
        <w:rPr>
          <w:rFonts w:ascii="ITC Avant Garde" w:hAnsi="ITC Avant Garde"/>
          <w:sz w:val="22"/>
          <w:szCs w:val="22"/>
        </w:rPr>
        <w:t xml:space="preserve"> L</w:t>
      </w:r>
      <w:r w:rsidRPr="00F7548C">
        <w:rPr>
          <w:rFonts w:ascii="ITC Avant Garde" w:hAnsi="ITC Avant Garde"/>
          <w:bCs/>
          <w:sz w:val="22"/>
          <w:szCs w:val="22"/>
        </w:rPr>
        <w:t xml:space="preserve">a CFE deberá garantizar el </w:t>
      </w:r>
      <w:r w:rsidRPr="00F7548C">
        <w:rPr>
          <w:rFonts w:ascii="ITC Avant Garde" w:hAnsi="ITC Avant Garde"/>
          <w:sz w:val="22"/>
          <w:szCs w:val="22"/>
        </w:rPr>
        <w:t>Acceso y Uso de Infraestructura</w:t>
      </w:r>
      <w:r w:rsidRPr="00F7548C">
        <w:rPr>
          <w:rFonts w:ascii="ITC Avant Garde" w:hAnsi="ITC Avant Garde"/>
          <w:bCs/>
          <w:sz w:val="22"/>
          <w:szCs w:val="22"/>
        </w:rPr>
        <w:t xml:space="preserve"> a Telecomunicaciones de México, que incluye todos los elementos necesarios para </w:t>
      </w:r>
      <w:r w:rsidRPr="00F7548C">
        <w:rPr>
          <w:rFonts w:ascii="ITC Avant Garde" w:hAnsi="ITC Avant Garde"/>
          <w:bCs/>
          <w:sz w:val="22"/>
          <w:szCs w:val="22"/>
        </w:rPr>
        <w:lastRenderedPageBreak/>
        <w:t xml:space="preserve">la construcción, instalación y operación de la Red Troncal, así como para la prestación de Servicios Mayoristas de Telecomunicaciones concesionados. </w:t>
      </w:r>
    </w:p>
    <w:p w14:paraId="173AF7CC"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p>
    <w:p w14:paraId="4C4108FA"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
          <w:bCs/>
          <w:sz w:val="22"/>
          <w:szCs w:val="22"/>
        </w:rPr>
        <w:t>Artículo 4.</w:t>
      </w:r>
      <w:r w:rsidRPr="00F7548C">
        <w:rPr>
          <w:rFonts w:ascii="ITC Avant Garde" w:hAnsi="ITC Avant Garde"/>
          <w:bCs/>
          <w:sz w:val="22"/>
          <w:szCs w:val="22"/>
        </w:rPr>
        <w:t>- Telecomunicaciones de México deberá cumplir con las especificaciones técnicas, de operación, administrativas, de seguridad y ambientales que se encuentren vigentes para el correcto Acceso y Uso de Infraestructura.</w:t>
      </w:r>
    </w:p>
    <w:p w14:paraId="76023DAD"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p>
    <w:p w14:paraId="4F051467" w14:textId="0C71D9F0" w:rsidR="0071127F" w:rsidRPr="00F7548C" w:rsidRDefault="0071127F" w:rsidP="0071127F">
      <w:pPr>
        <w:pStyle w:val="estilo30"/>
        <w:spacing w:before="0" w:beforeAutospacing="0" w:after="0" w:afterAutospacing="0" w:line="276" w:lineRule="auto"/>
        <w:jc w:val="both"/>
        <w:rPr>
          <w:rFonts w:ascii="ITC Avant Garde" w:hAnsi="ITC Avant Garde"/>
          <w:sz w:val="22"/>
          <w:szCs w:val="22"/>
        </w:rPr>
      </w:pPr>
      <w:r w:rsidRPr="00F7548C">
        <w:rPr>
          <w:rFonts w:ascii="ITC Avant Garde" w:hAnsi="ITC Avant Garde"/>
          <w:b/>
          <w:sz w:val="22"/>
          <w:szCs w:val="22"/>
        </w:rPr>
        <w:t>Artículo 5.</w:t>
      </w:r>
      <w:r w:rsidRPr="00F7548C">
        <w:rPr>
          <w:rFonts w:ascii="ITC Avant Garde" w:hAnsi="ITC Avant Garde"/>
          <w:sz w:val="22"/>
          <w:szCs w:val="22"/>
        </w:rPr>
        <w:t xml:space="preserve">- La CFE deberá </w:t>
      </w:r>
      <w:r w:rsidR="00B8006A" w:rsidRPr="00F7548C">
        <w:rPr>
          <w:rFonts w:ascii="ITC Avant Garde" w:hAnsi="ITC Avant Garde"/>
          <w:sz w:val="22"/>
          <w:szCs w:val="22"/>
        </w:rPr>
        <w:t>permitir</w:t>
      </w:r>
      <w:r w:rsidRPr="00F7548C">
        <w:rPr>
          <w:rFonts w:ascii="ITC Avant Garde" w:hAnsi="ITC Avant Garde"/>
          <w:sz w:val="22"/>
          <w:szCs w:val="22"/>
        </w:rPr>
        <w:t xml:space="preserve"> el Acceso y Uso de Infraestructura presente y futura a Telecomunicaciones de México</w:t>
      </w:r>
      <w:r w:rsidR="00B8006A" w:rsidRPr="00F7548C">
        <w:rPr>
          <w:rFonts w:ascii="ITC Avant Garde" w:hAnsi="ITC Avant Garde"/>
          <w:sz w:val="22"/>
          <w:szCs w:val="22"/>
        </w:rPr>
        <w:t xml:space="preserve"> para la instalación de la Red Troncal Nacional,</w:t>
      </w:r>
      <w:r w:rsidRPr="00F7548C">
        <w:rPr>
          <w:rFonts w:ascii="ITC Avant Garde" w:hAnsi="ITC Avant Garde"/>
          <w:sz w:val="22"/>
          <w:szCs w:val="22"/>
        </w:rPr>
        <w:t xml:space="preserve">  de conformidad con lo dispuesto en la</w:t>
      </w:r>
      <w:r w:rsidR="00B8006A" w:rsidRPr="00F7548C">
        <w:rPr>
          <w:rFonts w:ascii="ITC Avant Garde" w:hAnsi="ITC Avant Garde"/>
          <w:sz w:val="22"/>
          <w:szCs w:val="22"/>
        </w:rPr>
        <w:t xml:space="preserve"> Ley de la Industria Eléctrica, su Reglamento y la</w:t>
      </w:r>
      <w:r w:rsidRPr="00F7548C">
        <w:rPr>
          <w:rFonts w:ascii="ITC Avant Garde" w:hAnsi="ITC Avant Garde"/>
          <w:sz w:val="22"/>
          <w:szCs w:val="22"/>
        </w:rPr>
        <w:t>s disposiciones de carácter general de la industria eléctrica</w:t>
      </w:r>
      <w:r w:rsidR="00B8006A" w:rsidRPr="00F7548C">
        <w:rPr>
          <w:rFonts w:ascii="ITC Avant Garde" w:hAnsi="ITC Avant Garde"/>
          <w:sz w:val="22"/>
          <w:szCs w:val="22"/>
        </w:rPr>
        <w:t>,</w:t>
      </w:r>
      <w:r w:rsidRPr="00F7548C">
        <w:rPr>
          <w:rFonts w:ascii="ITC Avant Garde" w:hAnsi="ITC Avant Garde"/>
          <w:sz w:val="22"/>
          <w:szCs w:val="22"/>
        </w:rPr>
        <w:t xml:space="preserve">  bajo los siguientes principios:</w:t>
      </w:r>
    </w:p>
    <w:p w14:paraId="10EC8551" w14:textId="77777777" w:rsidR="0071127F" w:rsidRPr="00F7548C" w:rsidRDefault="0071127F" w:rsidP="0071127F">
      <w:pPr>
        <w:pStyle w:val="estilo30"/>
        <w:spacing w:before="0" w:beforeAutospacing="0" w:after="0" w:afterAutospacing="0" w:line="276" w:lineRule="auto"/>
        <w:jc w:val="both"/>
        <w:rPr>
          <w:rFonts w:ascii="ITC Avant Garde" w:hAnsi="ITC Avant Garde"/>
          <w:sz w:val="22"/>
          <w:szCs w:val="22"/>
        </w:rPr>
      </w:pPr>
    </w:p>
    <w:p w14:paraId="128D3087" w14:textId="6A446D7F" w:rsidR="00B8006A" w:rsidRPr="00F7548C" w:rsidRDefault="006F35E3" w:rsidP="005B2961">
      <w:pPr>
        <w:pStyle w:val="estilo30"/>
        <w:numPr>
          <w:ilvl w:val="0"/>
          <w:numId w:val="30"/>
        </w:numPr>
        <w:spacing w:before="240" w:beforeAutospacing="0" w:after="0" w:afterAutospacing="0" w:line="276" w:lineRule="auto"/>
        <w:jc w:val="both"/>
        <w:rPr>
          <w:rFonts w:ascii="ITC Avant Garde" w:hAnsi="ITC Avant Garde"/>
          <w:sz w:val="22"/>
          <w:szCs w:val="22"/>
        </w:rPr>
      </w:pPr>
      <w:r w:rsidRPr="00F7548C">
        <w:rPr>
          <w:rFonts w:ascii="ITC Avant Garde" w:hAnsi="ITC Avant Garde"/>
          <w:bCs/>
          <w:sz w:val="22"/>
          <w:szCs w:val="22"/>
        </w:rPr>
        <w:t>Reconocimiento de que l</w:t>
      </w:r>
      <w:r w:rsidR="00B8006A" w:rsidRPr="00F7548C">
        <w:rPr>
          <w:rFonts w:ascii="ITC Avant Garde" w:hAnsi="ITC Avant Garde"/>
          <w:bCs/>
          <w:sz w:val="22"/>
          <w:szCs w:val="22"/>
        </w:rPr>
        <w:t>as actividades de transmisión y distribución de energía eléctrica se consideran de interés social y de orden público</w:t>
      </w:r>
      <w:r w:rsidR="00455AB0">
        <w:rPr>
          <w:rFonts w:ascii="ITC Avant Garde" w:hAnsi="ITC Avant Garde"/>
          <w:bCs/>
          <w:sz w:val="22"/>
          <w:szCs w:val="22"/>
        </w:rPr>
        <w:t>,</w:t>
      </w:r>
      <w:r w:rsidR="00B8006A" w:rsidRPr="00F7548C">
        <w:rPr>
          <w:rFonts w:ascii="ITC Avant Garde" w:hAnsi="ITC Avant Garde"/>
          <w:bCs/>
          <w:sz w:val="22"/>
          <w:szCs w:val="22"/>
        </w:rPr>
        <w:t xml:space="preserve"> y tendrán preferencia </w:t>
      </w:r>
      <w:r w:rsidR="00455AB0">
        <w:rPr>
          <w:rFonts w:ascii="ITC Avant Garde" w:hAnsi="ITC Avant Garde"/>
          <w:bCs/>
          <w:sz w:val="22"/>
          <w:szCs w:val="22"/>
        </w:rPr>
        <w:t xml:space="preserve">en el uso de la infraestructura </w:t>
      </w:r>
      <w:r w:rsidR="00B8006A" w:rsidRPr="00F7548C">
        <w:rPr>
          <w:rFonts w:ascii="ITC Avant Garde" w:hAnsi="ITC Avant Garde"/>
          <w:bCs/>
          <w:sz w:val="22"/>
          <w:szCs w:val="22"/>
        </w:rPr>
        <w:t>sobre cualquier otra</w:t>
      </w:r>
      <w:r w:rsidR="00455AB0">
        <w:rPr>
          <w:rFonts w:ascii="ITC Avant Garde" w:hAnsi="ITC Avant Garde"/>
          <w:bCs/>
          <w:sz w:val="22"/>
          <w:szCs w:val="22"/>
        </w:rPr>
        <w:t xml:space="preserve"> actividad</w:t>
      </w:r>
      <w:r w:rsidR="00B8006A" w:rsidRPr="00F7548C">
        <w:rPr>
          <w:rFonts w:ascii="ITC Avant Garde" w:hAnsi="ITC Avant Garde"/>
          <w:bCs/>
          <w:sz w:val="22"/>
          <w:szCs w:val="22"/>
        </w:rPr>
        <w:t>.</w:t>
      </w:r>
    </w:p>
    <w:p w14:paraId="3B06BA16" w14:textId="63B46783" w:rsidR="00B8006A" w:rsidRPr="00F7548C" w:rsidRDefault="00B8006A" w:rsidP="005B2961">
      <w:pPr>
        <w:pStyle w:val="estilo30"/>
        <w:numPr>
          <w:ilvl w:val="0"/>
          <w:numId w:val="30"/>
        </w:numPr>
        <w:spacing w:before="240" w:beforeAutospacing="0" w:after="0" w:afterAutospacing="0" w:line="276" w:lineRule="auto"/>
        <w:jc w:val="both"/>
        <w:rPr>
          <w:rFonts w:ascii="ITC Avant Garde" w:hAnsi="ITC Avant Garde"/>
          <w:sz w:val="22"/>
          <w:szCs w:val="22"/>
        </w:rPr>
      </w:pPr>
      <w:r w:rsidRPr="00F7548C">
        <w:rPr>
          <w:rFonts w:ascii="ITC Avant Garde" w:hAnsi="ITC Avant Garde"/>
          <w:bCs/>
          <w:sz w:val="22"/>
          <w:szCs w:val="22"/>
        </w:rPr>
        <w:t>Seguridad y Continuidad de la prestación del Servicio Público de Transmisión y Distribución de Energía Eléctrica;</w:t>
      </w:r>
    </w:p>
    <w:p w14:paraId="0C1DB6A3" w14:textId="6CC3B8A0" w:rsidR="00B8006A" w:rsidRPr="00F7548C" w:rsidRDefault="00B8006A" w:rsidP="005B2961">
      <w:pPr>
        <w:pStyle w:val="Prrafodelista"/>
        <w:numPr>
          <w:ilvl w:val="0"/>
          <w:numId w:val="30"/>
        </w:numPr>
        <w:spacing w:before="240"/>
        <w:jc w:val="both"/>
        <w:rPr>
          <w:rFonts w:ascii="ITC Avant Garde" w:hAnsi="ITC Avant Garde"/>
          <w:sz w:val="22"/>
          <w:szCs w:val="22"/>
          <w:lang w:val="es-MX" w:eastAsia="es-MX"/>
        </w:rPr>
      </w:pPr>
      <w:r w:rsidRPr="00F7548C">
        <w:rPr>
          <w:rFonts w:ascii="ITC Avant Garde" w:hAnsi="ITC Avant Garde"/>
          <w:sz w:val="22"/>
          <w:szCs w:val="22"/>
        </w:rPr>
        <w:t>Establecimiento de una contraprestación justa, en términos de las disposiciones administrativas emitidas por la autoridad correspondiente</w:t>
      </w:r>
      <w:r w:rsidR="003600D2">
        <w:rPr>
          <w:rFonts w:ascii="ITC Avant Garde" w:hAnsi="ITC Avant Garde"/>
          <w:sz w:val="22"/>
          <w:szCs w:val="22"/>
        </w:rPr>
        <w:t>, tanto para el</w:t>
      </w:r>
      <w:r w:rsidRPr="00F7548C">
        <w:rPr>
          <w:rFonts w:ascii="ITC Avant Garde" w:hAnsi="ITC Avant Garde"/>
          <w:sz w:val="22"/>
          <w:szCs w:val="22"/>
          <w:lang w:val="es-MX" w:eastAsia="es-MX"/>
        </w:rPr>
        <w:t xml:space="preserve"> Acceso y Uso de Infraestructura como </w:t>
      </w:r>
      <w:r w:rsidR="003600D2">
        <w:rPr>
          <w:rFonts w:ascii="ITC Avant Garde" w:hAnsi="ITC Avant Garde"/>
          <w:sz w:val="22"/>
          <w:szCs w:val="22"/>
          <w:lang w:val="es-MX" w:eastAsia="es-MX"/>
        </w:rPr>
        <w:t xml:space="preserve">para </w:t>
      </w:r>
      <w:r w:rsidRPr="00F7548C">
        <w:rPr>
          <w:rFonts w:ascii="ITC Avant Garde" w:hAnsi="ITC Avant Garde"/>
          <w:sz w:val="22"/>
          <w:szCs w:val="22"/>
          <w:lang w:val="es-MX" w:eastAsia="es-MX"/>
        </w:rPr>
        <w:t>los demás servicios asociados, tales como el mantenimiento, entre otros.</w:t>
      </w:r>
    </w:p>
    <w:p w14:paraId="5CC33C5B" w14:textId="77777777" w:rsidR="0071127F" w:rsidRPr="00F7548C" w:rsidRDefault="0071127F" w:rsidP="005B2961">
      <w:pPr>
        <w:pStyle w:val="estilo30"/>
        <w:numPr>
          <w:ilvl w:val="0"/>
          <w:numId w:val="30"/>
        </w:numPr>
        <w:spacing w:before="240" w:beforeAutospacing="0" w:after="0" w:afterAutospacing="0" w:line="276" w:lineRule="auto"/>
        <w:jc w:val="both"/>
        <w:rPr>
          <w:rFonts w:ascii="ITC Avant Garde" w:hAnsi="ITC Avant Garde"/>
          <w:sz w:val="22"/>
          <w:szCs w:val="22"/>
        </w:rPr>
      </w:pPr>
      <w:r w:rsidRPr="00F7548C">
        <w:rPr>
          <w:rFonts w:ascii="ITC Avant Garde" w:hAnsi="ITC Avant Garde"/>
          <w:bCs/>
          <w:sz w:val="22"/>
          <w:szCs w:val="22"/>
        </w:rPr>
        <w:t xml:space="preserve">Eficiencia en el </w:t>
      </w:r>
      <w:r w:rsidRPr="00F7548C">
        <w:rPr>
          <w:rFonts w:ascii="ITC Avant Garde" w:hAnsi="ITC Avant Garde"/>
          <w:sz w:val="22"/>
          <w:szCs w:val="22"/>
        </w:rPr>
        <w:t>Acceso y Uso de Infraestructura</w:t>
      </w:r>
      <w:r w:rsidRPr="00F7548C">
        <w:rPr>
          <w:rFonts w:ascii="ITC Avant Garde" w:hAnsi="ITC Avant Garde"/>
          <w:bCs/>
          <w:sz w:val="22"/>
          <w:szCs w:val="22"/>
        </w:rPr>
        <w:t xml:space="preserve"> para la construcción y crecimiento de la Red Troncal Nacional;</w:t>
      </w:r>
    </w:p>
    <w:p w14:paraId="65501440" w14:textId="700CDE64" w:rsidR="00610298" w:rsidRPr="00F7548C" w:rsidRDefault="0071127F" w:rsidP="005B2961">
      <w:pPr>
        <w:pStyle w:val="estilo30"/>
        <w:numPr>
          <w:ilvl w:val="0"/>
          <w:numId w:val="30"/>
        </w:numPr>
        <w:spacing w:before="240" w:beforeAutospacing="0" w:after="0" w:afterAutospacing="0" w:line="276" w:lineRule="auto"/>
        <w:jc w:val="both"/>
        <w:rPr>
          <w:rFonts w:ascii="ITC Avant Garde" w:hAnsi="ITC Avant Garde"/>
          <w:sz w:val="22"/>
          <w:szCs w:val="22"/>
        </w:rPr>
      </w:pPr>
      <w:r w:rsidRPr="00F7548C">
        <w:rPr>
          <w:rFonts w:ascii="ITC Avant Garde" w:hAnsi="ITC Avant Garde"/>
          <w:bCs/>
          <w:sz w:val="22"/>
          <w:szCs w:val="22"/>
        </w:rPr>
        <w:t xml:space="preserve">Transparencia, para lo cual deberá proveer toda la información técnica, operativa y de precios o cualquier otra necesaria y precisa para garantizar el </w:t>
      </w:r>
      <w:r w:rsidRPr="00F7548C">
        <w:rPr>
          <w:rFonts w:ascii="ITC Avant Garde" w:hAnsi="ITC Avant Garde"/>
          <w:sz w:val="22"/>
          <w:szCs w:val="22"/>
        </w:rPr>
        <w:t>Acceso y Uso de Infraestructura</w:t>
      </w:r>
      <w:r w:rsidR="00610298" w:rsidRPr="00F7548C">
        <w:rPr>
          <w:rFonts w:ascii="ITC Avant Garde" w:hAnsi="ITC Avant Garde"/>
          <w:bCs/>
          <w:sz w:val="22"/>
          <w:szCs w:val="22"/>
        </w:rPr>
        <w:t>, y</w:t>
      </w:r>
    </w:p>
    <w:p w14:paraId="2D7A245D" w14:textId="5E82B62F" w:rsidR="0071127F" w:rsidRPr="00F7548C" w:rsidRDefault="0071127F" w:rsidP="005B2961">
      <w:pPr>
        <w:pStyle w:val="estilo30"/>
        <w:numPr>
          <w:ilvl w:val="0"/>
          <w:numId w:val="30"/>
        </w:numPr>
        <w:spacing w:before="240" w:beforeAutospacing="0" w:after="0" w:afterAutospacing="0" w:line="276" w:lineRule="auto"/>
        <w:jc w:val="both"/>
        <w:rPr>
          <w:rFonts w:ascii="ITC Avant Garde" w:hAnsi="ITC Avant Garde"/>
          <w:b/>
          <w:sz w:val="22"/>
          <w:szCs w:val="22"/>
        </w:rPr>
      </w:pPr>
      <w:r w:rsidRPr="00F7548C">
        <w:rPr>
          <w:rFonts w:ascii="ITC Avant Garde" w:hAnsi="ITC Avant Garde"/>
          <w:bCs/>
          <w:sz w:val="22"/>
          <w:szCs w:val="22"/>
        </w:rPr>
        <w:t>Efectividad en el trato, por lo que deberá implantar mecanismos para el Acceso y Uso de Infraestructura de manera expedita y sin contratiempos</w:t>
      </w:r>
      <w:r w:rsidR="00610298" w:rsidRPr="00F7548C">
        <w:rPr>
          <w:rFonts w:ascii="ITC Avant Garde" w:hAnsi="ITC Avant Garde"/>
          <w:bCs/>
          <w:sz w:val="22"/>
          <w:szCs w:val="22"/>
        </w:rPr>
        <w:t>.</w:t>
      </w:r>
      <w:r w:rsidRPr="00F7548C">
        <w:rPr>
          <w:rFonts w:ascii="ITC Avant Garde" w:hAnsi="ITC Avant Garde"/>
          <w:bCs/>
          <w:sz w:val="22"/>
          <w:szCs w:val="22"/>
        </w:rPr>
        <w:t xml:space="preserve"> </w:t>
      </w:r>
    </w:p>
    <w:p w14:paraId="395A78EE" w14:textId="77777777" w:rsidR="00610298" w:rsidRPr="00F7548C" w:rsidRDefault="00610298" w:rsidP="0071127F">
      <w:pPr>
        <w:pStyle w:val="estilo30"/>
        <w:spacing w:before="0" w:beforeAutospacing="0" w:after="0" w:afterAutospacing="0" w:line="276" w:lineRule="auto"/>
        <w:jc w:val="both"/>
        <w:rPr>
          <w:rFonts w:ascii="ITC Avant Garde" w:hAnsi="ITC Avant Garde"/>
          <w:b/>
          <w:sz w:val="22"/>
          <w:szCs w:val="22"/>
        </w:rPr>
      </w:pPr>
    </w:p>
    <w:p w14:paraId="41D1D382" w14:textId="34C4B045" w:rsidR="0071127F" w:rsidRPr="00F7548C" w:rsidRDefault="0071127F" w:rsidP="0071127F">
      <w:pPr>
        <w:pStyle w:val="estilo30"/>
        <w:spacing w:before="0" w:beforeAutospacing="0" w:after="0" w:afterAutospacing="0" w:line="276" w:lineRule="auto"/>
        <w:jc w:val="both"/>
        <w:rPr>
          <w:rFonts w:ascii="ITC Avant Garde" w:hAnsi="ITC Avant Garde"/>
          <w:sz w:val="22"/>
          <w:szCs w:val="22"/>
        </w:rPr>
      </w:pPr>
      <w:r w:rsidRPr="00F7548C">
        <w:rPr>
          <w:rFonts w:ascii="ITC Avant Garde" w:hAnsi="ITC Avant Garde"/>
          <w:b/>
          <w:sz w:val="22"/>
          <w:szCs w:val="22"/>
        </w:rPr>
        <w:t xml:space="preserve">Artículo 6.- </w:t>
      </w:r>
      <w:r w:rsidRPr="00F7548C">
        <w:rPr>
          <w:rFonts w:ascii="ITC Avant Garde" w:hAnsi="ITC Avant Garde"/>
          <w:sz w:val="22"/>
          <w:szCs w:val="22"/>
        </w:rPr>
        <w:t xml:space="preserve">La CFE no podrá </w:t>
      </w:r>
      <w:r w:rsidR="00FF66CA">
        <w:rPr>
          <w:rFonts w:ascii="ITC Avant Garde" w:hAnsi="ITC Avant Garde"/>
          <w:sz w:val="22"/>
          <w:szCs w:val="22"/>
        </w:rPr>
        <w:t xml:space="preserve">impedir o </w:t>
      </w:r>
      <w:r w:rsidRPr="00F7548C">
        <w:rPr>
          <w:rFonts w:ascii="ITC Avant Garde" w:hAnsi="ITC Avant Garde"/>
          <w:sz w:val="22"/>
          <w:szCs w:val="22"/>
        </w:rPr>
        <w:t xml:space="preserve">limitar el Acceso y Uso de Infraestructura considerando únicamente el número de concesionarios o autorizados instalados </w:t>
      </w:r>
      <w:r w:rsidR="00BA1499">
        <w:rPr>
          <w:rFonts w:ascii="ITC Avant Garde" w:hAnsi="ITC Avant Garde"/>
          <w:sz w:val="22"/>
          <w:szCs w:val="22"/>
        </w:rPr>
        <w:lastRenderedPageBreak/>
        <w:t xml:space="preserve">en </w:t>
      </w:r>
      <w:r w:rsidR="00C004BB" w:rsidRPr="00F7548C">
        <w:rPr>
          <w:rFonts w:ascii="ITC Avant Garde" w:hAnsi="ITC Avant Garde"/>
          <w:sz w:val="22"/>
          <w:szCs w:val="22"/>
        </w:rPr>
        <w:t>dicha</w:t>
      </w:r>
      <w:r w:rsidRPr="00F7548C">
        <w:rPr>
          <w:rFonts w:ascii="ITC Avant Garde" w:hAnsi="ITC Avant Garde"/>
          <w:sz w:val="22"/>
          <w:szCs w:val="22"/>
        </w:rPr>
        <w:t xml:space="preserve"> infraestructura</w:t>
      </w:r>
      <w:r w:rsidR="00BA1499">
        <w:rPr>
          <w:rFonts w:ascii="ITC Avant Garde" w:hAnsi="ITC Avant Garde"/>
          <w:sz w:val="22"/>
          <w:szCs w:val="22"/>
        </w:rPr>
        <w:t xml:space="preserve">. </w:t>
      </w:r>
      <w:r w:rsidR="005C08F0">
        <w:rPr>
          <w:rFonts w:ascii="ITC Avant Garde" w:hAnsi="ITC Avant Garde"/>
          <w:sz w:val="22"/>
          <w:szCs w:val="22"/>
        </w:rPr>
        <w:t xml:space="preserve">En todo caso deberán observarse </w:t>
      </w:r>
      <w:r w:rsidRPr="00F7548C">
        <w:rPr>
          <w:rFonts w:ascii="ITC Avant Garde" w:hAnsi="ITC Avant Garde"/>
          <w:sz w:val="22"/>
          <w:szCs w:val="22"/>
        </w:rPr>
        <w:t xml:space="preserve">las disposiciones que para el efecto establezca la Comisión Reguladora de Energía. </w:t>
      </w:r>
    </w:p>
    <w:p w14:paraId="29AC0642" w14:textId="77777777" w:rsidR="0071127F" w:rsidRPr="00F7548C" w:rsidRDefault="0071127F" w:rsidP="0071127F">
      <w:pPr>
        <w:pStyle w:val="estilo30"/>
        <w:spacing w:before="0" w:beforeAutospacing="0" w:after="0" w:afterAutospacing="0" w:line="276" w:lineRule="auto"/>
        <w:jc w:val="both"/>
        <w:rPr>
          <w:rFonts w:ascii="ITC Avant Garde" w:hAnsi="ITC Avant Garde"/>
          <w:sz w:val="22"/>
          <w:szCs w:val="22"/>
        </w:rPr>
      </w:pPr>
    </w:p>
    <w:p w14:paraId="4778D842" w14:textId="0E0B9326" w:rsidR="0071127F" w:rsidRPr="00F7548C" w:rsidRDefault="0071127F" w:rsidP="0071127F">
      <w:pPr>
        <w:pStyle w:val="estilo30"/>
        <w:spacing w:before="0" w:beforeAutospacing="0" w:after="0" w:afterAutospacing="0" w:line="276" w:lineRule="auto"/>
        <w:jc w:val="both"/>
        <w:rPr>
          <w:rFonts w:ascii="ITC Avant Garde" w:hAnsi="ITC Avant Garde"/>
          <w:sz w:val="22"/>
          <w:szCs w:val="22"/>
        </w:rPr>
      </w:pPr>
      <w:r w:rsidRPr="00F7548C">
        <w:rPr>
          <w:rFonts w:ascii="ITC Avant Garde" w:hAnsi="ITC Avant Garde"/>
          <w:sz w:val="22"/>
          <w:szCs w:val="22"/>
        </w:rPr>
        <w:t>En caso de desacuerdo sobre la factibilidad</w:t>
      </w:r>
      <w:r w:rsidR="00C004BB" w:rsidRPr="00F7548C">
        <w:rPr>
          <w:rFonts w:ascii="ITC Avant Garde" w:hAnsi="ITC Avant Garde"/>
          <w:sz w:val="22"/>
          <w:szCs w:val="22"/>
        </w:rPr>
        <w:t xml:space="preserve"> del </w:t>
      </w:r>
      <w:r w:rsidR="004814CF">
        <w:rPr>
          <w:rFonts w:ascii="ITC Avant Garde" w:hAnsi="ITC Avant Garde"/>
          <w:sz w:val="22"/>
          <w:szCs w:val="22"/>
        </w:rPr>
        <w:t>acceso a</w:t>
      </w:r>
      <w:r w:rsidR="00C004BB" w:rsidRPr="00F7548C">
        <w:rPr>
          <w:rFonts w:ascii="ITC Avant Garde" w:hAnsi="ITC Avant Garde"/>
          <w:sz w:val="22"/>
          <w:szCs w:val="22"/>
        </w:rPr>
        <w:t xml:space="preserve"> la infraestructura, </w:t>
      </w:r>
      <w:r w:rsidR="004814CF">
        <w:rPr>
          <w:rFonts w:ascii="ITC Avant Garde" w:hAnsi="ITC Avant Garde"/>
          <w:sz w:val="22"/>
          <w:szCs w:val="22"/>
        </w:rPr>
        <w:t>el Instituto resolverá en el ámbito de sus atribuciones.</w:t>
      </w:r>
    </w:p>
    <w:p w14:paraId="765B8C2A" w14:textId="77777777" w:rsidR="00DD780C" w:rsidRPr="00F7548C" w:rsidRDefault="00DD780C" w:rsidP="0071127F">
      <w:pPr>
        <w:pStyle w:val="estilo30"/>
        <w:spacing w:before="0" w:beforeAutospacing="0" w:after="0" w:afterAutospacing="0" w:line="276" w:lineRule="auto"/>
        <w:jc w:val="both"/>
        <w:rPr>
          <w:rFonts w:ascii="ITC Avant Garde" w:hAnsi="ITC Avant Garde"/>
          <w:sz w:val="22"/>
          <w:szCs w:val="22"/>
        </w:rPr>
      </w:pPr>
    </w:p>
    <w:p w14:paraId="311D27B0" w14:textId="6F75DD5C" w:rsidR="00DD780C" w:rsidRPr="00F7548C" w:rsidRDefault="00DD780C" w:rsidP="0071127F">
      <w:pPr>
        <w:pStyle w:val="estilo30"/>
        <w:spacing w:before="0" w:beforeAutospacing="0" w:after="0" w:afterAutospacing="0" w:line="276" w:lineRule="auto"/>
        <w:jc w:val="both"/>
        <w:rPr>
          <w:rFonts w:ascii="ITC Avant Garde" w:hAnsi="ITC Avant Garde"/>
          <w:sz w:val="22"/>
          <w:szCs w:val="22"/>
        </w:rPr>
      </w:pPr>
      <w:r w:rsidRPr="00F7548C">
        <w:rPr>
          <w:rFonts w:ascii="ITC Avant Garde" w:hAnsi="ITC Avant Garde"/>
          <w:sz w:val="22"/>
          <w:szCs w:val="22"/>
        </w:rPr>
        <w:t xml:space="preserve">Si la discrepancia tiene como sustento la imposibilidad técnica-operativa o el riesgo que pudiera generarse a las redes eléctricas o a la seguridad y continuidad en la prestación del servicio de transmisión o distribución, </w:t>
      </w:r>
      <w:r w:rsidR="004814CF">
        <w:rPr>
          <w:rFonts w:ascii="ITC Avant Garde" w:hAnsi="ITC Avant Garde"/>
          <w:sz w:val="22"/>
          <w:szCs w:val="22"/>
        </w:rPr>
        <w:t>el Instituto consultará a la</w:t>
      </w:r>
      <w:r w:rsidRPr="00F7548C">
        <w:rPr>
          <w:rFonts w:ascii="ITC Avant Garde" w:hAnsi="ITC Avant Garde"/>
          <w:sz w:val="22"/>
          <w:szCs w:val="22"/>
        </w:rPr>
        <w:t xml:space="preserve"> Comisión Reguladora de Energía. </w:t>
      </w:r>
    </w:p>
    <w:p w14:paraId="3D4157AC" w14:textId="77777777" w:rsidR="00DD780C" w:rsidRPr="00F7548C" w:rsidRDefault="00DD780C" w:rsidP="0071127F">
      <w:pPr>
        <w:pStyle w:val="estilo30"/>
        <w:spacing w:before="0" w:beforeAutospacing="0" w:after="0" w:afterAutospacing="0" w:line="276" w:lineRule="auto"/>
        <w:jc w:val="both"/>
        <w:rPr>
          <w:rFonts w:ascii="ITC Avant Garde" w:hAnsi="ITC Avant Garde"/>
          <w:sz w:val="22"/>
          <w:szCs w:val="22"/>
        </w:rPr>
      </w:pPr>
    </w:p>
    <w:p w14:paraId="1355222D" w14:textId="17B9FF4C" w:rsidR="00DD780C" w:rsidRPr="00F7548C" w:rsidRDefault="00DD780C" w:rsidP="0071127F">
      <w:pPr>
        <w:pStyle w:val="estilo30"/>
        <w:spacing w:before="0" w:beforeAutospacing="0" w:after="0" w:afterAutospacing="0" w:line="276" w:lineRule="auto"/>
        <w:jc w:val="both"/>
        <w:rPr>
          <w:rFonts w:ascii="ITC Avant Garde" w:hAnsi="ITC Avant Garde"/>
          <w:sz w:val="22"/>
          <w:szCs w:val="22"/>
        </w:rPr>
      </w:pPr>
      <w:r w:rsidRPr="00F7548C">
        <w:rPr>
          <w:rFonts w:ascii="ITC Avant Garde" w:hAnsi="ITC Avant Garde"/>
          <w:sz w:val="22"/>
          <w:szCs w:val="22"/>
        </w:rPr>
        <w:t xml:space="preserve">La CFE deberá informar a Telecomunicaciones de México el inventario de los elementos que se encuentren a su disposición para asegurar el Acceso y Uso de Infraestructura, </w:t>
      </w:r>
      <w:r w:rsidR="005C08F0">
        <w:rPr>
          <w:rFonts w:ascii="ITC Avant Garde" w:hAnsi="ITC Avant Garde"/>
          <w:sz w:val="22"/>
          <w:szCs w:val="22"/>
        </w:rPr>
        <w:t xml:space="preserve">observando en todo caso las disposiciones aplicables sobre el acceso a dicha información. </w:t>
      </w:r>
    </w:p>
    <w:p w14:paraId="003A59C4" w14:textId="77777777" w:rsidR="0071127F" w:rsidRPr="00F7548C" w:rsidRDefault="0071127F" w:rsidP="0071127F">
      <w:pPr>
        <w:pStyle w:val="estilo30"/>
        <w:spacing w:before="0" w:beforeAutospacing="0" w:after="0" w:afterAutospacing="0" w:line="276" w:lineRule="auto"/>
        <w:jc w:val="both"/>
        <w:rPr>
          <w:rFonts w:ascii="ITC Avant Garde" w:hAnsi="ITC Avant Garde"/>
          <w:b/>
          <w:bCs/>
          <w:sz w:val="22"/>
          <w:szCs w:val="22"/>
        </w:rPr>
      </w:pPr>
    </w:p>
    <w:p w14:paraId="59926F05" w14:textId="356303D9"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
          <w:bCs/>
          <w:sz w:val="22"/>
          <w:szCs w:val="22"/>
        </w:rPr>
        <w:t xml:space="preserve">Artículo 7.- </w:t>
      </w:r>
      <w:r w:rsidRPr="00F7548C">
        <w:rPr>
          <w:rFonts w:ascii="ITC Avant Garde" w:hAnsi="ITC Avant Garde"/>
          <w:bCs/>
          <w:sz w:val="22"/>
          <w:szCs w:val="22"/>
        </w:rPr>
        <w:t xml:space="preserve">La CFE y Telecomunicaciones de México deberán celebrar convenios </w:t>
      </w:r>
      <w:r w:rsidR="00DD780C" w:rsidRPr="00F7548C">
        <w:rPr>
          <w:rFonts w:ascii="ITC Avant Garde" w:hAnsi="ITC Avant Garde"/>
          <w:bCs/>
          <w:sz w:val="22"/>
          <w:szCs w:val="22"/>
        </w:rPr>
        <w:t>para formalizar el</w:t>
      </w:r>
      <w:r w:rsidRPr="00F7548C">
        <w:rPr>
          <w:rFonts w:ascii="ITC Avant Garde" w:hAnsi="ITC Avant Garde"/>
          <w:bCs/>
          <w:sz w:val="22"/>
          <w:szCs w:val="22"/>
        </w:rPr>
        <w:t xml:space="preserve"> Acceso y Uso de Infraestructura. En caso de no llegar a un acuerdo </w:t>
      </w:r>
      <w:r w:rsidR="009B58C2">
        <w:rPr>
          <w:rFonts w:ascii="ITC Avant Garde" w:hAnsi="ITC Avant Garde"/>
          <w:bCs/>
          <w:sz w:val="22"/>
          <w:szCs w:val="22"/>
        </w:rPr>
        <w:t xml:space="preserve">respecto al Acceso y Uso de Infraestructura, </w:t>
      </w:r>
      <w:r w:rsidRPr="00F7548C">
        <w:rPr>
          <w:rFonts w:ascii="ITC Avant Garde" w:hAnsi="ITC Avant Garde"/>
          <w:bCs/>
          <w:sz w:val="22"/>
          <w:szCs w:val="22"/>
        </w:rPr>
        <w:t xml:space="preserve">en un periodo </w:t>
      </w:r>
      <w:r w:rsidR="00670782">
        <w:rPr>
          <w:rFonts w:ascii="ITC Avant Garde" w:hAnsi="ITC Avant Garde"/>
          <w:bCs/>
          <w:sz w:val="22"/>
          <w:szCs w:val="22"/>
        </w:rPr>
        <w:t xml:space="preserve">no mayor </w:t>
      </w:r>
      <w:r w:rsidRPr="00F7548C">
        <w:rPr>
          <w:rFonts w:ascii="ITC Avant Garde" w:hAnsi="ITC Avant Garde"/>
          <w:bCs/>
          <w:sz w:val="22"/>
          <w:szCs w:val="22"/>
        </w:rPr>
        <w:t xml:space="preserve">de </w:t>
      </w:r>
      <w:r w:rsidR="0021543E">
        <w:rPr>
          <w:rFonts w:ascii="ITC Avant Garde" w:hAnsi="ITC Avant Garde"/>
          <w:bCs/>
          <w:sz w:val="22"/>
          <w:szCs w:val="22"/>
        </w:rPr>
        <w:t>6</w:t>
      </w:r>
      <w:r w:rsidRPr="00F7548C">
        <w:rPr>
          <w:rFonts w:ascii="ITC Avant Garde" w:hAnsi="ITC Avant Garde"/>
          <w:bCs/>
          <w:sz w:val="22"/>
          <w:szCs w:val="22"/>
        </w:rPr>
        <w:t>0 (</w:t>
      </w:r>
      <w:r w:rsidR="00DD6F8F">
        <w:rPr>
          <w:rFonts w:ascii="ITC Avant Garde" w:hAnsi="ITC Avant Garde"/>
          <w:bCs/>
          <w:sz w:val="22"/>
          <w:szCs w:val="22"/>
        </w:rPr>
        <w:t>sesenta</w:t>
      </w:r>
      <w:r w:rsidRPr="00F7548C">
        <w:rPr>
          <w:rFonts w:ascii="ITC Avant Garde" w:hAnsi="ITC Avant Garde"/>
          <w:bCs/>
          <w:sz w:val="22"/>
          <w:szCs w:val="22"/>
        </w:rPr>
        <w:t xml:space="preserve">) días </w:t>
      </w:r>
      <w:r w:rsidR="00DD6F8F">
        <w:rPr>
          <w:rFonts w:ascii="ITC Avant Garde" w:hAnsi="ITC Avant Garde"/>
          <w:bCs/>
          <w:sz w:val="22"/>
          <w:szCs w:val="22"/>
        </w:rPr>
        <w:t>naturales</w:t>
      </w:r>
      <w:r w:rsidRPr="00F7548C">
        <w:rPr>
          <w:rFonts w:ascii="ITC Avant Garde" w:hAnsi="ITC Avant Garde"/>
          <w:bCs/>
          <w:sz w:val="22"/>
          <w:szCs w:val="22"/>
        </w:rPr>
        <w:t xml:space="preserve">, contados a partir de la solicitud de Telecomunicaciones de México, </w:t>
      </w:r>
      <w:r w:rsidR="00FE0FFB" w:rsidRPr="00F7548C">
        <w:rPr>
          <w:rFonts w:ascii="ITC Avant Garde" w:hAnsi="ITC Avant Garde"/>
          <w:bCs/>
          <w:sz w:val="22"/>
          <w:szCs w:val="22"/>
        </w:rPr>
        <w:t>cualquiera de ellos</w:t>
      </w:r>
      <w:r w:rsidRPr="00F7548C">
        <w:rPr>
          <w:rFonts w:ascii="ITC Avant Garde" w:hAnsi="ITC Avant Garde"/>
          <w:bCs/>
          <w:sz w:val="22"/>
          <w:szCs w:val="22"/>
        </w:rPr>
        <w:t xml:space="preserve"> podrá acudir al Instituto para notificar un desacuerdo de Acceso y Uso de Infraestructura. El Instituto resolverá el desacuerdo conforme a la legislación vigente, y para ello podrá allegarse de los elementos técnicos y económicos necesarios.</w:t>
      </w:r>
    </w:p>
    <w:p w14:paraId="61BA0335"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p>
    <w:p w14:paraId="381A022A" w14:textId="628D24E6" w:rsidR="0071127F" w:rsidRPr="00F7548C" w:rsidRDefault="007C2C60"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 xml:space="preserve">Los </w:t>
      </w:r>
      <w:r w:rsidR="0071127F" w:rsidRPr="00F7548C">
        <w:rPr>
          <w:rFonts w:ascii="ITC Avant Garde" w:hAnsi="ITC Avant Garde"/>
          <w:bCs/>
          <w:sz w:val="22"/>
          <w:szCs w:val="22"/>
        </w:rPr>
        <w:t>convenio</w:t>
      </w:r>
      <w:r w:rsidRPr="00F7548C">
        <w:rPr>
          <w:rFonts w:ascii="ITC Avant Garde" w:hAnsi="ITC Avant Garde"/>
          <w:bCs/>
          <w:sz w:val="22"/>
          <w:szCs w:val="22"/>
        </w:rPr>
        <w:t>s</w:t>
      </w:r>
      <w:r w:rsidR="0071127F" w:rsidRPr="00F7548C">
        <w:rPr>
          <w:rFonts w:ascii="ITC Avant Garde" w:hAnsi="ITC Avant Garde"/>
          <w:bCs/>
          <w:sz w:val="22"/>
          <w:szCs w:val="22"/>
        </w:rPr>
        <w:t xml:space="preserve"> entre la CFE y Telecomunicaciones de México para el Acceso y Uso de Infraestructura debe</w:t>
      </w:r>
      <w:r w:rsidRPr="00F7548C">
        <w:rPr>
          <w:rFonts w:ascii="ITC Avant Garde" w:hAnsi="ITC Avant Garde"/>
          <w:bCs/>
          <w:sz w:val="22"/>
          <w:szCs w:val="22"/>
        </w:rPr>
        <w:t>rán</w:t>
      </w:r>
      <w:r w:rsidR="0071127F" w:rsidRPr="00F7548C">
        <w:rPr>
          <w:rFonts w:ascii="ITC Avant Garde" w:hAnsi="ITC Avant Garde"/>
          <w:bCs/>
          <w:sz w:val="22"/>
          <w:szCs w:val="22"/>
        </w:rPr>
        <w:t xml:space="preserve"> incluir cuando menos los siguientes elementos:</w:t>
      </w:r>
    </w:p>
    <w:p w14:paraId="58D1CD0A"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p>
    <w:p w14:paraId="03B3D2ED"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 xml:space="preserve">Descripción y los niveles de disponibilidad para el </w:t>
      </w:r>
      <w:r w:rsidRPr="00F7548C">
        <w:rPr>
          <w:rFonts w:ascii="ITC Avant Garde" w:hAnsi="ITC Avant Garde"/>
          <w:sz w:val="22"/>
          <w:szCs w:val="22"/>
        </w:rPr>
        <w:t>Acceso y Uso de Infraestructura</w:t>
      </w:r>
      <w:r w:rsidRPr="00F7548C">
        <w:rPr>
          <w:rFonts w:ascii="ITC Avant Garde" w:hAnsi="ITC Avant Garde"/>
          <w:bCs/>
          <w:sz w:val="22"/>
          <w:szCs w:val="22"/>
        </w:rPr>
        <w:t>;</w:t>
      </w:r>
    </w:p>
    <w:p w14:paraId="7B559E38"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Especificaciones técnicas requeridas para el Acceso y Uso de Infraestructura, entre ellas los protocolos, manuales, procedimientos y cualquier otro que sea necesario;</w:t>
      </w:r>
    </w:p>
    <w:p w14:paraId="0B36DEDA"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 xml:space="preserve">Precios desagregados por cada uno de los servicios y/o elementos de </w:t>
      </w:r>
      <w:r w:rsidRPr="00F7548C">
        <w:rPr>
          <w:rFonts w:ascii="ITC Avant Garde" w:hAnsi="ITC Avant Garde"/>
          <w:sz w:val="22"/>
          <w:szCs w:val="22"/>
        </w:rPr>
        <w:t>Acceso y Uso de Infraestructura</w:t>
      </w:r>
      <w:r w:rsidRPr="00F7548C">
        <w:rPr>
          <w:rFonts w:ascii="ITC Avant Garde" w:hAnsi="ITC Avant Garde"/>
          <w:bCs/>
          <w:sz w:val="22"/>
          <w:szCs w:val="22"/>
        </w:rPr>
        <w:t>, así como su vigencia y las unidades de cobro;</w:t>
      </w:r>
    </w:p>
    <w:p w14:paraId="274B3AC6"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sz w:val="22"/>
          <w:szCs w:val="22"/>
        </w:rPr>
        <w:lastRenderedPageBreak/>
        <w:t>Mecanismos que permitan compartir información actualizada para el Acceso y Uso de Infraestructura;</w:t>
      </w:r>
    </w:p>
    <w:p w14:paraId="6E384C0B" w14:textId="3154C9BB"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Penas convencionales aplicables</w:t>
      </w:r>
      <w:r w:rsidR="007C2C60" w:rsidRPr="00F7548C">
        <w:rPr>
          <w:rFonts w:ascii="ITC Avant Garde" w:hAnsi="ITC Avant Garde"/>
          <w:bCs/>
          <w:sz w:val="22"/>
          <w:szCs w:val="22"/>
        </w:rPr>
        <w:t>, razonables</w:t>
      </w:r>
      <w:r w:rsidRPr="00F7548C">
        <w:rPr>
          <w:rFonts w:ascii="ITC Avant Garde" w:hAnsi="ITC Avant Garde"/>
          <w:bCs/>
          <w:sz w:val="22"/>
          <w:szCs w:val="22"/>
        </w:rPr>
        <w:t xml:space="preserve"> y proporcionales al incumplimiento respecto al </w:t>
      </w:r>
      <w:r w:rsidRPr="00F7548C">
        <w:rPr>
          <w:rFonts w:ascii="ITC Avant Garde" w:hAnsi="ITC Avant Garde"/>
          <w:sz w:val="22"/>
          <w:szCs w:val="22"/>
        </w:rPr>
        <w:t>Acceso y Uso de Infraestructura</w:t>
      </w:r>
      <w:r w:rsidRPr="00F7548C">
        <w:rPr>
          <w:rFonts w:ascii="ITC Avant Garde" w:hAnsi="ITC Avant Garde"/>
          <w:bCs/>
          <w:sz w:val="22"/>
          <w:szCs w:val="22"/>
        </w:rPr>
        <w:t>;</w:t>
      </w:r>
    </w:p>
    <w:p w14:paraId="6A630FF5" w14:textId="2980C925"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 xml:space="preserve">Elementos </w:t>
      </w:r>
      <w:r w:rsidR="00CB3ACE">
        <w:rPr>
          <w:rFonts w:ascii="ITC Avant Garde" w:hAnsi="ITC Avant Garde"/>
          <w:bCs/>
          <w:sz w:val="22"/>
          <w:szCs w:val="22"/>
        </w:rPr>
        <w:t xml:space="preserve">y servicios </w:t>
      </w:r>
      <w:r w:rsidRPr="00F7548C">
        <w:rPr>
          <w:rFonts w:ascii="ITC Avant Garde" w:hAnsi="ITC Avant Garde"/>
          <w:bCs/>
          <w:sz w:val="22"/>
          <w:szCs w:val="22"/>
        </w:rPr>
        <w:t>que son objeto del Acceso y Uso de Infraestructura a comercializarse de forma desagregada, de tal manera que no se deba pagar por elementos</w:t>
      </w:r>
      <w:r w:rsidR="00CB3ACE">
        <w:rPr>
          <w:rFonts w:ascii="ITC Avant Garde" w:hAnsi="ITC Avant Garde"/>
          <w:bCs/>
          <w:sz w:val="22"/>
          <w:szCs w:val="22"/>
        </w:rPr>
        <w:t>, servicios</w:t>
      </w:r>
      <w:r w:rsidRPr="00F7548C">
        <w:rPr>
          <w:rFonts w:ascii="ITC Avant Garde" w:hAnsi="ITC Avant Garde"/>
          <w:bCs/>
          <w:sz w:val="22"/>
          <w:szCs w:val="22"/>
        </w:rPr>
        <w:t xml:space="preserve"> o instalaciones de la red que no se necesiten;</w:t>
      </w:r>
    </w:p>
    <w:p w14:paraId="38532E73" w14:textId="4CB16124"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 xml:space="preserve">Mecanismos que permitan asegurar la identificación de cada uno de los elementos </w:t>
      </w:r>
      <w:r w:rsidR="00CB3ACE">
        <w:rPr>
          <w:rFonts w:ascii="ITC Avant Garde" w:hAnsi="ITC Avant Garde"/>
          <w:bCs/>
          <w:sz w:val="22"/>
          <w:szCs w:val="22"/>
        </w:rPr>
        <w:t xml:space="preserve">y servicios </w:t>
      </w:r>
      <w:r w:rsidRPr="00F7548C">
        <w:rPr>
          <w:rFonts w:ascii="ITC Avant Garde" w:hAnsi="ITC Avant Garde"/>
          <w:bCs/>
          <w:sz w:val="22"/>
          <w:szCs w:val="22"/>
        </w:rPr>
        <w:t>que son objeto del Acceso y Uso de Infraestructura que se puedan utilizar por parte de Telecomunicaciones de México;</w:t>
      </w:r>
    </w:p>
    <w:p w14:paraId="617232B0"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Condiciones para mantener en óptimas condiciones técnicas y operativas los elementos que son objeto del Acceso y Uso de Infraestructura;</w:t>
      </w:r>
    </w:p>
    <w:p w14:paraId="6D873787"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Procedimientos y precios de mantenimiento, modificaciones y ampliaciones de su infraestructura;</w:t>
      </w:r>
    </w:p>
    <w:p w14:paraId="3E207E1F" w14:textId="5583B73D" w:rsidR="0071127F" w:rsidRPr="00F7548C" w:rsidRDefault="00D370FB"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Pr>
          <w:rFonts w:ascii="ITC Avant Garde" w:hAnsi="ITC Avant Garde"/>
          <w:bCs/>
          <w:sz w:val="22"/>
          <w:szCs w:val="22"/>
        </w:rPr>
        <w:t>Parámetros</w:t>
      </w:r>
      <w:r w:rsidR="0071127F" w:rsidRPr="00F7548C">
        <w:rPr>
          <w:rFonts w:ascii="ITC Avant Garde" w:hAnsi="ITC Avant Garde"/>
          <w:bCs/>
          <w:sz w:val="22"/>
          <w:szCs w:val="22"/>
        </w:rPr>
        <w:t xml:space="preserve"> de calidad; </w:t>
      </w:r>
    </w:p>
    <w:p w14:paraId="4DE05E5C"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Procedimientos y plazos aplicables para la reparación de fallas y gestión de incidencias;</w:t>
      </w:r>
    </w:p>
    <w:p w14:paraId="5737C1F9"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Procedimientos de notificación en caso fortuito, de fuerza mayor, o durante periodos de emergencia;</w:t>
      </w:r>
    </w:p>
    <w:p w14:paraId="1301B293" w14:textId="71277AAB"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 xml:space="preserve">Procedimientos y criterios para la habilitación de nueva Infraestructura de la CFE o complementar la ya existente; así como </w:t>
      </w:r>
      <w:r w:rsidR="00CB3ACE">
        <w:rPr>
          <w:rFonts w:ascii="ITC Avant Garde" w:hAnsi="ITC Avant Garde"/>
          <w:bCs/>
          <w:sz w:val="22"/>
          <w:szCs w:val="22"/>
        </w:rPr>
        <w:t>para</w:t>
      </w:r>
      <w:r w:rsidRPr="00F7548C">
        <w:rPr>
          <w:rFonts w:ascii="ITC Avant Garde" w:hAnsi="ITC Avant Garde"/>
          <w:bCs/>
          <w:sz w:val="22"/>
          <w:szCs w:val="22"/>
        </w:rPr>
        <w:t xml:space="preserve"> la recuperación de infraestructura o ampliación de espacios, espacios saturados e inversiones conjuntas;</w:t>
      </w:r>
    </w:p>
    <w:p w14:paraId="1C9C3595"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Plazos y procedimientos específicos para la entrega de los servicios de Acceso y Uso de Infraestructura, realización de Visitas Técnicas y la emisión de dictámenes de factibilidad;</w:t>
      </w:r>
    </w:p>
    <w:p w14:paraId="7E1E7A71"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Procedimientos de conciliación y facturación relativa al Acceso y Uso de Infraestructura, con el nivel suficiente de detalle y desagregación;</w:t>
      </w:r>
    </w:p>
    <w:p w14:paraId="74811490"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 xml:space="preserve">Procedimientos que permitan la revisión y actualización  de las condiciones ya contratadas en caso de que las mismas se vean afectadas por temas </w:t>
      </w:r>
      <w:r w:rsidRPr="00F7548C">
        <w:rPr>
          <w:rFonts w:ascii="ITC Avant Garde" w:hAnsi="ITC Avant Garde"/>
          <w:bCs/>
          <w:sz w:val="22"/>
          <w:szCs w:val="22"/>
        </w:rPr>
        <w:lastRenderedPageBreak/>
        <w:t>económicos, tecnológicos, de mercado o cualquier otra circunstancia que lo amerite;</w:t>
      </w:r>
    </w:p>
    <w:p w14:paraId="465B3904"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sz w:val="22"/>
          <w:szCs w:val="22"/>
        </w:rPr>
      </w:pPr>
      <w:r w:rsidRPr="00F7548C">
        <w:rPr>
          <w:rFonts w:ascii="ITC Avant Garde" w:hAnsi="ITC Avant Garde"/>
          <w:sz w:val="22"/>
          <w:szCs w:val="22"/>
        </w:rPr>
        <w:t xml:space="preserve">Procedimientos que permitan actualizar los convenios en caso de que la CFE ofrezca mejores precios, y que las condiciones sean equivalentes a otros solicitantes, y </w:t>
      </w:r>
    </w:p>
    <w:p w14:paraId="0AC1C26E" w14:textId="77777777" w:rsidR="0071127F" w:rsidRPr="00F7548C" w:rsidRDefault="0071127F" w:rsidP="005B2961">
      <w:pPr>
        <w:pStyle w:val="estilo30"/>
        <w:numPr>
          <w:ilvl w:val="0"/>
          <w:numId w:val="18"/>
        </w:numPr>
        <w:spacing w:before="24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Procedimientos adicionales que sean necesarios para el Acceso y Uso de Infraestructura.</w:t>
      </w:r>
    </w:p>
    <w:p w14:paraId="5AF24509" w14:textId="77777777" w:rsidR="00DD780C" w:rsidRPr="00F7548C" w:rsidRDefault="00DD780C" w:rsidP="00DD780C">
      <w:pPr>
        <w:pStyle w:val="estilo30"/>
        <w:spacing w:before="0" w:beforeAutospacing="0" w:after="0" w:afterAutospacing="0" w:line="276" w:lineRule="auto"/>
        <w:jc w:val="both"/>
        <w:rPr>
          <w:rFonts w:ascii="ITC Avant Garde" w:hAnsi="ITC Avant Garde"/>
          <w:bCs/>
          <w:sz w:val="22"/>
          <w:szCs w:val="22"/>
        </w:rPr>
      </w:pPr>
    </w:p>
    <w:p w14:paraId="36924A60" w14:textId="265C66CC" w:rsidR="00D12268" w:rsidRDefault="00EE440C" w:rsidP="0071127F">
      <w:pPr>
        <w:pStyle w:val="estilo30"/>
        <w:spacing w:before="0" w:beforeAutospacing="0" w:after="0" w:afterAutospacing="0" w:line="276" w:lineRule="auto"/>
        <w:jc w:val="both"/>
        <w:rPr>
          <w:rFonts w:ascii="ITC Avant Garde" w:hAnsi="ITC Avant Garde"/>
          <w:sz w:val="22"/>
          <w:szCs w:val="22"/>
        </w:rPr>
      </w:pPr>
      <w:r w:rsidRPr="008F3A76">
        <w:rPr>
          <w:rFonts w:ascii="ITC Avant Garde" w:hAnsi="ITC Avant Garde"/>
          <w:sz w:val="22"/>
          <w:szCs w:val="22"/>
        </w:rPr>
        <w:t>El I</w:t>
      </w:r>
      <w:r w:rsidRPr="000F3A6D">
        <w:rPr>
          <w:rFonts w:ascii="ITC Avant Garde" w:hAnsi="ITC Avant Garde"/>
          <w:sz w:val="22"/>
          <w:szCs w:val="22"/>
        </w:rPr>
        <w:t>nstituto resolverá los desacuerdos que en su caso se le presenten en el ámbito de sus atribuciones, sin perjuicio de la competencia que corresponda a otras autoridades.</w:t>
      </w:r>
      <w:r w:rsidR="00941765">
        <w:rPr>
          <w:rFonts w:ascii="ITC Avant Garde" w:hAnsi="ITC Avant Garde"/>
          <w:sz w:val="22"/>
          <w:szCs w:val="22"/>
        </w:rPr>
        <w:t xml:space="preserve"> </w:t>
      </w:r>
    </w:p>
    <w:p w14:paraId="253C2456" w14:textId="77777777" w:rsidR="00D12268" w:rsidRDefault="00D12268" w:rsidP="0071127F">
      <w:pPr>
        <w:pStyle w:val="estilo30"/>
        <w:spacing w:before="0" w:beforeAutospacing="0" w:after="0" w:afterAutospacing="0" w:line="276" w:lineRule="auto"/>
        <w:jc w:val="both"/>
        <w:rPr>
          <w:rFonts w:ascii="ITC Avant Garde" w:hAnsi="ITC Avant Garde"/>
          <w:sz w:val="22"/>
          <w:szCs w:val="22"/>
        </w:rPr>
      </w:pPr>
    </w:p>
    <w:p w14:paraId="0934BB06" w14:textId="67F0BA6B" w:rsidR="0071127F" w:rsidRPr="00F7548C" w:rsidRDefault="00DD780C" w:rsidP="0071127F">
      <w:pPr>
        <w:pStyle w:val="estilo30"/>
        <w:spacing w:before="0" w:beforeAutospacing="0" w:after="0" w:afterAutospacing="0" w:line="276" w:lineRule="auto"/>
        <w:jc w:val="both"/>
        <w:rPr>
          <w:rFonts w:ascii="ITC Avant Garde" w:hAnsi="ITC Avant Garde"/>
          <w:sz w:val="22"/>
          <w:szCs w:val="22"/>
        </w:rPr>
      </w:pPr>
      <w:r w:rsidRPr="00F7548C">
        <w:rPr>
          <w:rFonts w:ascii="ITC Avant Garde" w:hAnsi="ITC Avant Garde"/>
          <w:sz w:val="22"/>
          <w:szCs w:val="22"/>
        </w:rPr>
        <w:t xml:space="preserve">Telecomunicaciones de México deberá informar a la CFE, sobre los pronósticos de demanda de servicios para los dos años inmediatos siguientes, tendencias de tecnologías y otra información que considere relevante. De esta forma dicha información podrá ser analizada dentro de los procesos de ampliación y modernización de las  redes eléctricas, de conformidad con los principios establecidos en la Ley de la Industria Eléctrica. Dicho informe deberá presentarse por parte de Telecomunicaciones de México, durante el mes de </w:t>
      </w:r>
      <w:r w:rsidR="00A70965" w:rsidRPr="00F7548C">
        <w:rPr>
          <w:rFonts w:ascii="ITC Avant Garde" w:hAnsi="ITC Avant Garde"/>
          <w:sz w:val="22"/>
          <w:szCs w:val="22"/>
        </w:rPr>
        <w:t>junio</w:t>
      </w:r>
      <w:r w:rsidRPr="00F7548C">
        <w:rPr>
          <w:rFonts w:ascii="ITC Avant Garde" w:hAnsi="ITC Avant Garde"/>
          <w:sz w:val="22"/>
          <w:szCs w:val="22"/>
        </w:rPr>
        <w:t xml:space="preserve"> de cada año.</w:t>
      </w:r>
    </w:p>
    <w:p w14:paraId="46F78116" w14:textId="77777777" w:rsidR="0071127F" w:rsidRPr="00F7548C" w:rsidRDefault="0071127F" w:rsidP="0071127F">
      <w:pPr>
        <w:pStyle w:val="estilo30"/>
        <w:spacing w:before="0" w:beforeAutospacing="0" w:after="0" w:afterAutospacing="0" w:line="276" w:lineRule="auto"/>
        <w:jc w:val="both"/>
        <w:rPr>
          <w:rFonts w:ascii="ITC Avant Garde" w:hAnsi="ITC Avant Garde"/>
          <w:sz w:val="22"/>
          <w:szCs w:val="22"/>
        </w:rPr>
      </w:pPr>
    </w:p>
    <w:p w14:paraId="202013C4" w14:textId="209A2E4E" w:rsidR="0071127F" w:rsidRPr="00F7548C" w:rsidRDefault="0071127F" w:rsidP="0071127F">
      <w:pPr>
        <w:pStyle w:val="estilo30"/>
        <w:spacing w:before="0" w:beforeAutospacing="0" w:after="0" w:afterAutospacing="0" w:line="276" w:lineRule="auto"/>
        <w:jc w:val="both"/>
        <w:rPr>
          <w:rFonts w:ascii="ITC Avant Garde" w:hAnsi="ITC Avant Garde"/>
          <w:b/>
          <w:bCs/>
          <w:sz w:val="22"/>
          <w:szCs w:val="22"/>
        </w:rPr>
      </w:pPr>
      <w:r w:rsidRPr="00F7548C">
        <w:rPr>
          <w:rFonts w:ascii="ITC Avant Garde" w:hAnsi="ITC Avant Garde"/>
          <w:bCs/>
          <w:sz w:val="22"/>
          <w:szCs w:val="22"/>
        </w:rPr>
        <w:t xml:space="preserve">Telecomunicaciones de México deberá notificar al Instituto los convenios suscritos con la CFE para el </w:t>
      </w:r>
      <w:r w:rsidRPr="00F7548C">
        <w:rPr>
          <w:rFonts w:ascii="ITC Avant Garde" w:hAnsi="ITC Avant Garde"/>
          <w:sz w:val="22"/>
          <w:szCs w:val="22"/>
        </w:rPr>
        <w:t xml:space="preserve">Acceso y Uso de Infraestructura, dentro de los </w:t>
      </w:r>
      <w:r w:rsidR="004B6614">
        <w:rPr>
          <w:rFonts w:ascii="ITC Avant Garde" w:hAnsi="ITC Avant Garde"/>
          <w:sz w:val="22"/>
          <w:szCs w:val="22"/>
        </w:rPr>
        <w:t>treinta</w:t>
      </w:r>
      <w:r w:rsidRPr="00F7548C">
        <w:rPr>
          <w:rFonts w:ascii="ITC Avant Garde" w:hAnsi="ITC Avant Garde"/>
          <w:sz w:val="22"/>
          <w:szCs w:val="22"/>
        </w:rPr>
        <w:t xml:space="preserve"> (</w:t>
      </w:r>
      <w:r w:rsidR="004B6614">
        <w:rPr>
          <w:rFonts w:ascii="ITC Avant Garde" w:hAnsi="ITC Avant Garde"/>
          <w:sz w:val="22"/>
          <w:szCs w:val="22"/>
        </w:rPr>
        <w:t>treinta</w:t>
      </w:r>
      <w:r w:rsidRPr="00F7548C">
        <w:rPr>
          <w:rFonts w:ascii="ITC Avant Garde" w:hAnsi="ITC Avant Garde"/>
          <w:sz w:val="22"/>
          <w:szCs w:val="22"/>
        </w:rPr>
        <w:t>) días hábiles siguientes a su celebración, mismos que deberán ser inscritos en el Registro Público de Concesiones</w:t>
      </w:r>
      <w:r w:rsidR="002C175C">
        <w:rPr>
          <w:rFonts w:ascii="ITC Avant Garde" w:hAnsi="ITC Avant Garde"/>
          <w:sz w:val="22"/>
          <w:szCs w:val="22"/>
        </w:rPr>
        <w:t xml:space="preserve"> dentro del mismo plazo</w:t>
      </w:r>
      <w:r w:rsidRPr="00F7548C">
        <w:rPr>
          <w:rFonts w:ascii="ITC Avant Garde" w:hAnsi="ITC Avant Garde"/>
          <w:bCs/>
          <w:sz w:val="22"/>
          <w:szCs w:val="22"/>
        </w:rPr>
        <w:t>.</w:t>
      </w:r>
    </w:p>
    <w:p w14:paraId="09A319D4"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p>
    <w:p w14:paraId="51228267" w14:textId="5A5AF238"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
          <w:bCs/>
          <w:sz w:val="22"/>
          <w:szCs w:val="22"/>
        </w:rPr>
        <w:t xml:space="preserve">Artículo 8.- </w:t>
      </w:r>
      <w:r w:rsidRPr="00F7548C">
        <w:rPr>
          <w:rFonts w:ascii="ITC Avant Garde" w:hAnsi="ITC Avant Garde"/>
          <w:bCs/>
          <w:sz w:val="22"/>
          <w:szCs w:val="22"/>
        </w:rPr>
        <w:t>La CFE y Telecomunicaciones de México deberán evitar en todo momento la realización de actividades que pongan en riesgo</w:t>
      </w:r>
      <w:r w:rsidR="00A70965" w:rsidRPr="00F7548C">
        <w:rPr>
          <w:rFonts w:ascii="ITC Avant Garde" w:hAnsi="ITC Avant Garde"/>
          <w:bCs/>
          <w:sz w:val="22"/>
          <w:szCs w:val="22"/>
        </w:rPr>
        <w:t xml:space="preserve"> la seguridad y continuidad del suministro de </w:t>
      </w:r>
      <w:r w:rsidRPr="00F7548C">
        <w:rPr>
          <w:rFonts w:ascii="ITC Avant Garde" w:hAnsi="ITC Avant Garde"/>
          <w:bCs/>
          <w:sz w:val="22"/>
          <w:szCs w:val="22"/>
        </w:rPr>
        <w:t xml:space="preserve">energía eléctrica. </w:t>
      </w:r>
    </w:p>
    <w:p w14:paraId="52B872FC" w14:textId="191008F9"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En los procedimientos de operación, mantenimiento, actualización y crecimiento de</w:t>
      </w:r>
      <w:r w:rsidR="00434664">
        <w:rPr>
          <w:rFonts w:ascii="ITC Avant Garde" w:hAnsi="ITC Avant Garde"/>
          <w:bCs/>
          <w:sz w:val="22"/>
          <w:szCs w:val="22"/>
        </w:rPr>
        <w:t xml:space="preserve"> </w:t>
      </w:r>
      <w:r w:rsidRPr="00F7548C">
        <w:rPr>
          <w:rFonts w:ascii="ITC Avant Garde" w:hAnsi="ITC Avant Garde"/>
          <w:bCs/>
          <w:sz w:val="22"/>
          <w:szCs w:val="22"/>
        </w:rPr>
        <w:t>l</w:t>
      </w:r>
      <w:r w:rsidR="00434664">
        <w:rPr>
          <w:rFonts w:ascii="ITC Avant Garde" w:hAnsi="ITC Avant Garde"/>
          <w:bCs/>
          <w:sz w:val="22"/>
          <w:szCs w:val="22"/>
        </w:rPr>
        <w:t>a red utilizada para el</w:t>
      </w:r>
      <w:r w:rsidRPr="00F7548C">
        <w:rPr>
          <w:rFonts w:ascii="ITC Avant Garde" w:hAnsi="ITC Avant Garde"/>
          <w:bCs/>
          <w:sz w:val="22"/>
          <w:szCs w:val="22"/>
        </w:rPr>
        <w:t xml:space="preserve"> Acceso y Uso de Infraestructura, deberá </w:t>
      </w:r>
      <w:r w:rsidR="00A70965" w:rsidRPr="00F7548C">
        <w:rPr>
          <w:rFonts w:ascii="ITC Avant Garde" w:hAnsi="ITC Avant Garde"/>
          <w:bCs/>
          <w:sz w:val="22"/>
          <w:szCs w:val="22"/>
        </w:rPr>
        <w:t xml:space="preserve">prevalecer el principio de mantener la seguridad y continuidad de la </w:t>
      </w:r>
      <w:r w:rsidRPr="00F7548C">
        <w:rPr>
          <w:rFonts w:ascii="ITC Avant Garde" w:hAnsi="ITC Avant Garde"/>
          <w:bCs/>
          <w:sz w:val="22"/>
          <w:szCs w:val="22"/>
        </w:rPr>
        <w:t xml:space="preserve">prestación del Servicio Público de Transmisión y Distribución de Energía Eléctrica a través de la infraestructura del sistema eléctrico nacional. Telecomunicaciones de México estará obligado a cumplir con la normatividad </w:t>
      </w:r>
      <w:r w:rsidR="007C2C60" w:rsidRPr="00F7548C">
        <w:rPr>
          <w:rFonts w:ascii="ITC Avant Garde" w:hAnsi="ITC Avant Garde"/>
          <w:bCs/>
          <w:sz w:val="22"/>
          <w:szCs w:val="22"/>
        </w:rPr>
        <w:t xml:space="preserve">aplicable </w:t>
      </w:r>
      <w:r w:rsidRPr="00F7548C">
        <w:rPr>
          <w:rFonts w:ascii="ITC Avant Garde" w:hAnsi="ITC Avant Garde"/>
          <w:bCs/>
          <w:sz w:val="22"/>
          <w:szCs w:val="22"/>
        </w:rPr>
        <w:t>que emita la Comisión Reguladora de Energía,</w:t>
      </w:r>
      <w:r w:rsidR="00A70965" w:rsidRPr="00F7548C">
        <w:rPr>
          <w:rFonts w:ascii="ITC Avant Garde" w:hAnsi="ITC Avant Garde"/>
          <w:bCs/>
          <w:sz w:val="22"/>
          <w:szCs w:val="22"/>
        </w:rPr>
        <w:t xml:space="preserve"> disposiciones técnicas de la CFE</w:t>
      </w:r>
      <w:r w:rsidRPr="00F7548C">
        <w:rPr>
          <w:rFonts w:ascii="ITC Avant Garde" w:hAnsi="ITC Avant Garde"/>
          <w:bCs/>
          <w:sz w:val="22"/>
          <w:szCs w:val="22"/>
        </w:rPr>
        <w:t xml:space="preserve"> o cualquier otra autoridad competente en materia de seguridad</w:t>
      </w:r>
      <w:r w:rsidR="00A70965" w:rsidRPr="00F7548C">
        <w:rPr>
          <w:rFonts w:ascii="ITC Avant Garde" w:hAnsi="ITC Avant Garde"/>
          <w:bCs/>
          <w:sz w:val="22"/>
          <w:szCs w:val="22"/>
        </w:rPr>
        <w:t xml:space="preserve"> y continuidad</w:t>
      </w:r>
      <w:r w:rsidRPr="00F7548C">
        <w:rPr>
          <w:rFonts w:ascii="ITC Avant Garde" w:hAnsi="ITC Avant Garde"/>
          <w:bCs/>
          <w:sz w:val="22"/>
          <w:szCs w:val="22"/>
        </w:rPr>
        <w:t>.</w:t>
      </w:r>
    </w:p>
    <w:p w14:paraId="0920110E"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p>
    <w:p w14:paraId="2E3B01F4" w14:textId="0F122893"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lastRenderedPageBreak/>
        <w:t>En caso de que exista riesgo de que algún acontecimiento afecte la prestación de alguno o de ambos servicios, ya sea paro, obra o cualquier otra actividad</w:t>
      </w:r>
      <w:r w:rsidR="00FB084A">
        <w:rPr>
          <w:rFonts w:ascii="ITC Avant Garde" w:hAnsi="ITC Avant Garde"/>
          <w:bCs/>
          <w:sz w:val="22"/>
          <w:szCs w:val="22"/>
        </w:rPr>
        <w:t xml:space="preserve"> previsible</w:t>
      </w:r>
      <w:r w:rsidRPr="00F7548C">
        <w:rPr>
          <w:rFonts w:ascii="ITC Avant Garde" w:hAnsi="ITC Avant Garde"/>
          <w:bCs/>
          <w:sz w:val="22"/>
          <w:szCs w:val="22"/>
        </w:rPr>
        <w:t xml:space="preserve">, </w:t>
      </w:r>
      <w:r w:rsidR="00FB084A">
        <w:rPr>
          <w:rFonts w:ascii="ITC Avant Garde" w:hAnsi="ITC Avant Garde"/>
          <w:bCs/>
          <w:sz w:val="22"/>
          <w:szCs w:val="22"/>
        </w:rPr>
        <w:t xml:space="preserve">CFE y Telecomunicaciones de México </w:t>
      </w:r>
      <w:r w:rsidRPr="00F7548C">
        <w:rPr>
          <w:rFonts w:ascii="ITC Avant Garde" w:hAnsi="ITC Avant Garde"/>
          <w:bCs/>
          <w:sz w:val="22"/>
          <w:szCs w:val="22"/>
        </w:rPr>
        <w:t xml:space="preserve">deberán informarse mutuamente con al menos siete días hábiles de anticipación para tomar las medidas preventivas. </w:t>
      </w:r>
    </w:p>
    <w:p w14:paraId="28C6CC80"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p>
    <w:p w14:paraId="6DA022B0" w14:textId="5CC046CA"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
          <w:bCs/>
          <w:sz w:val="22"/>
          <w:szCs w:val="22"/>
        </w:rPr>
        <w:t>Artículo 9.-</w:t>
      </w:r>
      <w:r w:rsidRPr="00F7548C">
        <w:rPr>
          <w:rFonts w:ascii="ITC Avant Garde" w:hAnsi="ITC Avant Garde"/>
          <w:bCs/>
          <w:sz w:val="22"/>
          <w:szCs w:val="22"/>
        </w:rPr>
        <w:t xml:space="preserve"> La CFE deberá asegurar el mantenimiento de los elementos puestos a disposición de Telecomunicaciones de México a través de una </w:t>
      </w:r>
      <w:r w:rsidR="00A70965" w:rsidRPr="00F7548C">
        <w:rPr>
          <w:rFonts w:ascii="ITC Avant Garde" w:hAnsi="ITC Avant Garde"/>
          <w:bCs/>
          <w:sz w:val="22"/>
          <w:szCs w:val="22"/>
        </w:rPr>
        <w:t>remuneración justa</w:t>
      </w:r>
      <w:r w:rsidRPr="00F7548C">
        <w:rPr>
          <w:rFonts w:ascii="ITC Avant Garde" w:hAnsi="ITC Avant Garde"/>
          <w:bCs/>
          <w:sz w:val="22"/>
          <w:szCs w:val="22"/>
        </w:rPr>
        <w:t>, a fin de garantizar la continuidad en el Acceso y Uso de Infraestructura. Asimismo, la CFE y Telecomunicaciones de México deberán establecer y asegurar que los procedimientos para las solicitudes de servicios, mantenimiento de la infraestructura, reporte de fallas e incidencias</w:t>
      </w:r>
      <w:r w:rsidR="00A70965" w:rsidRPr="00F7548C">
        <w:rPr>
          <w:rFonts w:ascii="ITC Avant Garde" w:hAnsi="ITC Avant Garde"/>
          <w:bCs/>
          <w:sz w:val="22"/>
          <w:szCs w:val="22"/>
        </w:rPr>
        <w:t xml:space="preserve"> sobre esa infraestructura</w:t>
      </w:r>
      <w:r w:rsidRPr="00F7548C">
        <w:rPr>
          <w:rFonts w:ascii="ITC Avant Garde" w:hAnsi="ITC Avant Garde"/>
          <w:bCs/>
          <w:sz w:val="22"/>
          <w:szCs w:val="22"/>
        </w:rPr>
        <w:t xml:space="preserve">, entre otros que sean necesarios para el </w:t>
      </w:r>
      <w:r w:rsidRPr="00F7548C">
        <w:rPr>
          <w:rFonts w:ascii="ITC Avant Garde" w:hAnsi="ITC Avant Garde"/>
          <w:sz w:val="22"/>
          <w:szCs w:val="22"/>
        </w:rPr>
        <w:t>Acceso y Uso de Infraestructura</w:t>
      </w:r>
      <w:r w:rsidRPr="00F7548C">
        <w:rPr>
          <w:rFonts w:ascii="ITC Avant Garde" w:hAnsi="ITC Avant Garde"/>
          <w:bCs/>
          <w:sz w:val="22"/>
          <w:szCs w:val="22"/>
        </w:rPr>
        <w:t>, sean suficientemente detallados y consistentes con las mejores prácticas internacionales.</w:t>
      </w:r>
    </w:p>
    <w:p w14:paraId="335FB220"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p>
    <w:p w14:paraId="79413696"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
          <w:bCs/>
          <w:sz w:val="22"/>
          <w:szCs w:val="22"/>
        </w:rPr>
        <w:t>Artículo 10.-</w:t>
      </w:r>
      <w:r w:rsidRPr="00F7548C">
        <w:rPr>
          <w:rFonts w:ascii="ITC Avant Garde" w:hAnsi="ITC Avant Garde"/>
          <w:bCs/>
          <w:sz w:val="22"/>
          <w:szCs w:val="22"/>
        </w:rPr>
        <w:t xml:space="preserve"> Telecomunicaciones de México no podrá emplear equipos, tecnologías o métodos de operación que interfieran o afecten la provisión del servicio de energía eléctrica, y será responsable por el daño y/o perjuicio causado por sus sistemas y/o personal al emplear los referidos equipos, tecnologías o métodos de operación.</w:t>
      </w:r>
    </w:p>
    <w:p w14:paraId="55D804D6" w14:textId="77777777"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p>
    <w:p w14:paraId="5B3E78C1" w14:textId="5768AA71"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
          <w:bCs/>
          <w:sz w:val="22"/>
          <w:szCs w:val="22"/>
        </w:rPr>
        <w:t>Artículo 11.</w:t>
      </w:r>
      <w:r w:rsidRPr="00F7548C">
        <w:rPr>
          <w:rFonts w:ascii="ITC Avant Garde" w:hAnsi="ITC Avant Garde"/>
          <w:bCs/>
          <w:sz w:val="22"/>
          <w:szCs w:val="22"/>
        </w:rPr>
        <w:t xml:space="preserve">- En caso de que Telecomunicaciones de México contrate o subcontrate con terceros una o más actividades relacionadas con el Acceso y Uso de Infraestructura, deberá asegurarse que la contratación o subcontratación se apegue a todos y cada uno de los términos contractuales con la CFE, y que los terceros contratados o subcontratados cumplan con lo dispuesto en los presentes Lineamientos, la normatividad técnica y demás disposiciones aplicables. </w:t>
      </w:r>
      <w:r w:rsidR="00A70965" w:rsidRPr="00F7548C">
        <w:rPr>
          <w:rFonts w:ascii="ITC Avant Garde" w:hAnsi="ITC Avant Garde"/>
          <w:bCs/>
          <w:sz w:val="22"/>
          <w:szCs w:val="22"/>
        </w:rPr>
        <w:t>Telecomunicaciones de México será solidariamente responsable de cualquier incumplimiento por parte de dichos terceros.</w:t>
      </w:r>
    </w:p>
    <w:p w14:paraId="06AB7D5A" w14:textId="77777777" w:rsidR="0071127F" w:rsidRPr="00F7548C" w:rsidRDefault="0071127F" w:rsidP="0071127F">
      <w:pPr>
        <w:pStyle w:val="estilo30"/>
        <w:spacing w:line="276" w:lineRule="auto"/>
        <w:jc w:val="both"/>
        <w:rPr>
          <w:rFonts w:ascii="ITC Avant Garde" w:hAnsi="ITC Avant Garde"/>
          <w:bCs/>
          <w:sz w:val="22"/>
          <w:szCs w:val="22"/>
        </w:rPr>
      </w:pPr>
      <w:r w:rsidRPr="00F7548C">
        <w:rPr>
          <w:rFonts w:ascii="ITC Avant Garde" w:hAnsi="ITC Avant Garde"/>
          <w:b/>
          <w:sz w:val="22"/>
          <w:szCs w:val="22"/>
        </w:rPr>
        <w:t>Artículo 12.-</w:t>
      </w:r>
      <w:r w:rsidRPr="00F7548C">
        <w:rPr>
          <w:rFonts w:ascii="ITC Avant Garde" w:hAnsi="ITC Avant Garde"/>
          <w:bCs/>
          <w:sz w:val="22"/>
          <w:szCs w:val="22"/>
        </w:rPr>
        <w:t xml:space="preserve"> La CFE y Telecomunicaciones de México se obligan en todo momento a salvaguardar todos los elementos del Acceso y Uso de Infraestructura. </w:t>
      </w:r>
    </w:p>
    <w:p w14:paraId="7BF4951F" w14:textId="1299D6C1" w:rsidR="0071127F" w:rsidRPr="00F7548C" w:rsidRDefault="0071127F" w:rsidP="0071127F">
      <w:pPr>
        <w:pStyle w:val="estilo30"/>
        <w:spacing w:before="0" w:beforeAutospacing="0" w:after="0" w:afterAutospacing="0" w:line="276" w:lineRule="auto"/>
        <w:jc w:val="both"/>
        <w:rPr>
          <w:rFonts w:ascii="ITC Avant Garde" w:hAnsi="ITC Avant Garde"/>
          <w:bCs/>
          <w:sz w:val="22"/>
          <w:szCs w:val="22"/>
        </w:rPr>
      </w:pPr>
      <w:r w:rsidRPr="00F7548C">
        <w:rPr>
          <w:rFonts w:ascii="ITC Avant Garde" w:hAnsi="ITC Avant Garde"/>
          <w:bCs/>
          <w:sz w:val="22"/>
          <w:szCs w:val="22"/>
        </w:rPr>
        <w:t>En caso de que cualquier elemento instalado para el Acceso y Uso de Infraestructura esté causando daño o perjuicio a la misma o ponga en peligro la seguridad de las personas o de la propiedad, dicho elemento deberá ser retirad</w:t>
      </w:r>
      <w:r w:rsidR="00C36CE6">
        <w:rPr>
          <w:rFonts w:ascii="ITC Avant Garde" w:hAnsi="ITC Avant Garde"/>
          <w:bCs/>
          <w:sz w:val="22"/>
          <w:szCs w:val="22"/>
        </w:rPr>
        <w:t>o</w:t>
      </w:r>
      <w:r w:rsidRPr="00F7548C">
        <w:rPr>
          <w:rFonts w:ascii="ITC Avant Garde" w:hAnsi="ITC Avant Garde"/>
          <w:bCs/>
          <w:sz w:val="22"/>
          <w:szCs w:val="22"/>
        </w:rPr>
        <w:t xml:space="preserve">. La CFE y Telecomunicaciones de México deberán acordar la manera en que atenderán la situación de emergencia, así como la solución alternativa y correctiva </w:t>
      </w:r>
      <w:r w:rsidRPr="00F7548C">
        <w:rPr>
          <w:rFonts w:ascii="ITC Avant Garde" w:hAnsi="ITC Avant Garde"/>
          <w:bCs/>
          <w:sz w:val="22"/>
          <w:szCs w:val="22"/>
        </w:rPr>
        <w:lastRenderedPageBreak/>
        <w:t xml:space="preserve">que llevarán a cabo para garantizar la continuidad del Acceso y Uso de Infraestructura. </w:t>
      </w:r>
    </w:p>
    <w:p w14:paraId="323B8191" w14:textId="77777777" w:rsidR="0071127F" w:rsidRPr="00F7548C" w:rsidRDefault="0071127F" w:rsidP="0071127F">
      <w:pPr>
        <w:pStyle w:val="estilo30"/>
        <w:spacing w:before="0" w:beforeAutospacing="0" w:after="0" w:afterAutospacing="0" w:line="276" w:lineRule="auto"/>
        <w:jc w:val="both"/>
        <w:rPr>
          <w:rFonts w:ascii="ITC Avant Garde" w:hAnsi="ITC Avant Garde"/>
          <w:b/>
          <w:bCs/>
          <w:sz w:val="22"/>
          <w:szCs w:val="22"/>
        </w:rPr>
      </w:pPr>
    </w:p>
    <w:p w14:paraId="2FE65FD5" w14:textId="7E52BF25" w:rsidR="0071127F" w:rsidRPr="00F7548C" w:rsidRDefault="0071127F" w:rsidP="0071127F">
      <w:pPr>
        <w:spacing w:line="276" w:lineRule="auto"/>
        <w:jc w:val="both"/>
        <w:rPr>
          <w:rFonts w:ascii="ITC Avant Garde" w:hAnsi="ITC Avant Garde"/>
          <w:sz w:val="22"/>
          <w:szCs w:val="22"/>
        </w:rPr>
      </w:pPr>
      <w:r w:rsidRPr="00F7548C">
        <w:rPr>
          <w:rFonts w:ascii="ITC Avant Garde" w:hAnsi="ITC Avant Garde"/>
          <w:b/>
          <w:sz w:val="22"/>
          <w:szCs w:val="22"/>
        </w:rPr>
        <w:t>Artículo 1</w:t>
      </w:r>
      <w:r w:rsidR="00A70965" w:rsidRPr="00F7548C">
        <w:rPr>
          <w:rFonts w:ascii="ITC Avant Garde" w:hAnsi="ITC Avant Garde"/>
          <w:b/>
          <w:sz w:val="22"/>
          <w:szCs w:val="22"/>
        </w:rPr>
        <w:t>3</w:t>
      </w:r>
      <w:r w:rsidRPr="00F7548C">
        <w:rPr>
          <w:rFonts w:ascii="ITC Avant Garde" w:hAnsi="ITC Avant Garde"/>
          <w:sz w:val="22"/>
          <w:szCs w:val="22"/>
        </w:rPr>
        <w:t>.-</w:t>
      </w:r>
      <w:r w:rsidR="00C06C0C" w:rsidRPr="00C06C0C">
        <w:t xml:space="preserve"> </w:t>
      </w:r>
      <w:r w:rsidR="00C06C0C" w:rsidRPr="00C06C0C">
        <w:rPr>
          <w:rFonts w:ascii="ITC Avant Garde" w:hAnsi="ITC Avant Garde"/>
          <w:sz w:val="22"/>
          <w:szCs w:val="22"/>
        </w:rPr>
        <w:t>La CFE deberá celebrar convenios para el Acceso y Uso de Infraestructura con Telecomunicaciones de México en condiciones no discriminatorias respecto de terceros</w:t>
      </w:r>
      <w:r w:rsidR="00802459">
        <w:rPr>
          <w:rFonts w:ascii="ITC Avant Garde" w:hAnsi="ITC Avant Garde"/>
          <w:sz w:val="22"/>
          <w:szCs w:val="22"/>
        </w:rPr>
        <w:t>,</w:t>
      </w:r>
      <w:r w:rsidR="00C06C0C" w:rsidRPr="00C06C0C">
        <w:rPr>
          <w:rFonts w:ascii="ITC Avant Garde" w:hAnsi="ITC Avant Garde"/>
          <w:sz w:val="22"/>
          <w:szCs w:val="22"/>
        </w:rPr>
        <w:t xml:space="preserve"> a partir de la fecha en que lo solicite por escrito, lo anterior de conformidad con el artículo </w:t>
      </w:r>
      <w:r w:rsidR="00C06C0C">
        <w:rPr>
          <w:rFonts w:ascii="ITC Avant Garde" w:hAnsi="ITC Avant Garde"/>
          <w:sz w:val="22"/>
          <w:szCs w:val="22"/>
        </w:rPr>
        <w:t>7 de los presentes Lineamientos</w:t>
      </w:r>
      <w:r w:rsidRPr="00F7548C">
        <w:rPr>
          <w:rFonts w:ascii="ITC Avant Garde" w:hAnsi="ITC Avant Garde"/>
          <w:sz w:val="22"/>
          <w:szCs w:val="22"/>
        </w:rPr>
        <w:t>.</w:t>
      </w:r>
    </w:p>
    <w:p w14:paraId="33F74526" w14:textId="77777777" w:rsidR="0071127F" w:rsidRPr="00F7548C" w:rsidRDefault="0071127F" w:rsidP="0071127F">
      <w:pPr>
        <w:pStyle w:val="estilo30"/>
        <w:spacing w:before="0" w:beforeAutospacing="0" w:after="0" w:afterAutospacing="0" w:line="276" w:lineRule="auto"/>
        <w:jc w:val="both"/>
        <w:rPr>
          <w:rFonts w:ascii="ITC Avant Garde" w:hAnsi="ITC Avant Garde"/>
          <w:b/>
          <w:bCs/>
          <w:sz w:val="22"/>
          <w:szCs w:val="22"/>
        </w:rPr>
      </w:pPr>
    </w:p>
    <w:p w14:paraId="30248352" w14:textId="48C4A72B" w:rsidR="0071127F" w:rsidRPr="00F7548C" w:rsidRDefault="0071127F" w:rsidP="0071127F">
      <w:pPr>
        <w:spacing w:line="276" w:lineRule="auto"/>
        <w:jc w:val="both"/>
        <w:rPr>
          <w:rFonts w:ascii="ITC Avant Garde" w:hAnsi="ITC Avant Garde"/>
          <w:sz w:val="22"/>
          <w:szCs w:val="22"/>
        </w:rPr>
      </w:pPr>
      <w:r w:rsidRPr="00F7548C">
        <w:rPr>
          <w:rFonts w:ascii="ITC Avant Garde" w:hAnsi="ITC Avant Garde"/>
          <w:b/>
          <w:bCs/>
          <w:sz w:val="22"/>
          <w:szCs w:val="22"/>
        </w:rPr>
        <w:t>Artículo 1</w:t>
      </w:r>
      <w:r w:rsidR="00A70965" w:rsidRPr="00F7548C">
        <w:rPr>
          <w:rFonts w:ascii="ITC Avant Garde" w:hAnsi="ITC Avant Garde"/>
          <w:b/>
          <w:bCs/>
          <w:sz w:val="22"/>
          <w:szCs w:val="22"/>
        </w:rPr>
        <w:t>4</w:t>
      </w:r>
      <w:r w:rsidRPr="00F7548C">
        <w:rPr>
          <w:rFonts w:ascii="ITC Avant Garde" w:hAnsi="ITC Avant Garde"/>
          <w:b/>
          <w:bCs/>
          <w:sz w:val="22"/>
          <w:szCs w:val="22"/>
        </w:rPr>
        <w:t>.-</w:t>
      </w:r>
      <w:r w:rsidRPr="00F7548C">
        <w:rPr>
          <w:rFonts w:ascii="ITC Avant Garde" w:hAnsi="ITC Avant Garde"/>
          <w:sz w:val="22"/>
          <w:szCs w:val="22"/>
        </w:rPr>
        <w:t xml:space="preserve"> </w:t>
      </w:r>
      <w:r w:rsidR="00C179D6">
        <w:rPr>
          <w:rFonts w:ascii="ITC Avant Garde" w:hAnsi="ITC Avant Garde"/>
          <w:sz w:val="22"/>
          <w:szCs w:val="22"/>
        </w:rPr>
        <w:t>Sin perjuicio de las disposiciones que resulten aplicables, l</w:t>
      </w:r>
      <w:r w:rsidRPr="00F7548C">
        <w:rPr>
          <w:rFonts w:ascii="ITC Avant Garde" w:hAnsi="ITC Avant Garde"/>
          <w:sz w:val="22"/>
          <w:szCs w:val="22"/>
        </w:rPr>
        <w:t xml:space="preserve">a CFE deberá entregar al Instituto toda la información que éste le requiera bajo los formatos o metodología que establezca el Instituto, misma que se relacione con la supervisión y verificación del Acceso y Uso de Infraestructura para el cumplimiento de los presentes Lineamientos, dentro de los 10 (diez) días hábiles siguientes a la fecha de solicitud. La información puede ser contractual, económica, comercial, </w:t>
      </w:r>
      <w:r w:rsidR="00AB4C0D" w:rsidRPr="00F7548C">
        <w:rPr>
          <w:rFonts w:ascii="ITC Avant Garde" w:hAnsi="ITC Avant Garde"/>
          <w:sz w:val="22"/>
          <w:szCs w:val="22"/>
        </w:rPr>
        <w:t>o técnica que se encuentre relacionada</w:t>
      </w:r>
      <w:r w:rsidRPr="00F7548C">
        <w:rPr>
          <w:rFonts w:ascii="ITC Avant Garde" w:hAnsi="ITC Avant Garde"/>
          <w:sz w:val="22"/>
          <w:szCs w:val="22"/>
        </w:rPr>
        <w:t xml:space="preserve"> con </w:t>
      </w:r>
      <w:r w:rsidR="008528B6" w:rsidRPr="00F7548C">
        <w:rPr>
          <w:rFonts w:ascii="ITC Avant Garde" w:hAnsi="ITC Avant Garde"/>
          <w:sz w:val="22"/>
          <w:szCs w:val="22"/>
        </w:rPr>
        <w:t>el Acceso y Uso de I</w:t>
      </w:r>
      <w:r w:rsidRPr="00F7548C">
        <w:rPr>
          <w:rFonts w:ascii="ITC Avant Garde" w:hAnsi="ITC Avant Garde"/>
          <w:sz w:val="22"/>
          <w:szCs w:val="22"/>
        </w:rPr>
        <w:t>nfraestructura.</w:t>
      </w:r>
    </w:p>
    <w:p w14:paraId="03CEA354" w14:textId="77777777" w:rsidR="0071127F" w:rsidRPr="005B2961" w:rsidRDefault="0071127F" w:rsidP="005B2961">
      <w:pPr>
        <w:spacing w:line="276" w:lineRule="auto"/>
        <w:jc w:val="both"/>
        <w:rPr>
          <w:rFonts w:ascii="ITC Avant Garde" w:hAnsi="ITC Avant Garde"/>
          <w:bCs/>
          <w:sz w:val="22"/>
          <w:szCs w:val="22"/>
        </w:rPr>
      </w:pPr>
    </w:p>
    <w:p w14:paraId="5E824E49" w14:textId="1E0354BB" w:rsidR="0071127F" w:rsidRPr="005B2961" w:rsidRDefault="0071127F" w:rsidP="005B2961">
      <w:pPr>
        <w:pStyle w:val="Ttulo3"/>
        <w:ind w:left="1134" w:right="1183" w:firstLine="142"/>
        <w:jc w:val="center"/>
        <w:rPr>
          <w:rFonts w:ascii="ITC Avant Garde" w:hAnsi="ITC Avant Garde"/>
          <w:b/>
          <w:bCs/>
          <w:color w:val="000000" w:themeColor="text1"/>
          <w:sz w:val="22"/>
          <w:szCs w:val="22"/>
          <w:u w:val="single"/>
        </w:rPr>
      </w:pPr>
      <w:r w:rsidRPr="005B2961">
        <w:rPr>
          <w:rFonts w:ascii="ITC Avant Garde" w:hAnsi="ITC Avant Garde"/>
          <w:b/>
          <w:bCs/>
          <w:color w:val="000000" w:themeColor="text1"/>
          <w:sz w:val="22"/>
          <w:szCs w:val="22"/>
          <w:u w:val="single"/>
        </w:rPr>
        <w:t>Capítulo III</w:t>
      </w:r>
      <w:r w:rsidR="005B2961">
        <w:rPr>
          <w:rFonts w:ascii="ITC Avant Garde" w:hAnsi="ITC Avant Garde"/>
          <w:b/>
          <w:bCs/>
          <w:color w:val="000000" w:themeColor="text1"/>
          <w:sz w:val="22"/>
          <w:szCs w:val="22"/>
          <w:u w:val="single"/>
        </w:rPr>
        <w:t xml:space="preserve"> </w:t>
      </w:r>
      <w:r w:rsidRPr="005B2961">
        <w:rPr>
          <w:rFonts w:ascii="ITC Avant Garde" w:hAnsi="ITC Avant Garde"/>
          <w:b/>
          <w:bCs/>
          <w:color w:val="000000" w:themeColor="text1"/>
          <w:sz w:val="22"/>
          <w:szCs w:val="22"/>
          <w:u w:val="single"/>
        </w:rPr>
        <w:t>De la Construcción y Crecimiento de la Red Troncal Nacional</w:t>
      </w:r>
    </w:p>
    <w:p w14:paraId="480239AF" w14:textId="77777777" w:rsidR="0071127F" w:rsidRPr="00F7548C" w:rsidRDefault="0071127F" w:rsidP="0071127F">
      <w:pPr>
        <w:spacing w:line="276" w:lineRule="auto"/>
        <w:jc w:val="both"/>
        <w:rPr>
          <w:rFonts w:ascii="ITC Avant Garde" w:hAnsi="ITC Avant Garde"/>
          <w:bCs/>
          <w:sz w:val="22"/>
          <w:szCs w:val="22"/>
        </w:rPr>
      </w:pPr>
    </w:p>
    <w:p w14:paraId="7AFFB026" w14:textId="1E0F07D9" w:rsidR="0071127F" w:rsidRPr="00F7548C" w:rsidRDefault="0071127F" w:rsidP="0071127F">
      <w:pPr>
        <w:spacing w:line="276" w:lineRule="auto"/>
        <w:jc w:val="both"/>
        <w:rPr>
          <w:rFonts w:ascii="ITC Avant Garde" w:hAnsi="ITC Avant Garde"/>
          <w:bCs/>
          <w:sz w:val="22"/>
          <w:szCs w:val="22"/>
        </w:rPr>
      </w:pPr>
      <w:r w:rsidRPr="00F7548C">
        <w:rPr>
          <w:rFonts w:ascii="ITC Avant Garde" w:hAnsi="ITC Avant Garde"/>
          <w:b/>
          <w:bCs/>
          <w:sz w:val="22"/>
          <w:szCs w:val="22"/>
        </w:rPr>
        <w:t>Artículo 1</w:t>
      </w:r>
      <w:r w:rsidR="000231A8" w:rsidRPr="00F7548C">
        <w:rPr>
          <w:rFonts w:ascii="ITC Avant Garde" w:hAnsi="ITC Avant Garde"/>
          <w:b/>
          <w:bCs/>
          <w:sz w:val="22"/>
          <w:szCs w:val="22"/>
        </w:rPr>
        <w:t>5</w:t>
      </w:r>
      <w:r w:rsidRPr="00F7548C">
        <w:rPr>
          <w:rFonts w:ascii="ITC Avant Garde" w:hAnsi="ITC Avant Garde"/>
          <w:b/>
          <w:bCs/>
          <w:sz w:val="22"/>
          <w:szCs w:val="22"/>
        </w:rPr>
        <w:t>.-</w:t>
      </w:r>
      <w:r w:rsidRPr="00F7548C">
        <w:rPr>
          <w:rFonts w:ascii="ITC Avant Garde" w:hAnsi="ITC Avant Garde"/>
          <w:bCs/>
          <w:sz w:val="22"/>
          <w:szCs w:val="22"/>
        </w:rPr>
        <w:t xml:space="preserve"> Telecomunicaciones de México deberá presentar al Instituto para su autorización, un programa de construcción y crecimiento de la Red Troncal Nacional con duración trianual con al menos 90 (noventa) días naturales previos al vencimiento del programa vigente. Dicho programa deberá especificar al menos el número de kilómetros de fibra óptica, así como los Puntos de Presencia a instalar, de conformidad con la Condición 8.3 del Título de Concesión.</w:t>
      </w:r>
    </w:p>
    <w:p w14:paraId="3E15A1EF" w14:textId="77777777" w:rsidR="0071127F" w:rsidRPr="00F7548C" w:rsidRDefault="0071127F" w:rsidP="0071127F">
      <w:pPr>
        <w:spacing w:line="276" w:lineRule="auto"/>
        <w:jc w:val="both"/>
        <w:rPr>
          <w:rFonts w:ascii="ITC Avant Garde" w:hAnsi="ITC Avant Garde"/>
          <w:bCs/>
          <w:sz w:val="22"/>
          <w:szCs w:val="22"/>
        </w:rPr>
      </w:pPr>
    </w:p>
    <w:p w14:paraId="5EF218AD" w14:textId="41ACD524" w:rsidR="0071127F" w:rsidRPr="00F7548C" w:rsidRDefault="0071127F" w:rsidP="0071127F">
      <w:pPr>
        <w:spacing w:line="276" w:lineRule="auto"/>
        <w:jc w:val="both"/>
        <w:rPr>
          <w:rFonts w:ascii="ITC Avant Garde" w:hAnsi="ITC Avant Garde"/>
          <w:bCs/>
          <w:sz w:val="22"/>
          <w:szCs w:val="22"/>
        </w:rPr>
      </w:pPr>
      <w:r w:rsidRPr="00F7548C">
        <w:rPr>
          <w:rFonts w:ascii="ITC Avant Garde" w:hAnsi="ITC Avant Garde"/>
          <w:b/>
          <w:bCs/>
          <w:sz w:val="22"/>
          <w:szCs w:val="22"/>
        </w:rPr>
        <w:t>Artículo 1</w:t>
      </w:r>
      <w:r w:rsidR="000231A8" w:rsidRPr="00F7548C">
        <w:rPr>
          <w:rFonts w:ascii="ITC Avant Garde" w:hAnsi="ITC Avant Garde"/>
          <w:b/>
          <w:bCs/>
          <w:sz w:val="22"/>
          <w:szCs w:val="22"/>
        </w:rPr>
        <w:t>6</w:t>
      </w:r>
      <w:r w:rsidRPr="00F7548C">
        <w:rPr>
          <w:rFonts w:ascii="ITC Avant Garde" w:hAnsi="ITC Avant Garde"/>
          <w:b/>
          <w:bCs/>
          <w:sz w:val="22"/>
          <w:szCs w:val="22"/>
        </w:rPr>
        <w:t xml:space="preserve">.- </w:t>
      </w:r>
      <w:r w:rsidRPr="00F7548C">
        <w:rPr>
          <w:rFonts w:ascii="ITC Avant Garde" w:hAnsi="ITC Avant Garde"/>
          <w:bCs/>
          <w:sz w:val="22"/>
          <w:szCs w:val="22"/>
        </w:rPr>
        <w:t xml:space="preserve">En caso de prestar servicios de enlaces, el diseño de la red de Telecomunicaciones de México deberá tomar en cuenta, al menos los siguientes aspectos: </w:t>
      </w:r>
    </w:p>
    <w:p w14:paraId="6C117937" w14:textId="77777777" w:rsidR="0071127F" w:rsidRPr="00F7548C" w:rsidRDefault="0071127F" w:rsidP="0071127F">
      <w:pPr>
        <w:pStyle w:val="Prrafodelista"/>
        <w:numPr>
          <w:ilvl w:val="0"/>
          <w:numId w:val="11"/>
        </w:numPr>
        <w:spacing w:line="276" w:lineRule="auto"/>
        <w:jc w:val="both"/>
        <w:rPr>
          <w:rFonts w:ascii="ITC Avant Garde" w:hAnsi="ITC Avant Garde"/>
          <w:bCs/>
          <w:sz w:val="22"/>
          <w:szCs w:val="22"/>
        </w:rPr>
      </w:pPr>
      <w:r w:rsidRPr="00F7548C">
        <w:rPr>
          <w:rFonts w:ascii="ITC Avant Garde" w:hAnsi="ITC Avant Garde"/>
          <w:bCs/>
          <w:sz w:val="22"/>
          <w:szCs w:val="22"/>
        </w:rPr>
        <w:t>Contar con puntos de interconexión internacionales con países vecinos, ya sea propios o a través de terceros;</w:t>
      </w:r>
    </w:p>
    <w:p w14:paraId="7564295D" w14:textId="77777777" w:rsidR="0071127F" w:rsidRPr="00F7548C" w:rsidRDefault="0071127F" w:rsidP="0071127F">
      <w:pPr>
        <w:pStyle w:val="Prrafodelista"/>
        <w:spacing w:line="276" w:lineRule="auto"/>
        <w:ind w:left="1068"/>
        <w:jc w:val="both"/>
        <w:rPr>
          <w:rFonts w:ascii="ITC Avant Garde" w:hAnsi="ITC Avant Garde"/>
          <w:bCs/>
          <w:sz w:val="22"/>
          <w:szCs w:val="22"/>
        </w:rPr>
      </w:pPr>
    </w:p>
    <w:p w14:paraId="1E93D4B1" w14:textId="77777777" w:rsidR="0071127F" w:rsidRPr="00F7548C" w:rsidRDefault="0071127F" w:rsidP="0071127F">
      <w:pPr>
        <w:pStyle w:val="Prrafodelista"/>
        <w:numPr>
          <w:ilvl w:val="0"/>
          <w:numId w:val="11"/>
        </w:numPr>
        <w:spacing w:line="276" w:lineRule="auto"/>
        <w:jc w:val="both"/>
        <w:rPr>
          <w:rFonts w:ascii="ITC Avant Garde" w:hAnsi="ITC Avant Garde"/>
          <w:bCs/>
          <w:sz w:val="22"/>
          <w:szCs w:val="22"/>
        </w:rPr>
      </w:pPr>
      <w:r w:rsidRPr="00F7548C">
        <w:rPr>
          <w:rFonts w:ascii="ITC Avant Garde" w:hAnsi="ITC Avant Garde"/>
          <w:bCs/>
          <w:sz w:val="22"/>
          <w:szCs w:val="22"/>
        </w:rPr>
        <w:t>Asegurar que la capacidad de los enlaces utilizados soporte la demanda de tráfico de datos de la Red Troncal Nacional, además de gestionar el crecimiento de los enlaces físicos cuando éstos se encuentren a 85% de su capacidad en hora pico, y</w:t>
      </w:r>
    </w:p>
    <w:p w14:paraId="2853402D" w14:textId="77777777" w:rsidR="0071127F" w:rsidRPr="00F7548C" w:rsidRDefault="0071127F" w:rsidP="0071127F">
      <w:pPr>
        <w:pStyle w:val="Prrafodelista"/>
        <w:spacing w:line="276" w:lineRule="auto"/>
        <w:ind w:left="1068"/>
        <w:jc w:val="both"/>
        <w:rPr>
          <w:rFonts w:ascii="ITC Avant Garde" w:hAnsi="ITC Avant Garde"/>
          <w:bCs/>
          <w:sz w:val="22"/>
          <w:szCs w:val="22"/>
        </w:rPr>
      </w:pPr>
    </w:p>
    <w:p w14:paraId="1CD1C8D4" w14:textId="77777777" w:rsidR="0071127F" w:rsidRPr="00F7548C" w:rsidRDefault="0071127F" w:rsidP="0071127F">
      <w:pPr>
        <w:pStyle w:val="Prrafodelista"/>
        <w:numPr>
          <w:ilvl w:val="0"/>
          <w:numId w:val="11"/>
        </w:numPr>
        <w:spacing w:line="276" w:lineRule="auto"/>
        <w:jc w:val="both"/>
        <w:rPr>
          <w:rFonts w:ascii="ITC Avant Garde" w:hAnsi="ITC Avant Garde"/>
          <w:bCs/>
          <w:sz w:val="22"/>
          <w:szCs w:val="22"/>
        </w:rPr>
      </w:pPr>
      <w:r w:rsidRPr="00F7548C">
        <w:rPr>
          <w:rFonts w:ascii="ITC Avant Garde" w:hAnsi="ITC Avant Garde"/>
          <w:bCs/>
          <w:sz w:val="22"/>
          <w:szCs w:val="22"/>
        </w:rPr>
        <w:lastRenderedPageBreak/>
        <w:t>Garantizar que los equipos utilizados en el despliegue de la Red Troncal Nacional, soporten tecnologías eficientes y escalables, abiertas y consistentes con los estándares internacionales.</w:t>
      </w:r>
    </w:p>
    <w:p w14:paraId="3712359F" w14:textId="77777777" w:rsidR="0071127F" w:rsidRPr="00F7548C" w:rsidRDefault="0071127F" w:rsidP="0071127F">
      <w:pPr>
        <w:pStyle w:val="Prrafodelista"/>
        <w:spacing w:line="276" w:lineRule="auto"/>
        <w:ind w:left="1068"/>
        <w:jc w:val="both"/>
        <w:rPr>
          <w:rFonts w:ascii="ITC Avant Garde" w:hAnsi="ITC Avant Garde"/>
          <w:bCs/>
          <w:sz w:val="22"/>
          <w:szCs w:val="22"/>
        </w:rPr>
      </w:pPr>
    </w:p>
    <w:p w14:paraId="509FEEFA" w14:textId="1E79A098" w:rsidR="0071127F" w:rsidRPr="00F7548C" w:rsidRDefault="0071127F" w:rsidP="0071127F">
      <w:pPr>
        <w:pStyle w:val="Textoindependiente"/>
        <w:keepLines/>
        <w:tabs>
          <w:tab w:val="left" w:pos="567"/>
        </w:tabs>
        <w:spacing w:line="276" w:lineRule="auto"/>
        <w:rPr>
          <w:rFonts w:ascii="ITC Avant Garde" w:hAnsi="ITC Avant Garde"/>
          <w:bCs/>
          <w:sz w:val="22"/>
          <w:szCs w:val="22"/>
        </w:rPr>
      </w:pPr>
      <w:r w:rsidRPr="00F7548C">
        <w:rPr>
          <w:rFonts w:ascii="ITC Avant Garde" w:hAnsi="ITC Avant Garde"/>
          <w:b/>
          <w:bCs/>
          <w:sz w:val="22"/>
          <w:szCs w:val="22"/>
          <w:lang w:val="es-MX"/>
        </w:rPr>
        <w:t>Artículo 1</w:t>
      </w:r>
      <w:r w:rsidR="000231A8" w:rsidRPr="00F7548C">
        <w:rPr>
          <w:rFonts w:ascii="ITC Avant Garde" w:hAnsi="ITC Avant Garde"/>
          <w:b/>
          <w:bCs/>
          <w:sz w:val="22"/>
          <w:szCs w:val="22"/>
          <w:lang w:val="es-MX"/>
        </w:rPr>
        <w:t>7</w:t>
      </w:r>
      <w:r w:rsidRPr="00F7548C">
        <w:rPr>
          <w:rFonts w:ascii="ITC Avant Garde" w:hAnsi="ITC Avant Garde"/>
          <w:b/>
          <w:bCs/>
          <w:sz w:val="22"/>
          <w:szCs w:val="22"/>
          <w:lang w:val="es-MX"/>
        </w:rPr>
        <w:t>.</w:t>
      </w:r>
      <w:r w:rsidRPr="00F7548C">
        <w:rPr>
          <w:rFonts w:ascii="ITC Avant Garde" w:hAnsi="ITC Avant Garde"/>
          <w:bCs/>
          <w:sz w:val="22"/>
          <w:szCs w:val="22"/>
          <w:lang w:val="es-MX"/>
        </w:rPr>
        <w:t xml:space="preserve">- Telecomunicaciones de México deberá proveer servicios con alto nivel de disponibilidad de acuerdo al plan diseñado, para asegurar la continuidad en los servicios y capacidades ofrecidas por la </w:t>
      </w:r>
      <w:r w:rsidRPr="00F7548C">
        <w:rPr>
          <w:rFonts w:ascii="ITC Avant Garde" w:hAnsi="ITC Avant Garde"/>
          <w:bCs/>
          <w:sz w:val="22"/>
          <w:szCs w:val="22"/>
        </w:rPr>
        <w:t>Red Troncal Nacional.</w:t>
      </w:r>
    </w:p>
    <w:p w14:paraId="229FBAF9" w14:textId="77777777" w:rsidR="0071127F" w:rsidRPr="00F7548C" w:rsidRDefault="0071127F" w:rsidP="0071127F">
      <w:pPr>
        <w:spacing w:line="276" w:lineRule="auto"/>
        <w:rPr>
          <w:rFonts w:ascii="ITC Avant Garde" w:hAnsi="ITC Avant Garde"/>
          <w:bCs/>
          <w:sz w:val="22"/>
          <w:szCs w:val="22"/>
        </w:rPr>
      </w:pPr>
    </w:p>
    <w:p w14:paraId="64D4A73D" w14:textId="77777777" w:rsidR="0071127F" w:rsidRPr="00F7548C" w:rsidRDefault="0071127F" w:rsidP="0071127F">
      <w:pPr>
        <w:pStyle w:val="Textoindependiente"/>
        <w:keepLines/>
        <w:tabs>
          <w:tab w:val="left" w:pos="567"/>
        </w:tabs>
        <w:spacing w:line="276" w:lineRule="auto"/>
        <w:rPr>
          <w:rFonts w:ascii="ITC Avant Garde" w:hAnsi="ITC Avant Garde"/>
          <w:bCs/>
          <w:sz w:val="22"/>
          <w:szCs w:val="22"/>
        </w:rPr>
      </w:pPr>
      <w:r w:rsidRPr="00F7548C">
        <w:rPr>
          <w:rFonts w:ascii="ITC Avant Garde" w:hAnsi="ITC Avant Garde"/>
          <w:bCs/>
          <w:sz w:val="22"/>
          <w:szCs w:val="22"/>
        </w:rPr>
        <w:t>Telecomunicaciones de México deberá diseñar, operar y mantener su Red Troncal de tal forma que cumpla con una disponibilidad de 99.95%, medido de forma mensual, sin contar el tiempo de inactividad programado y previamente aprobado. Telecomunicaciones de México deberá cumplir con el nivel de disponibilidad en un periodo máximo de cuatro años a partir de que surta efectos la notificación de los presentes Lineamientos.</w:t>
      </w:r>
    </w:p>
    <w:p w14:paraId="4D20C59F" w14:textId="77777777" w:rsidR="0071127F" w:rsidRPr="00F7548C" w:rsidRDefault="0071127F" w:rsidP="0071127F">
      <w:pPr>
        <w:spacing w:line="276" w:lineRule="auto"/>
        <w:jc w:val="both"/>
        <w:rPr>
          <w:rFonts w:ascii="ITC Avant Garde" w:hAnsi="ITC Avant Garde"/>
          <w:sz w:val="22"/>
          <w:szCs w:val="22"/>
        </w:rPr>
      </w:pPr>
    </w:p>
    <w:p w14:paraId="7D4A4544" w14:textId="63DCC503" w:rsidR="0071127F" w:rsidRPr="00F7548C" w:rsidRDefault="000231A8" w:rsidP="0071127F">
      <w:pPr>
        <w:spacing w:line="276" w:lineRule="auto"/>
        <w:jc w:val="both"/>
        <w:rPr>
          <w:rFonts w:ascii="ITC Avant Garde" w:hAnsi="ITC Avant Garde"/>
          <w:sz w:val="22"/>
          <w:szCs w:val="22"/>
        </w:rPr>
      </w:pPr>
      <w:r w:rsidRPr="00F7548C">
        <w:rPr>
          <w:rFonts w:ascii="ITC Avant Garde" w:hAnsi="ITC Avant Garde"/>
          <w:bCs/>
          <w:sz w:val="22"/>
          <w:szCs w:val="22"/>
        </w:rPr>
        <w:t>En caso de prestar servicios de enlaces</w:t>
      </w:r>
      <w:r w:rsidRPr="00F7548C">
        <w:rPr>
          <w:rFonts w:ascii="ITC Avant Garde" w:hAnsi="ITC Avant Garde"/>
          <w:sz w:val="22"/>
          <w:szCs w:val="22"/>
        </w:rPr>
        <w:t xml:space="preserve"> a través de </w:t>
      </w:r>
      <w:r w:rsidR="0071127F" w:rsidRPr="00F7548C">
        <w:rPr>
          <w:rFonts w:ascii="ITC Avant Garde" w:hAnsi="ITC Avant Garde"/>
          <w:sz w:val="22"/>
          <w:szCs w:val="22"/>
        </w:rPr>
        <w:t xml:space="preserve">la </w:t>
      </w:r>
      <w:r w:rsidR="0071127F" w:rsidRPr="00F7548C">
        <w:rPr>
          <w:rFonts w:ascii="ITC Avant Garde" w:hAnsi="ITC Avant Garde"/>
          <w:bCs/>
          <w:sz w:val="22"/>
          <w:szCs w:val="22"/>
        </w:rPr>
        <w:t>Red Troncal</w:t>
      </w:r>
      <w:r w:rsidRPr="00F7548C">
        <w:rPr>
          <w:rFonts w:ascii="ITC Avant Garde" w:hAnsi="ITC Avant Garde"/>
          <w:bCs/>
          <w:sz w:val="22"/>
          <w:szCs w:val="22"/>
        </w:rPr>
        <w:t>, se</w:t>
      </w:r>
      <w:r w:rsidR="0071127F" w:rsidRPr="00F7548C">
        <w:rPr>
          <w:rFonts w:ascii="ITC Avant Garde" w:hAnsi="ITC Avant Garde"/>
          <w:sz w:val="22"/>
          <w:szCs w:val="22"/>
        </w:rPr>
        <w:t xml:space="preserve"> deberá garantizar robustez para la prestación de servicios convergentes de banda ancha, por lo que deberán cumplir al menos con los siguientes parámetros:</w:t>
      </w:r>
    </w:p>
    <w:p w14:paraId="2550401C" w14:textId="77777777" w:rsidR="0071127F" w:rsidRPr="00F7548C" w:rsidRDefault="0071127F" w:rsidP="0071127F">
      <w:pPr>
        <w:spacing w:line="276" w:lineRule="auto"/>
        <w:jc w:val="both"/>
        <w:rPr>
          <w:rFonts w:ascii="ITC Avant Garde" w:hAnsi="ITC Avant Garde"/>
          <w:sz w:val="22"/>
          <w:szCs w:val="22"/>
        </w:rPr>
      </w:pPr>
    </w:p>
    <w:p w14:paraId="12B83623" w14:textId="77777777" w:rsidR="0071127F" w:rsidRPr="00F7548C" w:rsidRDefault="0071127F" w:rsidP="0071127F">
      <w:pPr>
        <w:pStyle w:val="Prrafodelista"/>
        <w:numPr>
          <w:ilvl w:val="0"/>
          <w:numId w:val="17"/>
        </w:numPr>
        <w:spacing w:line="276" w:lineRule="auto"/>
        <w:jc w:val="both"/>
        <w:rPr>
          <w:rFonts w:ascii="ITC Avant Garde" w:hAnsi="ITC Avant Garde"/>
          <w:bCs/>
          <w:sz w:val="22"/>
          <w:szCs w:val="22"/>
        </w:rPr>
      </w:pPr>
      <w:r w:rsidRPr="00F7548C">
        <w:rPr>
          <w:rFonts w:ascii="ITC Avant Garde" w:hAnsi="ITC Avant Garde"/>
          <w:bCs/>
          <w:sz w:val="22"/>
          <w:szCs w:val="22"/>
        </w:rPr>
        <w:t>Un promedio de latencia por enlace menor a treinta (30) milisegundos;</w:t>
      </w:r>
    </w:p>
    <w:p w14:paraId="40018686" w14:textId="77777777" w:rsidR="0071127F" w:rsidRPr="00F7548C" w:rsidRDefault="0071127F" w:rsidP="0071127F">
      <w:pPr>
        <w:pStyle w:val="Prrafodelista"/>
        <w:spacing w:line="276" w:lineRule="auto"/>
        <w:ind w:left="1068"/>
        <w:jc w:val="both"/>
        <w:rPr>
          <w:rFonts w:ascii="ITC Avant Garde" w:hAnsi="ITC Avant Garde"/>
          <w:bCs/>
          <w:sz w:val="22"/>
          <w:szCs w:val="22"/>
        </w:rPr>
      </w:pPr>
    </w:p>
    <w:p w14:paraId="1592AA29" w14:textId="77777777" w:rsidR="0071127F" w:rsidRPr="00F7548C" w:rsidRDefault="0071127F" w:rsidP="0071127F">
      <w:pPr>
        <w:pStyle w:val="Prrafodelista"/>
        <w:numPr>
          <w:ilvl w:val="0"/>
          <w:numId w:val="17"/>
        </w:numPr>
        <w:spacing w:line="276" w:lineRule="auto"/>
        <w:jc w:val="both"/>
        <w:rPr>
          <w:rFonts w:ascii="ITC Avant Garde" w:hAnsi="ITC Avant Garde"/>
          <w:bCs/>
          <w:sz w:val="22"/>
          <w:szCs w:val="22"/>
        </w:rPr>
      </w:pPr>
      <w:r w:rsidRPr="00F7548C">
        <w:rPr>
          <w:rFonts w:ascii="ITC Avant Garde" w:hAnsi="ITC Avant Garde"/>
          <w:bCs/>
          <w:sz w:val="22"/>
          <w:szCs w:val="22"/>
        </w:rPr>
        <w:t xml:space="preserve">Una pérdida de paquetes </w:t>
      </w:r>
      <w:proofErr w:type="spellStart"/>
      <w:r w:rsidRPr="00F7548C">
        <w:rPr>
          <w:rFonts w:ascii="ITC Avant Garde" w:hAnsi="ITC Avant Garde"/>
          <w:bCs/>
          <w:sz w:val="22"/>
          <w:szCs w:val="22"/>
        </w:rPr>
        <w:t>end</w:t>
      </w:r>
      <w:proofErr w:type="spellEnd"/>
      <w:r w:rsidRPr="00F7548C">
        <w:rPr>
          <w:rFonts w:ascii="ITC Avant Garde" w:hAnsi="ITC Avant Garde"/>
          <w:bCs/>
          <w:sz w:val="22"/>
          <w:szCs w:val="22"/>
        </w:rPr>
        <w:t>-to-</w:t>
      </w:r>
      <w:proofErr w:type="spellStart"/>
      <w:r w:rsidRPr="00F7548C">
        <w:rPr>
          <w:rFonts w:ascii="ITC Avant Garde" w:hAnsi="ITC Avant Garde"/>
          <w:bCs/>
          <w:sz w:val="22"/>
          <w:szCs w:val="22"/>
        </w:rPr>
        <w:t>end</w:t>
      </w:r>
      <w:proofErr w:type="spellEnd"/>
      <w:r w:rsidRPr="00F7548C">
        <w:rPr>
          <w:rFonts w:ascii="ITC Avant Garde" w:hAnsi="ITC Avant Garde"/>
          <w:bCs/>
          <w:sz w:val="22"/>
          <w:szCs w:val="22"/>
        </w:rPr>
        <w:t xml:space="preserve"> menor de 0.3%, y</w:t>
      </w:r>
    </w:p>
    <w:p w14:paraId="36969474" w14:textId="77777777" w:rsidR="0071127F" w:rsidRPr="00F7548C" w:rsidRDefault="0071127F" w:rsidP="0071127F">
      <w:pPr>
        <w:spacing w:line="276" w:lineRule="auto"/>
        <w:jc w:val="both"/>
        <w:rPr>
          <w:rFonts w:ascii="ITC Avant Garde" w:hAnsi="ITC Avant Garde"/>
          <w:bCs/>
          <w:sz w:val="22"/>
          <w:szCs w:val="22"/>
        </w:rPr>
      </w:pPr>
    </w:p>
    <w:p w14:paraId="49C9EA66" w14:textId="77777777" w:rsidR="0071127F" w:rsidRPr="00F7548C" w:rsidRDefault="0071127F" w:rsidP="0071127F">
      <w:pPr>
        <w:pStyle w:val="Prrafodelista"/>
        <w:numPr>
          <w:ilvl w:val="0"/>
          <w:numId w:val="17"/>
        </w:numPr>
        <w:spacing w:line="276" w:lineRule="auto"/>
        <w:jc w:val="both"/>
        <w:rPr>
          <w:rFonts w:ascii="ITC Avant Garde" w:hAnsi="ITC Avant Garde"/>
          <w:bCs/>
          <w:sz w:val="22"/>
          <w:szCs w:val="22"/>
        </w:rPr>
      </w:pPr>
      <w:r w:rsidRPr="00F7548C">
        <w:rPr>
          <w:rFonts w:ascii="ITC Avant Garde" w:hAnsi="ITC Avant Garde"/>
          <w:bCs/>
          <w:sz w:val="22"/>
          <w:szCs w:val="22"/>
        </w:rPr>
        <w:t xml:space="preserve">Un </w:t>
      </w:r>
      <w:proofErr w:type="spellStart"/>
      <w:r w:rsidRPr="00F7548C">
        <w:rPr>
          <w:rFonts w:ascii="ITC Avant Garde" w:hAnsi="ITC Avant Garde"/>
          <w:bCs/>
          <w:sz w:val="22"/>
          <w:szCs w:val="22"/>
        </w:rPr>
        <w:t>jitter</w:t>
      </w:r>
      <w:proofErr w:type="spellEnd"/>
      <w:r w:rsidRPr="00F7548C">
        <w:rPr>
          <w:rFonts w:ascii="ITC Avant Garde" w:hAnsi="ITC Avant Garde"/>
          <w:bCs/>
          <w:sz w:val="22"/>
          <w:szCs w:val="22"/>
        </w:rPr>
        <w:t xml:space="preserve"> máximo menor a diez (10) milisegundos.</w:t>
      </w:r>
    </w:p>
    <w:p w14:paraId="62323719" w14:textId="77777777" w:rsidR="0071127F" w:rsidRPr="00F7548C" w:rsidRDefault="0071127F" w:rsidP="0071127F">
      <w:pPr>
        <w:spacing w:line="276" w:lineRule="auto"/>
        <w:jc w:val="both"/>
        <w:rPr>
          <w:rFonts w:ascii="ITC Avant Garde" w:hAnsi="ITC Avant Garde"/>
          <w:sz w:val="22"/>
          <w:szCs w:val="22"/>
        </w:rPr>
      </w:pPr>
    </w:p>
    <w:p w14:paraId="3B78B770" w14:textId="77777777" w:rsidR="0071127F" w:rsidRPr="00F7548C" w:rsidRDefault="0071127F" w:rsidP="0071127F">
      <w:pPr>
        <w:spacing w:line="276" w:lineRule="auto"/>
        <w:jc w:val="both"/>
        <w:rPr>
          <w:rFonts w:ascii="ITC Avant Garde" w:hAnsi="ITC Avant Garde"/>
          <w:sz w:val="22"/>
          <w:szCs w:val="22"/>
        </w:rPr>
      </w:pPr>
      <w:r w:rsidRPr="00F7548C">
        <w:rPr>
          <w:rFonts w:ascii="ITC Avant Garde" w:hAnsi="ITC Avant Garde"/>
          <w:sz w:val="22"/>
          <w:szCs w:val="22"/>
        </w:rPr>
        <w:t>Lo anterior, sin perjuicio de que Telecomunicaciones de México cumpla con los parámetros de calidad establecidos en las disposiciones regulatorias de carácter general emitidas por el Instituto.</w:t>
      </w:r>
    </w:p>
    <w:p w14:paraId="2122191C" w14:textId="77777777" w:rsidR="0071127F" w:rsidRDefault="0071127F" w:rsidP="0071127F">
      <w:pPr>
        <w:spacing w:line="276" w:lineRule="auto"/>
        <w:jc w:val="both"/>
        <w:rPr>
          <w:rFonts w:ascii="ITC Avant Garde" w:hAnsi="ITC Avant Garde"/>
          <w:sz w:val="22"/>
          <w:szCs w:val="22"/>
        </w:rPr>
      </w:pPr>
    </w:p>
    <w:p w14:paraId="1F234242" w14:textId="77777777" w:rsidR="003B4BBA" w:rsidRPr="00F7548C" w:rsidRDefault="003B4BBA" w:rsidP="0071127F">
      <w:pPr>
        <w:spacing w:line="276" w:lineRule="auto"/>
        <w:jc w:val="both"/>
        <w:rPr>
          <w:rFonts w:ascii="ITC Avant Garde" w:hAnsi="ITC Avant Garde"/>
          <w:sz w:val="22"/>
          <w:szCs w:val="22"/>
        </w:rPr>
      </w:pPr>
    </w:p>
    <w:p w14:paraId="3429FD59" w14:textId="277EFCE0" w:rsidR="0071127F" w:rsidRPr="00F7548C" w:rsidRDefault="0071127F" w:rsidP="0071127F">
      <w:pPr>
        <w:spacing w:line="276" w:lineRule="auto"/>
        <w:jc w:val="both"/>
        <w:rPr>
          <w:rFonts w:ascii="ITC Avant Garde" w:hAnsi="ITC Avant Garde"/>
          <w:sz w:val="22"/>
          <w:szCs w:val="22"/>
        </w:rPr>
      </w:pPr>
      <w:r w:rsidRPr="00F7548C">
        <w:rPr>
          <w:rFonts w:ascii="ITC Avant Garde" w:hAnsi="ITC Avant Garde"/>
          <w:b/>
          <w:sz w:val="22"/>
          <w:szCs w:val="22"/>
        </w:rPr>
        <w:t>Artículo 1</w:t>
      </w:r>
      <w:r w:rsidR="000231A8" w:rsidRPr="00F7548C">
        <w:rPr>
          <w:rFonts w:ascii="ITC Avant Garde" w:hAnsi="ITC Avant Garde"/>
          <w:b/>
          <w:sz w:val="22"/>
          <w:szCs w:val="22"/>
        </w:rPr>
        <w:t>8</w:t>
      </w:r>
      <w:r w:rsidRPr="00F7548C">
        <w:rPr>
          <w:rFonts w:ascii="ITC Avant Garde" w:hAnsi="ITC Avant Garde"/>
          <w:b/>
          <w:sz w:val="22"/>
          <w:szCs w:val="22"/>
        </w:rPr>
        <w:t xml:space="preserve">.- </w:t>
      </w:r>
      <w:r w:rsidRPr="00F7548C">
        <w:rPr>
          <w:rFonts w:ascii="ITC Avant Garde" w:hAnsi="ITC Avant Garde"/>
          <w:sz w:val="22"/>
          <w:szCs w:val="22"/>
        </w:rPr>
        <w:t>En caso de que Telecomunicaciones de México no le sea técnicamente factible el despliegue de fibra óptica para la instalación de Puntos de Presencia en zonas o localidades rurales o de difícil acceso que hayan sido acordados previamente con la Secretaria de Comunicaciones y Transportes, deberá considerar otros medios de transmisión alámbricos o inalámbricos que sean técnica y económicamente factibles.</w:t>
      </w:r>
    </w:p>
    <w:p w14:paraId="49E8FF52" w14:textId="77777777" w:rsidR="0071127F" w:rsidRPr="00F7548C" w:rsidRDefault="0071127F" w:rsidP="0071127F">
      <w:pPr>
        <w:spacing w:line="276" w:lineRule="auto"/>
        <w:jc w:val="both"/>
        <w:rPr>
          <w:rFonts w:ascii="ITC Avant Garde" w:hAnsi="ITC Avant Garde"/>
          <w:sz w:val="22"/>
          <w:szCs w:val="22"/>
        </w:rPr>
      </w:pPr>
    </w:p>
    <w:p w14:paraId="0A97CB47" w14:textId="4DB7EFB8" w:rsidR="0071127F" w:rsidRPr="00F7548C" w:rsidRDefault="0071127F" w:rsidP="0071127F">
      <w:pPr>
        <w:spacing w:line="276" w:lineRule="auto"/>
        <w:jc w:val="both"/>
        <w:rPr>
          <w:rFonts w:ascii="ITC Avant Garde" w:hAnsi="ITC Avant Garde"/>
          <w:sz w:val="22"/>
          <w:szCs w:val="22"/>
        </w:rPr>
      </w:pPr>
      <w:r w:rsidRPr="00F7548C">
        <w:rPr>
          <w:rFonts w:ascii="ITC Avant Garde" w:hAnsi="ITC Avant Garde"/>
          <w:b/>
          <w:sz w:val="22"/>
          <w:szCs w:val="22"/>
        </w:rPr>
        <w:lastRenderedPageBreak/>
        <w:t xml:space="preserve">Artículo </w:t>
      </w:r>
      <w:r w:rsidR="000231A8" w:rsidRPr="00F7548C">
        <w:rPr>
          <w:rFonts w:ascii="ITC Avant Garde" w:hAnsi="ITC Avant Garde"/>
          <w:b/>
          <w:sz w:val="22"/>
          <w:szCs w:val="22"/>
        </w:rPr>
        <w:t>19</w:t>
      </w:r>
      <w:r w:rsidRPr="00F7548C">
        <w:rPr>
          <w:rFonts w:ascii="ITC Avant Garde" w:hAnsi="ITC Avant Garde"/>
          <w:b/>
          <w:sz w:val="22"/>
          <w:szCs w:val="22"/>
        </w:rPr>
        <w:t>.-</w:t>
      </w:r>
      <w:r w:rsidRPr="00F7548C">
        <w:rPr>
          <w:rFonts w:ascii="ITC Avant Garde" w:hAnsi="ITC Avant Garde"/>
          <w:sz w:val="22"/>
          <w:szCs w:val="22"/>
        </w:rPr>
        <w:t xml:space="preserve"> Telecomunicaciones de México deberá desarrollar y aplicar un método estandarizado para actividades de pruebas y puestas en servicio, con la finalidad de asegurar que los servicios se presten de manera adecuada y eficiente. </w:t>
      </w:r>
    </w:p>
    <w:p w14:paraId="7C5E1823" w14:textId="77777777" w:rsidR="0071127F" w:rsidRPr="00F7548C" w:rsidRDefault="0071127F" w:rsidP="0071127F">
      <w:pPr>
        <w:spacing w:line="276" w:lineRule="auto"/>
        <w:jc w:val="both"/>
        <w:rPr>
          <w:rFonts w:ascii="ITC Avant Garde" w:hAnsi="ITC Avant Garde"/>
          <w:sz w:val="22"/>
          <w:szCs w:val="22"/>
        </w:rPr>
      </w:pPr>
    </w:p>
    <w:p w14:paraId="40D10381" w14:textId="286492DD" w:rsidR="0071127F" w:rsidRPr="00F7548C" w:rsidRDefault="0071127F" w:rsidP="0071127F">
      <w:pPr>
        <w:spacing w:line="276" w:lineRule="auto"/>
        <w:jc w:val="both"/>
        <w:rPr>
          <w:rFonts w:ascii="ITC Avant Garde" w:hAnsi="ITC Avant Garde"/>
          <w:sz w:val="22"/>
          <w:szCs w:val="22"/>
        </w:rPr>
      </w:pPr>
      <w:r w:rsidRPr="00F7548C">
        <w:rPr>
          <w:rFonts w:ascii="ITC Avant Garde" w:hAnsi="ITC Avant Garde"/>
          <w:b/>
          <w:bCs/>
          <w:sz w:val="22"/>
          <w:szCs w:val="22"/>
        </w:rPr>
        <w:t>Artículo 2</w:t>
      </w:r>
      <w:r w:rsidR="000231A8" w:rsidRPr="00F7548C">
        <w:rPr>
          <w:rFonts w:ascii="ITC Avant Garde" w:hAnsi="ITC Avant Garde"/>
          <w:b/>
          <w:bCs/>
          <w:sz w:val="22"/>
          <w:szCs w:val="22"/>
        </w:rPr>
        <w:t>0</w:t>
      </w:r>
      <w:r w:rsidRPr="00F7548C">
        <w:rPr>
          <w:rFonts w:ascii="ITC Avant Garde" w:hAnsi="ITC Avant Garde"/>
          <w:b/>
          <w:bCs/>
          <w:sz w:val="22"/>
          <w:szCs w:val="22"/>
        </w:rPr>
        <w:t>.-</w:t>
      </w:r>
      <w:r w:rsidRPr="00F7548C">
        <w:rPr>
          <w:rFonts w:ascii="ITC Avant Garde" w:hAnsi="ITC Avant Garde"/>
          <w:sz w:val="22"/>
          <w:szCs w:val="22"/>
        </w:rPr>
        <w:t xml:space="preserve"> El Acceso y Uso de Infraestructura de la CFE por parte de Telecomunicaciones de México, debe ser utilizado para la prestación de Servicios Mayoristas de Telecomunicaciones y para la construcción y cre</w:t>
      </w:r>
      <w:bookmarkStart w:id="0" w:name="_GoBack"/>
      <w:bookmarkEnd w:id="0"/>
      <w:r w:rsidRPr="00F7548C">
        <w:rPr>
          <w:rFonts w:ascii="ITC Avant Garde" w:hAnsi="ITC Avant Garde"/>
          <w:sz w:val="22"/>
          <w:szCs w:val="22"/>
        </w:rPr>
        <w:t xml:space="preserve">cimiento de la Red Troncal Nacional, por lo que, en caso de que haya otros </w:t>
      </w:r>
      <w:r w:rsidR="00670782" w:rsidRPr="00F7548C">
        <w:rPr>
          <w:rFonts w:ascii="ITC Avant Garde" w:hAnsi="ITC Avant Garde"/>
          <w:sz w:val="22"/>
          <w:szCs w:val="22"/>
        </w:rPr>
        <w:t>concesionarios y autorizados</w:t>
      </w:r>
      <w:r w:rsidRPr="00F7548C">
        <w:rPr>
          <w:rFonts w:ascii="ITC Avant Garde" w:hAnsi="ITC Avant Garde"/>
          <w:sz w:val="22"/>
          <w:szCs w:val="22"/>
        </w:rPr>
        <w:t xml:space="preserve"> interesados en utilizar la infraestructura de la CFE, este acceso podrá llevarse a cabo a través de Telecomunicaciones de México</w:t>
      </w:r>
      <w:r w:rsidR="007C2C60" w:rsidRPr="00F7548C">
        <w:rPr>
          <w:rFonts w:ascii="ITC Avant Garde" w:hAnsi="ITC Avant Garde"/>
          <w:sz w:val="22"/>
          <w:szCs w:val="22"/>
        </w:rPr>
        <w:t>,</w:t>
      </w:r>
      <w:r w:rsidRPr="00F7548C">
        <w:rPr>
          <w:rFonts w:ascii="ITC Avant Garde" w:hAnsi="ITC Avant Garde"/>
          <w:sz w:val="22"/>
          <w:szCs w:val="22"/>
        </w:rPr>
        <w:t xml:space="preserve"> por lo que este último será responsable ante la CFE por el Acceso y Uso de Infraestructura proporcionado al tercero.</w:t>
      </w:r>
    </w:p>
    <w:p w14:paraId="2D805164" w14:textId="77777777" w:rsidR="0071127F" w:rsidRPr="00F7548C" w:rsidRDefault="0071127F" w:rsidP="0071127F">
      <w:pPr>
        <w:spacing w:line="276" w:lineRule="auto"/>
        <w:jc w:val="both"/>
        <w:rPr>
          <w:rFonts w:ascii="ITC Avant Garde" w:hAnsi="ITC Avant Garde"/>
          <w:sz w:val="22"/>
          <w:szCs w:val="22"/>
        </w:rPr>
      </w:pPr>
    </w:p>
    <w:p w14:paraId="2EBF47E4" w14:textId="1E50E4FE" w:rsidR="0071127F" w:rsidRPr="00F7548C" w:rsidRDefault="0071127F" w:rsidP="0071127F">
      <w:pPr>
        <w:spacing w:line="276" w:lineRule="auto"/>
        <w:jc w:val="both"/>
        <w:rPr>
          <w:rFonts w:ascii="ITC Avant Garde" w:hAnsi="ITC Avant Garde"/>
          <w:sz w:val="22"/>
          <w:szCs w:val="22"/>
        </w:rPr>
      </w:pPr>
      <w:r w:rsidRPr="00F7548C">
        <w:rPr>
          <w:rFonts w:ascii="ITC Avant Garde" w:hAnsi="ITC Avant Garde"/>
          <w:b/>
          <w:bCs/>
          <w:sz w:val="22"/>
          <w:szCs w:val="22"/>
        </w:rPr>
        <w:t>Artículo 2</w:t>
      </w:r>
      <w:r w:rsidR="000231A8" w:rsidRPr="00F7548C">
        <w:rPr>
          <w:rFonts w:ascii="ITC Avant Garde" w:hAnsi="ITC Avant Garde"/>
          <w:b/>
          <w:bCs/>
          <w:sz w:val="22"/>
          <w:szCs w:val="22"/>
        </w:rPr>
        <w:t>1</w:t>
      </w:r>
      <w:r w:rsidRPr="00F7548C">
        <w:rPr>
          <w:rFonts w:ascii="ITC Avant Garde" w:hAnsi="ITC Avant Garde"/>
          <w:b/>
          <w:bCs/>
          <w:sz w:val="22"/>
          <w:szCs w:val="22"/>
        </w:rPr>
        <w:t>.-</w:t>
      </w:r>
      <w:r w:rsidRPr="00F7548C">
        <w:rPr>
          <w:rFonts w:ascii="ITC Avant Garde" w:hAnsi="ITC Avant Garde"/>
          <w:sz w:val="22"/>
          <w:szCs w:val="22"/>
        </w:rPr>
        <w:t xml:space="preserve"> El Instituto interpretará los presentes Lineamientos </w:t>
      </w:r>
      <w:r w:rsidR="00335AC6" w:rsidRPr="00F7548C">
        <w:rPr>
          <w:rFonts w:ascii="ITC Avant Garde" w:hAnsi="ITC Avant Garde"/>
          <w:sz w:val="22"/>
          <w:szCs w:val="22"/>
        </w:rPr>
        <w:t xml:space="preserve">y resolverá, de ser el caso, sobre los </w:t>
      </w:r>
      <w:r w:rsidRPr="00F7548C">
        <w:rPr>
          <w:rFonts w:ascii="ITC Avant Garde" w:hAnsi="ITC Avant Garde"/>
          <w:sz w:val="22"/>
          <w:szCs w:val="22"/>
        </w:rPr>
        <w:t>aspecto</w:t>
      </w:r>
      <w:r w:rsidR="00335AC6" w:rsidRPr="00F7548C">
        <w:rPr>
          <w:rFonts w:ascii="ITC Avant Garde" w:hAnsi="ITC Avant Garde"/>
          <w:sz w:val="22"/>
          <w:szCs w:val="22"/>
        </w:rPr>
        <w:t>s</w:t>
      </w:r>
      <w:r w:rsidRPr="00F7548C">
        <w:rPr>
          <w:rFonts w:ascii="ITC Avant Garde" w:hAnsi="ITC Avant Garde"/>
          <w:sz w:val="22"/>
          <w:szCs w:val="22"/>
        </w:rPr>
        <w:t xml:space="preserve"> no previsto</w:t>
      </w:r>
      <w:r w:rsidR="00335AC6" w:rsidRPr="00F7548C">
        <w:rPr>
          <w:rFonts w:ascii="ITC Avant Garde" w:hAnsi="ITC Avant Garde"/>
          <w:sz w:val="22"/>
          <w:szCs w:val="22"/>
        </w:rPr>
        <w:t>s en el mismo</w:t>
      </w:r>
      <w:r w:rsidRPr="00F7548C">
        <w:rPr>
          <w:rFonts w:ascii="ITC Avant Garde" w:hAnsi="ITC Avant Garde"/>
          <w:sz w:val="22"/>
          <w:szCs w:val="22"/>
        </w:rPr>
        <w:t>.</w:t>
      </w:r>
    </w:p>
    <w:p w14:paraId="560017BF" w14:textId="77777777" w:rsidR="0071127F" w:rsidRDefault="0071127F" w:rsidP="0071127F">
      <w:pPr>
        <w:spacing w:line="276" w:lineRule="auto"/>
        <w:jc w:val="both"/>
        <w:rPr>
          <w:rFonts w:ascii="ITC Avant Garde" w:hAnsi="ITC Avant Garde"/>
          <w:sz w:val="22"/>
          <w:szCs w:val="22"/>
        </w:rPr>
      </w:pPr>
    </w:p>
    <w:p w14:paraId="5C9BE036" w14:textId="77777777" w:rsidR="0071127F" w:rsidRPr="005B2961" w:rsidRDefault="0071127F" w:rsidP="005B2961">
      <w:pPr>
        <w:pStyle w:val="Ttulo2"/>
        <w:jc w:val="center"/>
        <w:rPr>
          <w:rFonts w:ascii="ITC Avant Garde" w:hAnsi="ITC Avant Garde"/>
          <w:b/>
          <w:color w:val="000000" w:themeColor="text1"/>
          <w:sz w:val="22"/>
          <w:szCs w:val="22"/>
        </w:rPr>
      </w:pPr>
      <w:r w:rsidRPr="005B2961">
        <w:rPr>
          <w:rFonts w:ascii="ITC Avant Garde" w:hAnsi="ITC Avant Garde"/>
          <w:b/>
          <w:color w:val="000000" w:themeColor="text1"/>
          <w:sz w:val="22"/>
          <w:szCs w:val="22"/>
        </w:rPr>
        <w:t>TRANSITORIOS</w:t>
      </w:r>
    </w:p>
    <w:p w14:paraId="62F5720C" w14:textId="77777777" w:rsidR="0071127F" w:rsidRDefault="0071127F" w:rsidP="0071127F">
      <w:pPr>
        <w:spacing w:line="276" w:lineRule="auto"/>
        <w:jc w:val="both"/>
        <w:rPr>
          <w:rFonts w:ascii="ITC Avant Garde" w:hAnsi="ITC Avant Garde"/>
          <w:sz w:val="22"/>
          <w:szCs w:val="22"/>
        </w:rPr>
      </w:pPr>
    </w:p>
    <w:p w14:paraId="0FC92CBB" w14:textId="77777777" w:rsidR="007C2C60" w:rsidRPr="00F7548C" w:rsidRDefault="0071127F" w:rsidP="005B2961">
      <w:pPr>
        <w:pStyle w:val="estilo30"/>
        <w:spacing w:before="240" w:beforeAutospacing="0" w:after="0" w:afterAutospacing="0" w:line="276" w:lineRule="auto"/>
        <w:jc w:val="both"/>
        <w:rPr>
          <w:rFonts w:ascii="ITC Avant Garde" w:hAnsi="ITC Avant Garde"/>
          <w:sz w:val="22"/>
          <w:szCs w:val="22"/>
        </w:rPr>
      </w:pPr>
      <w:r w:rsidRPr="00F7548C">
        <w:rPr>
          <w:rFonts w:ascii="ITC Avant Garde" w:hAnsi="ITC Avant Garde"/>
          <w:b/>
          <w:sz w:val="22"/>
          <w:szCs w:val="22"/>
        </w:rPr>
        <w:t>PRIMERO</w:t>
      </w:r>
      <w:r w:rsidR="006D64AA" w:rsidRPr="00F7548C">
        <w:rPr>
          <w:rFonts w:ascii="ITC Avant Garde" w:hAnsi="ITC Avant Garde"/>
          <w:sz w:val="22"/>
          <w:szCs w:val="22"/>
        </w:rPr>
        <w:t xml:space="preserve">.- </w:t>
      </w:r>
      <w:r w:rsidRPr="00F7548C">
        <w:rPr>
          <w:rFonts w:ascii="ITC Avant Garde" w:hAnsi="ITC Avant Garde"/>
          <w:sz w:val="22"/>
          <w:szCs w:val="22"/>
        </w:rPr>
        <w:t>Notifíquese a la Comisión Federal de Electricidad y a Telecomunicaciones de México.</w:t>
      </w:r>
    </w:p>
    <w:p w14:paraId="7D252EEA" w14:textId="67385A88" w:rsidR="0071127F" w:rsidRPr="00F7548C" w:rsidRDefault="007C2C60" w:rsidP="005B2961">
      <w:pPr>
        <w:pStyle w:val="estilo30"/>
        <w:spacing w:before="240" w:beforeAutospacing="0" w:after="0" w:afterAutospacing="0" w:line="276" w:lineRule="auto"/>
        <w:jc w:val="both"/>
        <w:rPr>
          <w:rFonts w:ascii="ITC Avant Garde" w:hAnsi="ITC Avant Garde"/>
          <w:b/>
          <w:sz w:val="22"/>
          <w:szCs w:val="22"/>
        </w:rPr>
      </w:pPr>
      <w:r w:rsidRPr="00F7548C">
        <w:rPr>
          <w:rFonts w:ascii="ITC Avant Garde" w:hAnsi="ITC Avant Garde"/>
          <w:b/>
          <w:sz w:val="22"/>
          <w:szCs w:val="22"/>
        </w:rPr>
        <w:t xml:space="preserve">SEGUNDO.- </w:t>
      </w:r>
      <w:r w:rsidRPr="00F7548C">
        <w:rPr>
          <w:rFonts w:ascii="ITC Avant Garde" w:hAnsi="ITC Avant Garde"/>
          <w:sz w:val="22"/>
          <w:szCs w:val="22"/>
        </w:rPr>
        <w:t>Los presentes Lineamientos entrarán en vigor al día siguiente de su notificación a la Comisión Federal de Electricidad y a Telecomunicaciones de México.</w:t>
      </w:r>
      <w:r w:rsidR="0071127F" w:rsidRPr="00F7548C">
        <w:rPr>
          <w:rFonts w:ascii="ITC Avant Garde" w:hAnsi="ITC Avant Garde"/>
          <w:sz w:val="22"/>
          <w:szCs w:val="22"/>
        </w:rPr>
        <w:t xml:space="preserve"> </w:t>
      </w:r>
    </w:p>
    <w:p w14:paraId="3A93FAA0" w14:textId="20A81448" w:rsidR="0071127F" w:rsidRPr="00F7548C" w:rsidRDefault="00AF5E49" w:rsidP="005B2961">
      <w:pPr>
        <w:spacing w:before="240" w:line="276" w:lineRule="auto"/>
        <w:jc w:val="both"/>
        <w:rPr>
          <w:rFonts w:ascii="ITC Avant Garde" w:hAnsi="ITC Avant Garde"/>
          <w:b/>
          <w:bCs/>
          <w:sz w:val="22"/>
          <w:szCs w:val="22"/>
        </w:rPr>
      </w:pPr>
      <w:r w:rsidRPr="00F7548C">
        <w:rPr>
          <w:rFonts w:ascii="ITC Avant Garde" w:hAnsi="ITC Avant Garde"/>
          <w:b/>
          <w:sz w:val="22"/>
          <w:szCs w:val="22"/>
        </w:rPr>
        <w:t>TERCERO</w:t>
      </w:r>
      <w:r w:rsidR="0071127F" w:rsidRPr="00F7548C">
        <w:rPr>
          <w:rFonts w:ascii="ITC Avant Garde" w:hAnsi="ITC Avant Garde"/>
          <w:b/>
          <w:bCs/>
          <w:sz w:val="22"/>
          <w:szCs w:val="22"/>
        </w:rPr>
        <w:t xml:space="preserve">.- </w:t>
      </w:r>
      <w:r w:rsidR="0071127F" w:rsidRPr="00F7548C">
        <w:rPr>
          <w:rFonts w:ascii="ITC Avant Garde" w:hAnsi="ITC Avant Garde"/>
          <w:bCs/>
          <w:sz w:val="22"/>
          <w:szCs w:val="22"/>
        </w:rPr>
        <w:t>Las mediciones</w:t>
      </w:r>
      <w:r w:rsidRPr="00F7548C">
        <w:rPr>
          <w:rFonts w:ascii="ITC Avant Garde" w:hAnsi="ITC Avant Garde"/>
          <w:bCs/>
          <w:sz w:val="22"/>
          <w:szCs w:val="22"/>
        </w:rPr>
        <w:t xml:space="preserve"> </w:t>
      </w:r>
      <w:r w:rsidR="0071127F" w:rsidRPr="00F7548C">
        <w:rPr>
          <w:rFonts w:ascii="ITC Avant Garde" w:hAnsi="ITC Avant Garde"/>
          <w:bCs/>
          <w:sz w:val="22"/>
          <w:szCs w:val="22"/>
        </w:rPr>
        <w:t>señaladas en el artículo 1</w:t>
      </w:r>
      <w:r w:rsidR="00E8514F" w:rsidRPr="00F7548C">
        <w:rPr>
          <w:rFonts w:ascii="ITC Avant Garde" w:hAnsi="ITC Avant Garde"/>
          <w:bCs/>
          <w:sz w:val="22"/>
          <w:szCs w:val="22"/>
        </w:rPr>
        <w:t>7</w:t>
      </w:r>
      <w:r w:rsidR="0071127F" w:rsidRPr="00F7548C">
        <w:rPr>
          <w:rFonts w:ascii="ITC Avant Garde" w:hAnsi="ITC Avant Garde"/>
          <w:bCs/>
          <w:sz w:val="22"/>
          <w:szCs w:val="22"/>
        </w:rPr>
        <w:t xml:space="preserve">, serán realizadas por el Instituto a partir del cuarto año de </w:t>
      </w:r>
      <w:r w:rsidR="005B2830" w:rsidRPr="00F7548C">
        <w:rPr>
          <w:rFonts w:ascii="ITC Avant Garde" w:hAnsi="ITC Avant Garde"/>
          <w:bCs/>
          <w:sz w:val="22"/>
          <w:szCs w:val="22"/>
        </w:rPr>
        <w:t xml:space="preserve">aplicación </w:t>
      </w:r>
      <w:r w:rsidR="0071127F" w:rsidRPr="00F7548C">
        <w:rPr>
          <w:rFonts w:ascii="ITC Avant Garde" w:hAnsi="ITC Avant Garde"/>
          <w:bCs/>
          <w:sz w:val="22"/>
          <w:szCs w:val="22"/>
        </w:rPr>
        <w:t>de los presentes Lineamientos a fin de verificar el nivel de disponibilidad</w:t>
      </w:r>
      <w:r w:rsidR="0071127F" w:rsidRPr="00F7548C">
        <w:rPr>
          <w:rFonts w:ascii="ITC Avant Garde" w:hAnsi="ITC Avant Garde"/>
          <w:b/>
          <w:bCs/>
          <w:sz w:val="22"/>
          <w:szCs w:val="22"/>
        </w:rPr>
        <w:t xml:space="preserve">. </w:t>
      </w:r>
    </w:p>
    <w:p w14:paraId="2F55CC8E" w14:textId="17B1E19C" w:rsidR="0071127F" w:rsidRPr="00F7548C" w:rsidRDefault="00AF5E49" w:rsidP="005B2961">
      <w:pPr>
        <w:spacing w:before="240" w:line="276" w:lineRule="auto"/>
        <w:jc w:val="both"/>
        <w:rPr>
          <w:rFonts w:ascii="ITC Avant Garde" w:hAnsi="ITC Avant Garde"/>
          <w:sz w:val="22"/>
          <w:szCs w:val="22"/>
        </w:rPr>
      </w:pPr>
      <w:r w:rsidRPr="00F7548C">
        <w:rPr>
          <w:rFonts w:ascii="ITC Avant Garde" w:hAnsi="ITC Avant Garde"/>
          <w:b/>
          <w:bCs/>
          <w:sz w:val="22"/>
          <w:szCs w:val="22"/>
        </w:rPr>
        <w:t>CUARTO</w:t>
      </w:r>
      <w:r w:rsidR="0071127F" w:rsidRPr="00F7548C">
        <w:rPr>
          <w:rFonts w:ascii="ITC Avant Garde" w:hAnsi="ITC Avant Garde"/>
          <w:b/>
          <w:bCs/>
          <w:sz w:val="22"/>
          <w:szCs w:val="22"/>
        </w:rPr>
        <w:t>.-</w:t>
      </w:r>
      <w:r w:rsidR="0071127F" w:rsidRPr="00F7548C">
        <w:rPr>
          <w:rFonts w:ascii="ITC Avant Garde" w:hAnsi="ITC Avant Garde"/>
          <w:sz w:val="22"/>
          <w:szCs w:val="22"/>
        </w:rPr>
        <w:t xml:space="preserve"> Telecomunicaciones de México y la </w:t>
      </w:r>
      <w:r w:rsidRPr="00F7548C">
        <w:rPr>
          <w:rFonts w:ascii="ITC Avant Garde" w:hAnsi="ITC Avant Garde"/>
          <w:sz w:val="22"/>
          <w:szCs w:val="22"/>
        </w:rPr>
        <w:t>Comisión Federal de Electricidad</w:t>
      </w:r>
      <w:r w:rsidR="0071127F" w:rsidRPr="00F7548C">
        <w:rPr>
          <w:rFonts w:ascii="ITC Avant Garde" w:hAnsi="ITC Avant Garde"/>
          <w:sz w:val="22"/>
          <w:szCs w:val="22"/>
        </w:rPr>
        <w:t xml:space="preserve"> dispondrán de 30 (treinta) días hábiles </w:t>
      </w:r>
      <w:r w:rsidR="005B2830" w:rsidRPr="00F7548C">
        <w:rPr>
          <w:rFonts w:ascii="ITC Avant Garde" w:hAnsi="ITC Avant Garde"/>
          <w:sz w:val="22"/>
          <w:szCs w:val="22"/>
        </w:rPr>
        <w:t xml:space="preserve">contados a partir del día siguiente al en que surta efectos la notificación de los </w:t>
      </w:r>
      <w:r w:rsidR="0071127F" w:rsidRPr="00F7548C">
        <w:rPr>
          <w:rFonts w:ascii="ITC Avant Garde" w:hAnsi="ITC Avant Garde"/>
          <w:sz w:val="22"/>
          <w:szCs w:val="22"/>
        </w:rPr>
        <w:t>presentes Lineamientos, para iniciar las negociaciones relativas a la suscripción de los convenios para el Acceso y Uso de Infraestructura.</w:t>
      </w:r>
    </w:p>
    <w:p w14:paraId="09953111" w14:textId="77777777" w:rsidR="0071127F" w:rsidRDefault="0071127F" w:rsidP="0071127F">
      <w:pPr>
        <w:spacing w:line="276" w:lineRule="auto"/>
        <w:jc w:val="both"/>
        <w:rPr>
          <w:rFonts w:ascii="ITC Avant Garde" w:hAnsi="ITC Avant Garde"/>
          <w:sz w:val="22"/>
          <w:szCs w:val="22"/>
        </w:rPr>
      </w:pPr>
    </w:p>
    <w:p w14:paraId="2F303551" w14:textId="503E2CC9" w:rsidR="00B35E14" w:rsidRPr="00520014" w:rsidRDefault="00B35E14" w:rsidP="005B2961">
      <w:pPr>
        <w:ind w:right="72"/>
        <w:jc w:val="both"/>
        <w:rPr>
          <w:rFonts w:ascii="ITC Avant Garde" w:hAnsi="ITC Avant Garde"/>
          <w:sz w:val="14"/>
          <w:szCs w:val="14"/>
        </w:rPr>
      </w:pPr>
      <w:r w:rsidRPr="00520014">
        <w:rPr>
          <w:rFonts w:ascii="ITC Avant Garde" w:hAnsi="ITC Avant Garde"/>
          <w:sz w:val="14"/>
          <w:szCs w:val="14"/>
        </w:rPr>
        <w:t>El presente Acuerdo fue aprobado por el Pleno del Instituto Federal de Telecomunicaciones en su XXV Sesión Ordinaria celebrada el 17 de agosto de 2016, por mayoría de votos de los Comisionados presentes Gabriel Oswaldo Contreras Saldívar, Ernesto Estrada González, Adriana Sofía Labardini Inzunza, Mario Germán Fromow Rangel y Adolfo Cuevas Teja; y con el voto en contra de la Comisionada María Elena Estavillo Flores;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P/IFT/170816/429.</w:t>
      </w:r>
    </w:p>
    <w:sectPr w:rsidR="00B35E14" w:rsidRPr="00520014" w:rsidSect="003B4BBA">
      <w:footerReference w:type="default" r:id="rId11"/>
      <w:pgSz w:w="12240" w:h="15840"/>
      <w:pgMar w:top="2127" w:right="1701" w:bottom="1417" w:left="1701" w:header="708" w:footer="9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59900" w14:textId="77777777" w:rsidR="000B365F" w:rsidRDefault="000B365F" w:rsidP="00A46617">
      <w:r>
        <w:separator/>
      </w:r>
    </w:p>
  </w:endnote>
  <w:endnote w:type="continuationSeparator" w:id="0">
    <w:p w14:paraId="0CE932C7" w14:textId="77777777" w:rsidR="000B365F" w:rsidRDefault="000B365F" w:rsidP="00A46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Avant Garde">
    <w:altName w:val="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439665"/>
      <w:docPartObj>
        <w:docPartGallery w:val="Page Numbers (Bottom of Page)"/>
        <w:docPartUnique/>
      </w:docPartObj>
    </w:sdtPr>
    <w:sdtEndPr>
      <w:rPr>
        <w:rFonts w:ascii="ITC Avant Garde" w:hAnsi="ITC Avant Garde"/>
        <w:sz w:val="20"/>
        <w:szCs w:val="20"/>
      </w:rPr>
    </w:sdtEndPr>
    <w:sdtContent>
      <w:p w14:paraId="3215D6C8" w14:textId="77777777" w:rsidR="00416EAA" w:rsidRPr="003B4BBA" w:rsidRDefault="00416EAA">
        <w:pPr>
          <w:pStyle w:val="Piedepgina"/>
          <w:jc w:val="right"/>
          <w:rPr>
            <w:rFonts w:ascii="ITC Avant Garde" w:hAnsi="ITC Avant Garde"/>
            <w:sz w:val="20"/>
            <w:szCs w:val="20"/>
          </w:rPr>
        </w:pPr>
        <w:r w:rsidRPr="003B4BBA">
          <w:rPr>
            <w:rFonts w:ascii="ITC Avant Garde" w:hAnsi="ITC Avant Garde"/>
            <w:sz w:val="20"/>
            <w:szCs w:val="20"/>
          </w:rPr>
          <w:fldChar w:fldCharType="begin"/>
        </w:r>
        <w:r w:rsidRPr="003B4BBA">
          <w:rPr>
            <w:rFonts w:ascii="ITC Avant Garde" w:hAnsi="ITC Avant Garde"/>
            <w:sz w:val="20"/>
            <w:szCs w:val="20"/>
          </w:rPr>
          <w:instrText>PAGE   \* MERGEFORMAT</w:instrText>
        </w:r>
        <w:r w:rsidRPr="003B4BBA">
          <w:rPr>
            <w:rFonts w:ascii="ITC Avant Garde" w:hAnsi="ITC Avant Garde"/>
            <w:sz w:val="20"/>
            <w:szCs w:val="20"/>
          </w:rPr>
          <w:fldChar w:fldCharType="separate"/>
        </w:r>
        <w:r w:rsidR="005B2961" w:rsidRPr="005B2961">
          <w:rPr>
            <w:rFonts w:ascii="ITC Avant Garde" w:hAnsi="ITC Avant Garde"/>
            <w:noProof/>
            <w:sz w:val="20"/>
            <w:szCs w:val="20"/>
            <w:lang w:val="es-ES"/>
          </w:rPr>
          <w:t>24</w:t>
        </w:r>
        <w:r w:rsidRPr="003B4BBA">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3A36E" w14:textId="77777777" w:rsidR="000B365F" w:rsidRDefault="000B365F" w:rsidP="00A46617">
      <w:r>
        <w:separator/>
      </w:r>
    </w:p>
  </w:footnote>
  <w:footnote w:type="continuationSeparator" w:id="0">
    <w:p w14:paraId="4014AB85" w14:textId="77777777" w:rsidR="000B365F" w:rsidRDefault="000B365F" w:rsidP="00A46617">
      <w:r>
        <w:continuationSeparator/>
      </w:r>
    </w:p>
  </w:footnote>
  <w:footnote w:id="1">
    <w:p w14:paraId="766ECDE6" w14:textId="0DC5766F" w:rsidR="00AC6F55" w:rsidRPr="00016E6C" w:rsidRDefault="00AC6F55">
      <w:pPr>
        <w:pStyle w:val="Textonotapie"/>
        <w:rPr>
          <w:sz w:val="16"/>
          <w:szCs w:val="16"/>
        </w:rPr>
      </w:pPr>
      <w:r w:rsidRPr="00016E6C">
        <w:rPr>
          <w:rStyle w:val="Refdenotaalpie"/>
          <w:sz w:val="16"/>
          <w:szCs w:val="16"/>
        </w:rPr>
        <w:footnoteRef/>
      </w:r>
      <w:r w:rsidRPr="00016E6C">
        <w:rPr>
          <w:sz w:val="16"/>
          <w:szCs w:val="16"/>
        </w:rPr>
        <w:t xml:space="preserve"> </w:t>
      </w:r>
      <w:r w:rsidRPr="00016E6C">
        <w:rPr>
          <w:rFonts w:ascii="ITC Avant Garde" w:hAnsi="ITC Avant Garde"/>
          <w:sz w:val="16"/>
          <w:szCs w:val="16"/>
        </w:rPr>
        <w:t xml:space="preserve">Comisión Federal de Telecomunicaciones, </w:t>
      </w:r>
      <w:r w:rsidRPr="00016E6C">
        <w:rPr>
          <w:rFonts w:ascii="ITC Avant Garde" w:eastAsia="Arial" w:hAnsi="ITC Avant Garde" w:cs="Arial"/>
          <w:i/>
          <w:sz w:val="16"/>
          <w:szCs w:val="16"/>
          <w:lang w:val="es-ES_tradnl"/>
        </w:rPr>
        <w:t>Red Nacional de Transporte</w:t>
      </w:r>
      <w:r w:rsidRPr="00016E6C">
        <w:rPr>
          <w:rFonts w:ascii="ITC Avant Garde" w:eastAsia="Arial" w:hAnsi="ITC Avant Garde" w:cs="Arial"/>
          <w:sz w:val="16"/>
          <w:szCs w:val="16"/>
          <w:lang w:val="es-ES_tradnl"/>
        </w:rPr>
        <w:t xml:space="preserve"> [en línea]</w:t>
      </w:r>
      <w:r w:rsidRPr="00016E6C">
        <w:rPr>
          <w:rFonts w:ascii="ITC Avant Garde" w:hAnsi="ITC Avant Garde"/>
          <w:sz w:val="16"/>
          <w:szCs w:val="16"/>
        </w:rPr>
        <w:t xml:space="preserve"> Ciudad de México. Disponible en: ‹http://www.ift.org.mx/sites/default/files/industria/politica-regulatoria/red_nacional_de_transporte1.pdf›</w:t>
      </w:r>
    </w:p>
  </w:footnote>
  <w:footnote w:id="2">
    <w:p w14:paraId="2A3DD40D" w14:textId="77777777" w:rsidR="00416EAA" w:rsidRPr="00EA1785" w:rsidRDefault="00416EAA" w:rsidP="00C75083">
      <w:pPr>
        <w:pStyle w:val="Textonotapie"/>
        <w:rPr>
          <w:rFonts w:ascii="ITC Avant Garde" w:hAnsi="ITC Avant Garde"/>
          <w:lang w:val="en-US"/>
        </w:rPr>
      </w:pPr>
      <w:r w:rsidRPr="00016E6C">
        <w:rPr>
          <w:rStyle w:val="Refdenotaalpie"/>
          <w:rFonts w:ascii="ITC Avant Garde" w:hAnsi="ITC Avant Garde"/>
          <w:sz w:val="16"/>
        </w:rPr>
        <w:footnoteRef/>
      </w:r>
      <w:r w:rsidRPr="00016E6C">
        <w:rPr>
          <w:rFonts w:ascii="ITC Avant Garde" w:hAnsi="ITC Avant Garde"/>
          <w:sz w:val="16"/>
          <w:lang w:val="en-US"/>
        </w:rPr>
        <w:t xml:space="preserve"> Dense Wavelength Division Multiplexing.</w:t>
      </w:r>
    </w:p>
  </w:footnote>
  <w:footnote w:id="3">
    <w:p w14:paraId="4441C70B" w14:textId="74D20C06" w:rsidR="00CD2003" w:rsidRPr="00016E6C" w:rsidRDefault="00CD2003">
      <w:pPr>
        <w:pStyle w:val="Textonotapie"/>
        <w:rPr>
          <w:rFonts w:ascii="ITC Avant Garde" w:hAnsi="ITC Avant Garde"/>
          <w:sz w:val="18"/>
          <w:szCs w:val="18"/>
        </w:rPr>
      </w:pPr>
      <w:r w:rsidRPr="00016E6C">
        <w:rPr>
          <w:rStyle w:val="Refdenotaalpie"/>
          <w:rFonts w:ascii="ITC Avant Garde" w:hAnsi="ITC Avant Garde"/>
          <w:sz w:val="16"/>
          <w:szCs w:val="18"/>
        </w:rPr>
        <w:footnoteRef/>
      </w:r>
      <w:r w:rsidRPr="00016E6C">
        <w:rPr>
          <w:rFonts w:ascii="ITC Avant Garde" w:hAnsi="ITC Avant Garde"/>
          <w:sz w:val="16"/>
          <w:szCs w:val="18"/>
        </w:rPr>
        <w:t xml:space="preserve"> Telecomunicaciones de México, </w:t>
      </w:r>
      <w:r w:rsidRPr="00016E6C">
        <w:rPr>
          <w:rFonts w:ascii="ITC Avant Garde" w:eastAsia="Arial" w:hAnsi="ITC Avant Garde" w:cs="Arial"/>
          <w:i/>
          <w:sz w:val="16"/>
          <w:szCs w:val="18"/>
          <w:lang w:val="es-ES_tradnl"/>
        </w:rPr>
        <w:t>Programa Institucional 2014-2018</w:t>
      </w:r>
      <w:r w:rsidRPr="00016E6C">
        <w:rPr>
          <w:rFonts w:ascii="ITC Avant Garde" w:eastAsia="Arial" w:hAnsi="ITC Avant Garde" w:cs="Arial"/>
          <w:sz w:val="16"/>
          <w:szCs w:val="18"/>
          <w:lang w:val="es-ES_tradnl"/>
        </w:rPr>
        <w:t xml:space="preserve"> </w:t>
      </w:r>
      <w:r w:rsidR="003C0694" w:rsidRPr="00016E6C">
        <w:rPr>
          <w:rFonts w:ascii="ITC Avant Garde" w:eastAsia="Arial" w:hAnsi="ITC Avant Garde" w:cs="Arial"/>
          <w:sz w:val="16"/>
          <w:szCs w:val="18"/>
          <w:lang w:val="es-ES_tradnl"/>
        </w:rPr>
        <w:t xml:space="preserve">p. 37 </w:t>
      </w:r>
      <w:r w:rsidRPr="00016E6C">
        <w:rPr>
          <w:rFonts w:ascii="ITC Avant Garde" w:eastAsia="Arial" w:hAnsi="ITC Avant Garde" w:cs="Arial"/>
          <w:sz w:val="16"/>
          <w:szCs w:val="18"/>
          <w:lang w:val="es-ES_tradnl"/>
        </w:rPr>
        <w:t>[en línea]</w:t>
      </w:r>
      <w:r w:rsidRPr="00016E6C">
        <w:rPr>
          <w:rFonts w:ascii="ITC Avant Garde" w:hAnsi="ITC Avant Garde"/>
          <w:sz w:val="16"/>
          <w:szCs w:val="18"/>
        </w:rPr>
        <w:t xml:space="preserve"> </w:t>
      </w:r>
      <w:r w:rsidR="003C0694" w:rsidRPr="00016E6C">
        <w:rPr>
          <w:rFonts w:ascii="ITC Avant Garde" w:hAnsi="ITC Avant Garde"/>
          <w:sz w:val="16"/>
          <w:szCs w:val="18"/>
        </w:rPr>
        <w:t>Ciudad de México. Disponible en: ‹</w:t>
      </w:r>
      <w:r w:rsidRPr="00016E6C">
        <w:rPr>
          <w:rFonts w:ascii="ITC Avant Garde" w:hAnsi="ITC Avant Garde"/>
          <w:sz w:val="16"/>
          <w:szCs w:val="18"/>
        </w:rPr>
        <w:t>http://www.telecomm.gob.mx/telecomm/dmdocuments/programa_institucional_2008-2014.pdf</w:t>
      </w:r>
      <w:r w:rsidR="003C0694" w:rsidRPr="00016E6C">
        <w:rPr>
          <w:rFonts w:ascii="ITC Avant Garde" w:hAnsi="ITC Avant Garde"/>
          <w:sz w:val="16"/>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43B8"/>
    <w:multiLevelType w:val="hybridMultilevel"/>
    <w:tmpl w:val="3992ED9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9E7964"/>
    <w:multiLevelType w:val="multilevel"/>
    <w:tmpl w:val="AA109148"/>
    <w:lvl w:ilvl="0">
      <w:start w:val="1"/>
      <w:numFmt w:val="lowerLetter"/>
      <w:lvlText w:val="%1)"/>
      <w:lvlJc w:val="left"/>
      <w:pPr>
        <w:tabs>
          <w:tab w:val="num" w:pos="1077"/>
        </w:tabs>
        <w:ind w:left="1077" w:hanging="510"/>
      </w:pPr>
      <w:rPr>
        <w:rFonts w:hint="default"/>
        <w:b/>
        <w:sz w:val="20"/>
        <w:szCs w:val="20"/>
      </w:rPr>
    </w:lvl>
    <w:lvl w:ilvl="1">
      <w:start w:val="1"/>
      <w:numFmt w:val="decimal"/>
      <w:lvlText w:val="%1.%2."/>
      <w:lvlJc w:val="left"/>
      <w:pPr>
        <w:tabs>
          <w:tab w:val="num" w:pos="1287"/>
        </w:tabs>
        <w:ind w:left="1287" w:hanging="720"/>
      </w:pPr>
      <w:rPr>
        <w:rFonts w:cs="Times New Roman" w:hint="default"/>
      </w:rPr>
    </w:lvl>
    <w:lvl w:ilvl="2">
      <w:start w:val="1"/>
      <w:numFmt w:val="decimal"/>
      <w:lvlText w:val="%1.%2.%3."/>
      <w:lvlJc w:val="left"/>
      <w:pPr>
        <w:tabs>
          <w:tab w:val="num" w:pos="1287"/>
        </w:tabs>
        <w:ind w:left="1287" w:hanging="720"/>
      </w:pPr>
      <w:rPr>
        <w:rFonts w:cs="Times New Roman" w:hint="default"/>
        <w:sz w:val="20"/>
        <w:szCs w:val="20"/>
      </w:rPr>
    </w:lvl>
    <w:lvl w:ilvl="3">
      <w:start w:val="1"/>
      <w:numFmt w:val="decimal"/>
      <w:lvlText w:val="%1.%2.%3.%4."/>
      <w:lvlJc w:val="left"/>
      <w:pPr>
        <w:tabs>
          <w:tab w:val="num" w:pos="1647"/>
        </w:tabs>
        <w:ind w:left="1647" w:hanging="1080"/>
      </w:pPr>
      <w:rPr>
        <w:rFonts w:cs="Times New Roman" w:hint="default"/>
      </w:rPr>
    </w:lvl>
    <w:lvl w:ilvl="4">
      <w:start w:val="1"/>
      <w:numFmt w:val="decimal"/>
      <w:lvlText w:val="%1.%2.%3.%4.%5."/>
      <w:lvlJc w:val="left"/>
      <w:pPr>
        <w:tabs>
          <w:tab w:val="num" w:pos="1647"/>
        </w:tabs>
        <w:ind w:left="1647" w:hanging="1080"/>
      </w:pPr>
      <w:rPr>
        <w:rFonts w:cs="Times New Roman" w:hint="default"/>
      </w:rPr>
    </w:lvl>
    <w:lvl w:ilvl="5">
      <w:start w:val="1"/>
      <w:numFmt w:val="decimal"/>
      <w:lvlText w:val="%1.%2.%3.%4.%5.%6."/>
      <w:lvlJc w:val="left"/>
      <w:pPr>
        <w:tabs>
          <w:tab w:val="num" w:pos="2007"/>
        </w:tabs>
        <w:ind w:left="2007" w:hanging="1440"/>
      </w:pPr>
      <w:rPr>
        <w:rFonts w:cs="Times New Roman" w:hint="default"/>
      </w:rPr>
    </w:lvl>
    <w:lvl w:ilvl="6">
      <w:start w:val="1"/>
      <w:numFmt w:val="decimal"/>
      <w:lvlText w:val="%1.%2.%3.%4.%5.%6.%7."/>
      <w:lvlJc w:val="left"/>
      <w:pPr>
        <w:tabs>
          <w:tab w:val="num" w:pos="2007"/>
        </w:tabs>
        <w:ind w:left="2007" w:hanging="1440"/>
      </w:pPr>
      <w:rPr>
        <w:rFonts w:cs="Times New Roman" w:hint="default"/>
      </w:rPr>
    </w:lvl>
    <w:lvl w:ilvl="7">
      <w:start w:val="1"/>
      <w:numFmt w:val="decimal"/>
      <w:lvlText w:val="%1.%2.%3.%4.%5.%6.%7.%8."/>
      <w:lvlJc w:val="left"/>
      <w:pPr>
        <w:tabs>
          <w:tab w:val="num" w:pos="2367"/>
        </w:tabs>
        <w:ind w:left="2367" w:hanging="1800"/>
      </w:pPr>
      <w:rPr>
        <w:rFonts w:cs="Times New Roman" w:hint="default"/>
      </w:rPr>
    </w:lvl>
    <w:lvl w:ilvl="8">
      <w:start w:val="1"/>
      <w:numFmt w:val="decimal"/>
      <w:lvlText w:val="%1.%2.%3.%4.%5.%6.%7.%8.%9."/>
      <w:lvlJc w:val="left"/>
      <w:pPr>
        <w:tabs>
          <w:tab w:val="num" w:pos="2727"/>
        </w:tabs>
        <w:ind w:left="2727" w:hanging="2160"/>
      </w:pPr>
      <w:rPr>
        <w:rFonts w:cs="Times New Roman" w:hint="default"/>
      </w:rPr>
    </w:lvl>
  </w:abstractNum>
  <w:abstractNum w:abstractNumId="2" w15:restartNumberingAfterBreak="0">
    <w:nsid w:val="0BB8321F"/>
    <w:multiLevelType w:val="hybridMultilevel"/>
    <w:tmpl w:val="1F4C1A2E"/>
    <w:lvl w:ilvl="0" w:tplc="080A0017">
      <w:start w:val="1"/>
      <w:numFmt w:val="lowerLetter"/>
      <w:lvlText w:val="%1)"/>
      <w:lvlJc w:val="left"/>
      <w:pPr>
        <w:ind w:left="1116" w:hanging="360"/>
      </w:pPr>
    </w:lvl>
    <w:lvl w:ilvl="1" w:tplc="080A0019" w:tentative="1">
      <w:start w:val="1"/>
      <w:numFmt w:val="lowerLetter"/>
      <w:lvlText w:val="%2."/>
      <w:lvlJc w:val="left"/>
      <w:pPr>
        <w:ind w:left="1836" w:hanging="360"/>
      </w:pPr>
    </w:lvl>
    <w:lvl w:ilvl="2" w:tplc="080A001B" w:tentative="1">
      <w:start w:val="1"/>
      <w:numFmt w:val="lowerRoman"/>
      <w:lvlText w:val="%3."/>
      <w:lvlJc w:val="right"/>
      <w:pPr>
        <w:ind w:left="2556" w:hanging="180"/>
      </w:pPr>
    </w:lvl>
    <w:lvl w:ilvl="3" w:tplc="080A000F" w:tentative="1">
      <w:start w:val="1"/>
      <w:numFmt w:val="decimal"/>
      <w:lvlText w:val="%4."/>
      <w:lvlJc w:val="left"/>
      <w:pPr>
        <w:ind w:left="3276" w:hanging="360"/>
      </w:pPr>
    </w:lvl>
    <w:lvl w:ilvl="4" w:tplc="080A0019" w:tentative="1">
      <w:start w:val="1"/>
      <w:numFmt w:val="lowerLetter"/>
      <w:lvlText w:val="%5."/>
      <w:lvlJc w:val="left"/>
      <w:pPr>
        <w:ind w:left="3996" w:hanging="360"/>
      </w:pPr>
    </w:lvl>
    <w:lvl w:ilvl="5" w:tplc="080A001B" w:tentative="1">
      <w:start w:val="1"/>
      <w:numFmt w:val="lowerRoman"/>
      <w:lvlText w:val="%6."/>
      <w:lvlJc w:val="right"/>
      <w:pPr>
        <w:ind w:left="4716" w:hanging="180"/>
      </w:pPr>
    </w:lvl>
    <w:lvl w:ilvl="6" w:tplc="080A000F" w:tentative="1">
      <w:start w:val="1"/>
      <w:numFmt w:val="decimal"/>
      <w:lvlText w:val="%7."/>
      <w:lvlJc w:val="left"/>
      <w:pPr>
        <w:ind w:left="5436" w:hanging="360"/>
      </w:pPr>
    </w:lvl>
    <w:lvl w:ilvl="7" w:tplc="080A0019" w:tentative="1">
      <w:start w:val="1"/>
      <w:numFmt w:val="lowerLetter"/>
      <w:lvlText w:val="%8."/>
      <w:lvlJc w:val="left"/>
      <w:pPr>
        <w:ind w:left="6156" w:hanging="360"/>
      </w:pPr>
    </w:lvl>
    <w:lvl w:ilvl="8" w:tplc="080A001B" w:tentative="1">
      <w:start w:val="1"/>
      <w:numFmt w:val="lowerRoman"/>
      <w:lvlText w:val="%9."/>
      <w:lvlJc w:val="right"/>
      <w:pPr>
        <w:ind w:left="6876" w:hanging="180"/>
      </w:pPr>
    </w:lvl>
  </w:abstractNum>
  <w:abstractNum w:abstractNumId="3" w15:restartNumberingAfterBreak="0">
    <w:nsid w:val="0E9654BA"/>
    <w:multiLevelType w:val="hybridMultilevel"/>
    <w:tmpl w:val="5FFCB41A"/>
    <w:lvl w:ilvl="0" w:tplc="080A0017">
      <w:start w:val="1"/>
      <w:numFmt w:val="lowerLetter"/>
      <w:lvlText w:val="%1)"/>
      <w:lvlJc w:val="left"/>
      <w:pPr>
        <w:ind w:left="870" w:hanging="360"/>
      </w:pPr>
      <w:rPr>
        <w:rFonts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4" w15:restartNumberingAfterBreak="0">
    <w:nsid w:val="10134D16"/>
    <w:multiLevelType w:val="multilevel"/>
    <w:tmpl w:val="E9307384"/>
    <w:lvl w:ilvl="0">
      <w:start w:val="1"/>
      <w:numFmt w:val="lowerLetter"/>
      <w:lvlText w:val="%1)"/>
      <w:lvlJc w:val="left"/>
      <w:pPr>
        <w:tabs>
          <w:tab w:val="num" w:pos="1020"/>
        </w:tabs>
        <w:ind w:left="1020" w:hanging="510"/>
      </w:pPr>
      <w:rPr>
        <w:rFonts w:hint="default"/>
        <w:b/>
        <w:sz w:val="20"/>
        <w:szCs w:val="20"/>
      </w:rPr>
    </w:lvl>
    <w:lvl w:ilvl="1">
      <w:start w:val="1"/>
      <w:numFmt w:val="decimal"/>
      <w:lvlText w:val="%1.%2."/>
      <w:lvlJc w:val="left"/>
      <w:pPr>
        <w:tabs>
          <w:tab w:val="num" w:pos="1230"/>
        </w:tabs>
        <w:ind w:left="1230" w:hanging="720"/>
      </w:pPr>
      <w:rPr>
        <w:rFonts w:cs="Times New Roman" w:hint="default"/>
      </w:rPr>
    </w:lvl>
    <w:lvl w:ilvl="2">
      <w:start w:val="1"/>
      <w:numFmt w:val="decimal"/>
      <w:lvlText w:val="%1.%2.%3."/>
      <w:lvlJc w:val="left"/>
      <w:pPr>
        <w:tabs>
          <w:tab w:val="num" w:pos="1230"/>
        </w:tabs>
        <w:ind w:left="1230" w:hanging="720"/>
      </w:pPr>
      <w:rPr>
        <w:rFonts w:cs="Times New Roman" w:hint="default"/>
        <w:sz w:val="20"/>
        <w:szCs w:val="20"/>
      </w:rPr>
    </w:lvl>
    <w:lvl w:ilvl="3">
      <w:start w:val="1"/>
      <w:numFmt w:val="decimal"/>
      <w:lvlText w:val="%1.%2.%3.%4."/>
      <w:lvlJc w:val="left"/>
      <w:pPr>
        <w:tabs>
          <w:tab w:val="num" w:pos="1590"/>
        </w:tabs>
        <w:ind w:left="1590" w:hanging="1080"/>
      </w:pPr>
      <w:rPr>
        <w:rFonts w:cs="Times New Roman" w:hint="default"/>
      </w:rPr>
    </w:lvl>
    <w:lvl w:ilvl="4">
      <w:start w:val="1"/>
      <w:numFmt w:val="decimal"/>
      <w:lvlText w:val="%1.%2.%3.%4.%5."/>
      <w:lvlJc w:val="left"/>
      <w:pPr>
        <w:tabs>
          <w:tab w:val="num" w:pos="1590"/>
        </w:tabs>
        <w:ind w:left="1590" w:hanging="1080"/>
      </w:pPr>
      <w:rPr>
        <w:rFonts w:cs="Times New Roman" w:hint="default"/>
      </w:rPr>
    </w:lvl>
    <w:lvl w:ilvl="5">
      <w:start w:val="1"/>
      <w:numFmt w:val="decimal"/>
      <w:lvlText w:val="%1.%2.%3.%4.%5.%6."/>
      <w:lvlJc w:val="left"/>
      <w:pPr>
        <w:tabs>
          <w:tab w:val="num" w:pos="1950"/>
        </w:tabs>
        <w:ind w:left="1950" w:hanging="1440"/>
      </w:pPr>
      <w:rPr>
        <w:rFonts w:cs="Times New Roman" w:hint="default"/>
      </w:rPr>
    </w:lvl>
    <w:lvl w:ilvl="6">
      <w:start w:val="1"/>
      <w:numFmt w:val="decimal"/>
      <w:lvlText w:val="%1.%2.%3.%4.%5.%6.%7."/>
      <w:lvlJc w:val="left"/>
      <w:pPr>
        <w:tabs>
          <w:tab w:val="num" w:pos="1950"/>
        </w:tabs>
        <w:ind w:left="1950" w:hanging="1440"/>
      </w:pPr>
      <w:rPr>
        <w:rFonts w:cs="Times New Roman" w:hint="default"/>
      </w:rPr>
    </w:lvl>
    <w:lvl w:ilvl="7">
      <w:start w:val="1"/>
      <w:numFmt w:val="decimal"/>
      <w:lvlText w:val="%1.%2.%3.%4.%5.%6.%7.%8."/>
      <w:lvlJc w:val="left"/>
      <w:pPr>
        <w:tabs>
          <w:tab w:val="num" w:pos="2310"/>
        </w:tabs>
        <w:ind w:left="2310" w:hanging="1800"/>
      </w:pPr>
      <w:rPr>
        <w:rFonts w:cs="Times New Roman" w:hint="default"/>
      </w:rPr>
    </w:lvl>
    <w:lvl w:ilvl="8">
      <w:start w:val="1"/>
      <w:numFmt w:val="decimal"/>
      <w:lvlText w:val="%1.%2.%3.%4.%5.%6.%7.%8.%9."/>
      <w:lvlJc w:val="left"/>
      <w:pPr>
        <w:tabs>
          <w:tab w:val="num" w:pos="2670"/>
        </w:tabs>
        <w:ind w:left="2670" w:hanging="2160"/>
      </w:pPr>
      <w:rPr>
        <w:rFonts w:cs="Times New Roman" w:hint="default"/>
      </w:rPr>
    </w:lvl>
  </w:abstractNum>
  <w:abstractNum w:abstractNumId="5" w15:restartNumberingAfterBreak="0">
    <w:nsid w:val="14BC1572"/>
    <w:multiLevelType w:val="multilevel"/>
    <w:tmpl w:val="E9307384"/>
    <w:lvl w:ilvl="0">
      <w:start w:val="1"/>
      <w:numFmt w:val="lowerLetter"/>
      <w:lvlText w:val="%1)"/>
      <w:lvlJc w:val="left"/>
      <w:pPr>
        <w:tabs>
          <w:tab w:val="num" w:pos="1020"/>
        </w:tabs>
        <w:ind w:left="1020" w:hanging="510"/>
      </w:pPr>
      <w:rPr>
        <w:rFonts w:hint="default"/>
        <w:b/>
        <w:sz w:val="20"/>
        <w:szCs w:val="20"/>
      </w:rPr>
    </w:lvl>
    <w:lvl w:ilvl="1">
      <w:start w:val="1"/>
      <w:numFmt w:val="decimal"/>
      <w:lvlText w:val="%1.%2."/>
      <w:lvlJc w:val="left"/>
      <w:pPr>
        <w:tabs>
          <w:tab w:val="num" w:pos="1230"/>
        </w:tabs>
        <w:ind w:left="1230" w:hanging="720"/>
      </w:pPr>
      <w:rPr>
        <w:rFonts w:cs="Times New Roman" w:hint="default"/>
      </w:rPr>
    </w:lvl>
    <w:lvl w:ilvl="2">
      <w:start w:val="1"/>
      <w:numFmt w:val="decimal"/>
      <w:lvlText w:val="%1.%2.%3."/>
      <w:lvlJc w:val="left"/>
      <w:pPr>
        <w:tabs>
          <w:tab w:val="num" w:pos="1230"/>
        </w:tabs>
        <w:ind w:left="1230" w:hanging="720"/>
      </w:pPr>
      <w:rPr>
        <w:rFonts w:cs="Times New Roman" w:hint="default"/>
        <w:sz w:val="20"/>
        <w:szCs w:val="20"/>
      </w:rPr>
    </w:lvl>
    <w:lvl w:ilvl="3">
      <w:start w:val="1"/>
      <w:numFmt w:val="decimal"/>
      <w:lvlText w:val="%1.%2.%3.%4."/>
      <w:lvlJc w:val="left"/>
      <w:pPr>
        <w:tabs>
          <w:tab w:val="num" w:pos="1590"/>
        </w:tabs>
        <w:ind w:left="1590" w:hanging="1080"/>
      </w:pPr>
      <w:rPr>
        <w:rFonts w:cs="Times New Roman" w:hint="default"/>
      </w:rPr>
    </w:lvl>
    <w:lvl w:ilvl="4">
      <w:start w:val="1"/>
      <w:numFmt w:val="decimal"/>
      <w:lvlText w:val="%1.%2.%3.%4.%5."/>
      <w:lvlJc w:val="left"/>
      <w:pPr>
        <w:tabs>
          <w:tab w:val="num" w:pos="1590"/>
        </w:tabs>
        <w:ind w:left="1590" w:hanging="1080"/>
      </w:pPr>
      <w:rPr>
        <w:rFonts w:cs="Times New Roman" w:hint="default"/>
      </w:rPr>
    </w:lvl>
    <w:lvl w:ilvl="5">
      <w:start w:val="1"/>
      <w:numFmt w:val="decimal"/>
      <w:lvlText w:val="%1.%2.%3.%4.%5.%6."/>
      <w:lvlJc w:val="left"/>
      <w:pPr>
        <w:tabs>
          <w:tab w:val="num" w:pos="1950"/>
        </w:tabs>
        <w:ind w:left="1950" w:hanging="1440"/>
      </w:pPr>
      <w:rPr>
        <w:rFonts w:cs="Times New Roman" w:hint="default"/>
      </w:rPr>
    </w:lvl>
    <w:lvl w:ilvl="6">
      <w:start w:val="1"/>
      <w:numFmt w:val="decimal"/>
      <w:lvlText w:val="%1.%2.%3.%4.%5.%6.%7."/>
      <w:lvlJc w:val="left"/>
      <w:pPr>
        <w:tabs>
          <w:tab w:val="num" w:pos="1950"/>
        </w:tabs>
        <w:ind w:left="1950" w:hanging="1440"/>
      </w:pPr>
      <w:rPr>
        <w:rFonts w:cs="Times New Roman" w:hint="default"/>
      </w:rPr>
    </w:lvl>
    <w:lvl w:ilvl="7">
      <w:start w:val="1"/>
      <w:numFmt w:val="decimal"/>
      <w:lvlText w:val="%1.%2.%3.%4.%5.%6.%7.%8."/>
      <w:lvlJc w:val="left"/>
      <w:pPr>
        <w:tabs>
          <w:tab w:val="num" w:pos="2310"/>
        </w:tabs>
        <w:ind w:left="2310" w:hanging="1800"/>
      </w:pPr>
      <w:rPr>
        <w:rFonts w:cs="Times New Roman" w:hint="default"/>
      </w:rPr>
    </w:lvl>
    <w:lvl w:ilvl="8">
      <w:start w:val="1"/>
      <w:numFmt w:val="decimal"/>
      <w:lvlText w:val="%1.%2.%3.%4.%5.%6.%7.%8.%9."/>
      <w:lvlJc w:val="left"/>
      <w:pPr>
        <w:tabs>
          <w:tab w:val="num" w:pos="2670"/>
        </w:tabs>
        <w:ind w:left="2670" w:hanging="2160"/>
      </w:pPr>
      <w:rPr>
        <w:rFonts w:cs="Times New Roman" w:hint="default"/>
      </w:rPr>
    </w:lvl>
  </w:abstractNum>
  <w:abstractNum w:abstractNumId="6" w15:restartNumberingAfterBreak="0">
    <w:nsid w:val="151E4C5B"/>
    <w:multiLevelType w:val="hybridMultilevel"/>
    <w:tmpl w:val="1F3246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6881095"/>
    <w:multiLevelType w:val="hybridMultilevel"/>
    <w:tmpl w:val="1F3246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C5254B"/>
    <w:multiLevelType w:val="hybridMultilevel"/>
    <w:tmpl w:val="B6CC485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5E3EC1"/>
    <w:multiLevelType w:val="hybridMultilevel"/>
    <w:tmpl w:val="1F3246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B0B1886"/>
    <w:multiLevelType w:val="hybridMultilevel"/>
    <w:tmpl w:val="1F3246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7548D5"/>
    <w:multiLevelType w:val="hybridMultilevel"/>
    <w:tmpl w:val="DAD0EE5C"/>
    <w:lvl w:ilvl="0" w:tplc="01BA7C9C">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AAE04CB"/>
    <w:multiLevelType w:val="hybridMultilevel"/>
    <w:tmpl w:val="33D2790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2D2D477E"/>
    <w:multiLevelType w:val="hybridMultilevel"/>
    <w:tmpl w:val="D4F65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DA4AF4"/>
    <w:multiLevelType w:val="hybridMultilevel"/>
    <w:tmpl w:val="90D23696"/>
    <w:lvl w:ilvl="0" w:tplc="72AA3DB2">
      <w:start w:val="1"/>
      <w:numFmt w:val="lowerLetter"/>
      <w:lvlText w:val="%1)"/>
      <w:lvlJc w:val="left"/>
      <w:pPr>
        <w:ind w:left="1620" w:hanging="360"/>
      </w:pPr>
      <w:rPr>
        <w:b/>
      </w:rPr>
    </w:lvl>
    <w:lvl w:ilvl="1" w:tplc="080A0019" w:tentative="1">
      <w:start w:val="1"/>
      <w:numFmt w:val="lowerLetter"/>
      <w:lvlText w:val="%2."/>
      <w:lvlJc w:val="left"/>
      <w:pPr>
        <w:ind w:left="2340" w:hanging="360"/>
      </w:pPr>
    </w:lvl>
    <w:lvl w:ilvl="2" w:tplc="080A001B" w:tentative="1">
      <w:start w:val="1"/>
      <w:numFmt w:val="lowerRoman"/>
      <w:lvlText w:val="%3."/>
      <w:lvlJc w:val="right"/>
      <w:pPr>
        <w:ind w:left="3060" w:hanging="180"/>
      </w:pPr>
    </w:lvl>
    <w:lvl w:ilvl="3" w:tplc="080A000F" w:tentative="1">
      <w:start w:val="1"/>
      <w:numFmt w:val="decimal"/>
      <w:lvlText w:val="%4."/>
      <w:lvlJc w:val="left"/>
      <w:pPr>
        <w:ind w:left="3780" w:hanging="360"/>
      </w:pPr>
    </w:lvl>
    <w:lvl w:ilvl="4" w:tplc="080A0019" w:tentative="1">
      <w:start w:val="1"/>
      <w:numFmt w:val="lowerLetter"/>
      <w:lvlText w:val="%5."/>
      <w:lvlJc w:val="left"/>
      <w:pPr>
        <w:ind w:left="4500" w:hanging="360"/>
      </w:pPr>
    </w:lvl>
    <w:lvl w:ilvl="5" w:tplc="080A001B" w:tentative="1">
      <w:start w:val="1"/>
      <w:numFmt w:val="lowerRoman"/>
      <w:lvlText w:val="%6."/>
      <w:lvlJc w:val="right"/>
      <w:pPr>
        <w:ind w:left="5220" w:hanging="180"/>
      </w:pPr>
    </w:lvl>
    <w:lvl w:ilvl="6" w:tplc="080A000F" w:tentative="1">
      <w:start w:val="1"/>
      <w:numFmt w:val="decimal"/>
      <w:lvlText w:val="%7."/>
      <w:lvlJc w:val="left"/>
      <w:pPr>
        <w:ind w:left="5940" w:hanging="360"/>
      </w:pPr>
    </w:lvl>
    <w:lvl w:ilvl="7" w:tplc="080A0019" w:tentative="1">
      <w:start w:val="1"/>
      <w:numFmt w:val="lowerLetter"/>
      <w:lvlText w:val="%8."/>
      <w:lvlJc w:val="left"/>
      <w:pPr>
        <w:ind w:left="6660" w:hanging="360"/>
      </w:pPr>
    </w:lvl>
    <w:lvl w:ilvl="8" w:tplc="080A001B" w:tentative="1">
      <w:start w:val="1"/>
      <w:numFmt w:val="lowerRoman"/>
      <w:lvlText w:val="%9."/>
      <w:lvlJc w:val="right"/>
      <w:pPr>
        <w:ind w:left="7380" w:hanging="180"/>
      </w:pPr>
    </w:lvl>
  </w:abstractNum>
  <w:abstractNum w:abstractNumId="15" w15:restartNumberingAfterBreak="0">
    <w:nsid w:val="3A4D4C30"/>
    <w:multiLevelType w:val="hybridMultilevel"/>
    <w:tmpl w:val="DAD0EE5C"/>
    <w:lvl w:ilvl="0" w:tplc="01BA7C9C">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A81288F"/>
    <w:multiLevelType w:val="hybridMultilevel"/>
    <w:tmpl w:val="44A00284"/>
    <w:lvl w:ilvl="0" w:tplc="5D446E0C">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3B0B4B06"/>
    <w:multiLevelType w:val="multilevel"/>
    <w:tmpl w:val="540009F0"/>
    <w:lvl w:ilvl="0">
      <w:start w:val="1"/>
      <w:numFmt w:val="decimal"/>
      <w:lvlText w:val="%1."/>
      <w:lvlJc w:val="left"/>
      <w:pPr>
        <w:tabs>
          <w:tab w:val="num" w:pos="510"/>
        </w:tabs>
        <w:ind w:left="510" w:hanging="510"/>
      </w:pPr>
      <w:rPr>
        <w:rFonts w:ascii="ITC Avant Garde" w:hAnsi="ITC Avant Garde" w:cs="Times New Roman" w:hint="default"/>
        <w:b/>
        <w:sz w:val="20"/>
        <w:szCs w:val="20"/>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8" w15:restartNumberingAfterBreak="0">
    <w:nsid w:val="3B766DE2"/>
    <w:multiLevelType w:val="hybridMultilevel"/>
    <w:tmpl w:val="5FFCB41A"/>
    <w:lvl w:ilvl="0" w:tplc="080A0017">
      <w:start w:val="1"/>
      <w:numFmt w:val="lowerLetter"/>
      <w:lvlText w:val="%1)"/>
      <w:lvlJc w:val="left"/>
      <w:pPr>
        <w:ind w:left="870" w:hanging="360"/>
      </w:pPr>
      <w:rPr>
        <w:rFonts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19" w15:restartNumberingAfterBreak="0">
    <w:nsid w:val="3E5D4415"/>
    <w:multiLevelType w:val="hybridMultilevel"/>
    <w:tmpl w:val="32322C4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FA1473C"/>
    <w:multiLevelType w:val="multilevel"/>
    <w:tmpl w:val="21D0AE8C"/>
    <w:lvl w:ilvl="0">
      <w:start w:val="1"/>
      <w:numFmt w:val="lowerLetter"/>
      <w:lvlText w:val="%1)"/>
      <w:lvlJc w:val="left"/>
      <w:pPr>
        <w:tabs>
          <w:tab w:val="num" w:pos="510"/>
        </w:tabs>
        <w:ind w:left="510" w:hanging="510"/>
      </w:pPr>
      <w:rPr>
        <w:rFonts w:hint="default"/>
        <w:b/>
        <w:sz w:val="20"/>
        <w:szCs w:val="20"/>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1" w15:restartNumberingAfterBreak="0">
    <w:nsid w:val="409D0F9B"/>
    <w:multiLevelType w:val="hybridMultilevel"/>
    <w:tmpl w:val="BB10D31C"/>
    <w:lvl w:ilvl="0" w:tplc="5658BE40">
      <w:start w:val="1"/>
      <w:numFmt w:val="upperRoman"/>
      <w:lvlText w:val="%1."/>
      <w:lvlJc w:val="right"/>
      <w:pPr>
        <w:ind w:left="1440" w:hanging="360"/>
      </w:pPr>
      <w:rPr>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450511A5"/>
    <w:multiLevelType w:val="hybridMultilevel"/>
    <w:tmpl w:val="1F3246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BD56A10"/>
    <w:multiLevelType w:val="hybridMultilevel"/>
    <w:tmpl w:val="06B8FF8A"/>
    <w:lvl w:ilvl="0" w:tplc="0AFE094A">
      <w:start w:val="1"/>
      <w:numFmt w:val="lowerLetter"/>
      <w:lvlText w:val="%1)"/>
      <w:lvlJc w:val="left"/>
      <w:pPr>
        <w:ind w:left="1068" w:hanging="360"/>
      </w:pPr>
      <w:rPr>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50A103B5"/>
    <w:multiLevelType w:val="hybridMultilevel"/>
    <w:tmpl w:val="D4846F72"/>
    <w:lvl w:ilvl="0" w:tplc="5658BE40">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3CA3AA2"/>
    <w:multiLevelType w:val="hybridMultilevel"/>
    <w:tmpl w:val="44A27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AC16586"/>
    <w:multiLevelType w:val="hybridMultilevel"/>
    <w:tmpl w:val="0138F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1652A88"/>
    <w:multiLevelType w:val="hybridMultilevel"/>
    <w:tmpl w:val="FD1A814E"/>
    <w:lvl w:ilvl="0" w:tplc="2DBC0C28">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825264C"/>
    <w:multiLevelType w:val="hybridMultilevel"/>
    <w:tmpl w:val="FD1A814E"/>
    <w:lvl w:ilvl="0" w:tplc="2DBC0C28">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D383BBF"/>
    <w:multiLevelType w:val="hybridMultilevel"/>
    <w:tmpl w:val="1F4C1A2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15:restartNumberingAfterBreak="0">
    <w:nsid w:val="6DE23AAB"/>
    <w:multiLevelType w:val="multilevel"/>
    <w:tmpl w:val="E9307384"/>
    <w:lvl w:ilvl="0">
      <w:start w:val="1"/>
      <w:numFmt w:val="lowerLetter"/>
      <w:lvlText w:val="%1)"/>
      <w:lvlJc w:val="left"/>
      <w:pPr>
        <w:tabs>
          <w:tab w:val="num" w:pos="1020"/>
        </w:tabs>
        <w:ind w:left="1020" w:hanging="510"/>
      </w:pPr>
      <w:rPr>
        <w:rFonts w:hint="default"/>
        <w:b/>
        <w:sz w:val="20"/>
        <w:szCs w:val="20"/>
      </w:rPr>
    </w:lvl>
    <w:lvl w:ilvl="1">
      <w:start w:val="1"/>
      <w:numFmt w:val="decimal"/>
      <w:lvlText w:val="%1.%2."/>
      <w:lvlJc w:val="left"/>
      <w:pPr>
        <w:tabs>
          <w:tab w:val="num" w:pos="1230"/>
        </w:tabs>
        <w:ind w:left="1230" w:hanging="720"/>
      </w:pPr>
      <w:rPr>
        <w:rFonts w:cs="Times New Roman" w:hint="default"/>
      </w:rPr>
    </w:lvl>
    <w:lvl w:ilvl="2">
      <w:start w:val="1"/>
      <w:numFmt w:val="decimal"/>
      <w:lvlText w:val="%1.%2.%3."/>
      <w:lvlJc w:val="left"/>
      <w:pPr>
        <w:tabs>
          <w:tab w:val="num" w:pos="1230"/>
        </w:tabs>
        <w:ind w:left="1230" w:hanging="720"/>
      </w:pPr>
      <w:rPr>
        <w:rFonts w:cs="Times New Roman" w:hint="default"/>
        <w:sz w:val="20"/>
        <w:szCs w:val="20"/>
      </w:rPr>
    </w:lvl>
    <w:lvl w:ilvl="3">
      <w:start w:val="1"/>
      <w:numFmt w:val="decimal"/>
      <w:lvlText w:val="%1.%2.%3.%4."/>
      <w:lvlJc w:val="left"/>
      <w:pPr>
        <w:tabs>
          <w:tab w:val="num" w:pos="1590"/>
        </w:tabs>
        <w:ind w:left="1590" w:hanging="1080"/>
      </w:pPr>
      <w:rPr>
        <w:rFonts w:cs="Times New Roman" w:hint="default"/>
      </w:rPr>
    </w:lvl>
    <w:lvl w:ilvl="4">
      <w:start w:val="1"/>
      <w:numFmt w:val="decimal"/>
      <w:lvlText w:val="%1.%2.%3.%4.%5."/>
      <w:lvlJc w:val="left"/>
      <w:pPr>
        <w:tabs>
          <w:tab w:val="num" w:pos="1590"/>
        </w:tabs>
        <w:ind w:left="1590" w:hanging="1080"/>
      </w:pPr>
      <w:rPr>
        <w:rFonts w:cs="Times New Roman" w:hint="default"/>
      </w:rPr>
    </w:lvl>
    <w:lvl w:ilvl="5">
      <w:start w:val="1"/>
      <w:numFmt w:val="decimal"/>
      <w:lvlText w:val="%1.%2.%3.%4.%5.%6."/>
      <w:lvlJc w:val="left"/>
      <w:pPr>
        <w:tabs>
          <w:tab w:val="num" w:pos="1950"/>
        </w:tabs>
        <w:ind w:left="1950" w:hanging="1440"/>
      </w:pPr>
      <w:rPr>
        <w:rFonts w:cs="Times New Roman" w:hint="default"/>
      </w:rPr>
    </w:lvl>
    <w:lvl w:ilvl="6">
      <w:start w:val="1"/>
      <w:numFmt w:val="decimal"/>
      <w:lvlText w:val="%1.%2.%3.%4.%5.%6.%7."/>
      <w:lvlJc w:val="left"/>
      <w:pPr>
        <w:tabs>
          <w:tab w:val="num" w:pos="1950"/>
        </w:tabs>
        <w:ind w:left="1950" w:hanging="1440"/>
      </w:pPr>
      <w:rPr>
        <w:rFonts w:cs="Times New Roman" w:hint="default"/>
      </w:rPr>
    </w:lvl>
    <w:lvl w:ilvl="7">
      <w:start w:val="1"/>
      <w:numFmt w:val="decimal"/>
      <w:lvlText w:val="%1.%2.%3.%4.%5.%6.%7.%8."/>
      <w:lvlJc w:val="left"/>
      <w:pPr>
        <w:tabs>
          <w:tab w:val="num" w:pos="2310"/>
        </w:tabs>
        <w:ind w:left="2310" w:hanging="1800"/>
      </w:pPr>
      <w:rPr>
        <w:rFonts w:cs="Times New Roman" w:hint="default"/>
      </w:rPr>
    </w:lvl>
    <w:lvl w:ilvl="8">
      <w:start w:val="1"/>
      <w:numFmt w:val="decimal"/>
      <w:lvlText w:val="%1.%2.%3.%4.%5.%6.%7.%8.%9."/>
      <w:lvlJc w:val="left"/>
      <w:pPr>
        <w:tabs>
          <w:tab w:val="num" w:pos="2670"/>
        </w:tabs>
        <w:ind w:left="2670" w:hanging="2160"/>
      </w:pPr>
      <w:rPr>
        <w:rFonts w:cs="Times New Roman" w:hint="default"/>
      </w:rPr>
    </w:lvl>
  </w:abstractNum>
  <w:abstractNum w:abstractNumId="31" w15:restartNumberingAfterBreak="0">
    <w:nsid w:val="75AA3A2E"/>
    <w:multiLevelType w:val="multilevel"/>
    <w:tmpl w:val="4EB290F2"/>
    <w:lvl w:ilvl="0">
      <w:start w:val="1"/>
      <w:numFmt w:val="upperRoman"/>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76125791"/>
    <w:multiLevelType w:val="hybridMultilevel"/>
    <w:tmpl w:val="84ECD816"/>
    <w:lvl w:ilvl="0" w:tplc="47E6B712">
      <w:start w:val="1"/>
      <w:numFmt w:val="lowerLetter"/>
      <w:lvlText w:val="%1)"/>
      <w:lvlJc w:val="left"/>
      <w:pPr>
        <w:ind w:left="1230" w:hanging="360"/>
      </w:pPr>
      <w:rPr>
        <w:rFonts w:ascii="ITC Avant Garde" w:hAnsi="ITC Avant Garde" w:hint="default"/>
      </w:rPr>
    </w:lvl>
    <w:lvl w:ilvl="1" w:tplc="080A0019" w:tentative="1">
      <w:start w:val="1"/>
      <w:numFmt w:val="lowerLetter"/>
      <w:lvlText w:val="%2."/>
      <w:lvlJc w:val="left"/>
      <w:pPr>
        <w:ind w:left="1950" w:hanging="360"/>
      </w:pPr>
    </w:lvl>
    <w:lvl w:ilvl="2" w:tplc="080A001B" w:tentative="1">
      <w:start w:val="1"/>
      <w:numFmt w:val="lowerRoman"/>
      <w:lvlText w:val="%3."/>
      <w:lvlJc w:val="right"/>
      <w:pPr>
        <w:ind w:left="2670" w:hanging="180"/>
      </w:pPr>
    </w:lvl>
    <w:lvl w:ilvl="3" w:tplc="080A000F" w:tentative="1">
      <w:start w:val="1"/>
      <w:numFmt w:val="decimal"/>
      <w:lvlText w:val="%4."/>
      <w:lvlJc w:val="left"/>
      <w:pPr>
        <w:ind w:left="3390" w:hanging="360"/>
      </w:pPr>
    </w:lvl>
    <w:lvl w:ilvl="4" w:tplc="080A0019" w:tentative="1">
      <w:start w:val="1"/>
      <w:numFmt w:val="lowerLetter"/>
      <w:lvlText w:val="%5."/>
      <w:lvlJc w:val="left"/>
      <w:pPr>
        <w:ind w:left="4110" w:hanging="360"/>
      </w:pPr>
    </w:lvl>
    <w:lvl w:ilvl="5" w:tplc="080A001B" w:tentative="1">
      <w:start w:val="1"/>
      <w:numFmt w:val="lowerRoman"/>
      <w:lvlText w:val="%6."/>
      <w:lvlJc w:val="right"/>
      <w:pPr>
        <w:ind w:left="4830" w:hanging="180"/>
      </w:pPr>
    </w:lvl>
    <w:lvl w:ilvl="6" w:tplc="080A000F" w:tentative="1">
      <w:start w:val="1"/>
      <w:numFmt w:val="decimal"/>
      <w:lvlText w:val="%7."/>
      <w:lvlJc w:val="left"/>
      <w:pPr>
        <w:ind w:left="5550" w:hanging="360"/>
      </w:pPr>
    </w:lvl>
    <w:lvl w:ilvl="7" w:tplc="080A0019" w:tentative="1">
      <w:start w:val="1"/>
      <w:numFmt w:val="lowerLetter"/>
      <w:lvlText w:val="%8."/>
      <w:lvlJc w:val="left"/>
      <w:pPr>
        <w:ind w:left="6270" w:hanging="360"/>
      </w:pPr>
    </w:lvl>
    <w:lvl w:ilvl="8" w:tplc="080A001B" w:tentative="1">
      <w:start w:val="1"/>
      <w:numFmt w:val="lowerRoman"/>
      <w:lvlText w:val="%9."/>
      <w:lvlJc w:val="right"/>
      <w:pPr>
        <w:ind w:left="6990" w:hanging="180"/>
      </w:pPr>
    </w:lvl>
  </w:abstractNum>
  <w:abstractNum w:abstractNumId="33" w15:restartNumberingAfterBreak="0">
    <w:nsid w:val="79D23B1F"/>
    <w:multiLevelType w:val="hybridMultilevel"/>
    <w:tmpl w:val="47EA6CA8"/>
    <w:lvl w:ilvl="0" w:tplc="06C2AFCE">
      <w:start w:val="1"/>
      <w:numFmt w:val="lowerLetter"/>
      <w:lvlText w:val="%1)"/>
      <w:lvlJc w:val="left"/>
      <w:pPr>
        <w:ind w:left="1068" w:hanging="360"/>
      </w:pPr>
      <w:rPr>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17"/>
  </w:num>
  <w:num w:numId="2">
    <w:abstractNumId w:val="1"/>
  </w:num>
  <w:num w:numId="3">
    <w:abstractNumId w:val="3"/>
  </w:num>
  <w:num w:numId="4">
    <w:abstractNumId w:val="21"/>
  </w:num>
  <w:num w:numId="5">
    <w:abstractNumId w:val="16"/>
  </w:num>
  <w:num w:numId="6">
    <w:abstractNumId w:val="5"/>
  </w:num>
  <w:num w:numId="7">
    <w:abstractNumId w:val="4"/>
  </w:num>
  <w:num w:numId="8">
    <w:abstractNumId w:val="30"/>
  </w:num>
  <w:num w:numId="9">
    <w:abstractNumId w:val="20"/>
  </w:num>
  <w:num w:numId="10">
    <w:abstractNumId w:val="19"/>
  </w:num>
  <w:num w:numId="11">
    <w:abstractNumId w:val="3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1"/>
  </w:num>
  <w:num w:numId="15">
    <w:abstractNumId w:val="28"/>
  </w:num>
  <w:num w:numId="16">
    <w:abstractNumId w:val="32"/>
  </w:num>
  <w:num w:numId="17">
    <w:abstractNumId w:val="23"/>
  </w:num>
  <w:num w:numId="18">
    <w:abstractNumId w:val="27"/>
  </w:num>
  <w:num w:numId="19">
    <w:abstractNumId w:val="24"/>
  </w:num>
  <w:num w:numId="20">
    <w:abstractNumId w:val="31"/>
  </w:num>
  <w:num w:numId="21">
    <w:abstractNumId w:val="14"/>
  </w:num>
  <w:num w:numId="22">
    <w:abstractNumId w:val="10"/>
  </w:num>
  <w:num w:numId="23">
    <w:abstractNumId w:val="9"/>
  </w:num>
  <w:num w:numId="24">
    <w:abstractNumId w:val="7"/>
  </w:num>
  <w:num w:numId="25">
    <w:abstractNumId w:val="12"/>
  </w:num>
  <w:num w:numId="26">
    <w:abstractNumId w:val="6"/>
  </w:num>
  <w:num w:numId="27">
    <w:abstractNumId w:val="22"/>
  </w:num>
  <w:num w:numId="28">
    <w:abstractNumId w:val="8"/>
  </w:num>
  <w:num w:numId="29">
    <w:abstractNumId w:val="25"/>
  </w:num>
  <w:num w:numId="30">
    <w:abstractNumId w:val="15"/>
  </w:num>
  <w:num w:numId="31">
    <w:abstractNumId w:val="26"/>
  </w:num>
  <w:num w:numId="32">
    <w:abstractNumId w:val="13"/>
  </w:num>
  <w:num w:numId="33">
    <w:abstractNumId w:val="0"/>
  </w:num>
  <w:num w:numId="34">
    <w:abstractNumId w:val="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10"/>
    <w:rsid w:val="00000595"/>
    <w:rsid w:val="000045B6"/>
    <w:rsid w:val="00010788"/>
    <w:rsid w:val="00011457"/>
    <w:rsid w:val="00011766"/>
    <w:rsid w:val="00011F30"/>
    <w:rsid w:val="00015121"/>
    <w:rsid w:val="0001636B"/>
    <w:rsid w:val="00016E6C"/>
    <w:rsid w:val="00017A59"/>
    <w:rsid w:val="000231A8"/>
    <w:rsid w:val="00024B88"/>
    <w:rsid w:val="00030699"/>
    <w:rsid w:val="00031683"/>
    <w:rsid w:val="00031D20"/>
    <w:rsid w:val="00032389"/>
    <w:rsid w:val="00034A73"/>
    <w:rsid w:val="00037227"/>
    <w:rsid w:val="0004070D"/>
    <w:rsid w:val="00040D5C"/>
    <w:rsid w:val="00041CDB"/>
    <w:rsid w:val="0004345D"/>
    <w:rsid w:val="00045A1C"/>
    <w:rsid w:val="00047937"/>
    <w:rsid w:val="00050119"/>
    <w:rsid w:val="00050966"/>
    <w:rsid w:val="000509F4"/>
    <w:rsid w:val="00051884"/>
    <w:rsid w:val="00051D82"/>
    <w:rsid w:val="000542DE"/>
    <w:rsid w:val="00056445"/>
    <w:rsid w:val="00056B33"/>
    <w:rsid w:val="00060C35"/>
    <w:rsid w:val="0006109C"/>
    <w:rsid w:val="0006264D"/>
    <w:rsid w:val="000626B6"/>
    <w:rsid w:val="000627F0"/>
    <w:rsid w:val="000640A7"/>
    <w:rsid w:val="00064715"/>
    <w:rsid w:val="00064CB0"/>
    <w:rsid w:val="0006605A"/>
    <w:rsid w:val="00067D12"/>
    <w:rsid w:val="00067FE9"/>
    <w:rsid w:val="00071528"/>
    <w:rsid w:val="000731C8"/>
    <w:rsid w:val="00075EFC"/>
    <w:rsid w:val="000767FB"/>
    <w:rsid w:val="00081439"/>
    <w:rsid w:val="00081CC7"/>
    <w:rsid w:val="00082E74"/>
    <w:rsid w:val="00083742"/>
    <w:rsid w:val="00085CA4"/>
    <w:rsid w:val="00086503"/>
    <w:rsid w:val="00086E2D"/>
    <w:rsid w:val="00087CC5"/>
    <w:rsid w:val="00091B59"/>
    <w:rsid w:val="00094210"/>
    <w:rsid w:val="0009497F"/>
    <w:rsid w:val="000971B6"/>
    <w:rsid w:val="000973DD"/>
    <w:rsid w:val="000977B4"/>
    <w:rsid w:val="000A1628"/>
    <w:rsid w:val="000A1B15"/>
    <w:rsid w:val="000A2D99"/>
    <w:rsid w:val="000A376F"/>
    <w:rsid w:val="000A57B8"/>
    <w:rsid w:val="000A612C"/>
    <w:rsid w:val="000B05A8"/>
    <w:rsid w:val="000B1692"/>
    <w:rsid w:val="000B178A"/>
    <w:rsid w:val="000B365F"/>
    <w:rsid w:val="000B40F6"/>
    <w:rsid w:val="000C0587"/>
    <w:rsid w:val="000C14FB"/>
    <w:rsid w:val="000C3A5D"/>
    <w:rsid w:val="000C3CBC"/>
    <w:rsid w:val="000C5131"/>
    <w:rsid w:val="000C5F07"/>
    <w:rsid w:val="000C7017"/>
    <w:rsid w:val="000D005C"/>
    <w:rsid w:val="000D14B7"/>
    <w:rsid w:val="000D3D84"/>
    <w:rsid w:val="000D53DA"/>
    <w:rsid w:val="000D603C"/>
    <w:rsid w:val="000D60D6"/>
    <w:rsid w:val="000D633E"/>
    <w:rsid w:val="000D727C"/>
    <w:rsid w:val="000E018F"/>
    <w:rsid w:val="000E1C06"/>
    <w:rsid w:val="000E4E5D"/>
    <w:rsid w:val="000E614F"/>
    <w:rsid w:val="000E76B3"/>
    <w:rsid w:val="000E7B90"/>
    <w:rsid w:val="000F3175"/>
    <w:rsid w:val="000F3A6D"/>
    <w:rsid w:val="000F3B81"/>
    <w:rsid w:val="000F44D3"/>
    <w:rsid w:val="000F74AD"/>
    <w:rsid w:val="000F7C06"/>
    <w:rsid w:val="00100CA4"/>
    <w:rsid w:val="0010425B"/>
    <w:rsid w:val="00105C75"/>
    <w:rsid w:val="00105F4C"/>
    <w:rsid w:val="00107765"/>
    <w:rsid w:val="00111014"/>
    <w:rsid w:val="00113053"/>
    <w:rsid w:val="00114C4F"/>
    <w:rsid w:val="00114D1C"/>
    <w:rsid w:val="001161BE"/>
    <w:rsid w:val="001164A2"/>
    <w:rsid w:val="00117B84"/>
    <w:rsid w:val="001220CE"/>
    <w:rsid w:val="00123F54"/>
    <w:rsid w:val="00124B28"/>
    <w:rsid w:val="00124FF9"/>
    <w:rsid w:val="001310A7"/>
    <w:rsid w:val="0013126B"/>
    <w:rsid w:val="001324BD"/>
    <w:rsid w:val="00135AFE"/>
    <w:rsid w:val="001363BC"/>
    <w:rsid w:val="00137285"/>
    <w:rsid w:val="0014088D"/>
    <w:rsid w:val="00142C39"/>
    <w:rsid w:val="00143927"/>
    <w:rsid w:val="00145A8A"/>
    <w:rsid w:val="0014618B"/>
    <w:rsid w:val="00147BBB"/>
    <w:rsid w:val="00152B3C"/>
    <w:rsid w:val="001538D0"/>
    <w:rsid w:val="00154832"/>
    <w:rsid w:val="00154DD1"/>
    <w:rsid w:val="0015667C"/>
    <w:rsid w:val="00156EF2"/>
    <w:rsid w:val="0015753D"/>
    <w:rsid w:val="001609C8"/>
    <w:rsid w:val="00160AD2"/>
    <w:rsid w:val="001611C7"/>
    <w:rsid w:val="00161467"/>
    <w:rsid w:val="00161715"/>
    <w:rsid w:val="001623D8"/>
    <w:rsid w:val="00162684"/>
    <w:rsid w:val="0016294F"/>
    <w:rsid w:val="001631ED"/>
    <w:rsid w:val="001633B5"/>
    <w:rsid w:val="00163D81"/>
    <w:rsid w:val="0016490B"/>
    <w:rsid w:val="001649E5"/>
    <w:rsid w:val="0016503D"/>
    <w:rsid w:val="00165CF4"/>
    <w:rsid w:val="001677EB"/>
    <w:rsid w:val="0017319D"/>
    <w:rsid w:val="00174A27"/>
    <w:rsid w:val="001757B7"/>
    <w:rsid w:val="00177A10"/>
    <w:rsid w:val="00182DCC"/>
    <w:rsid w:val="001847CB"/>
    <w:rsid w:val="001856A9"/>
    <w:rsid w:val="001861A3"/>
    <w:rsid w:val="001871BE"/>
    <w:rsid w:val="0018773A"/>
    <w:rsid w:val="00196EF2"/>
    <w:rsid w:val="001A030E"/>
    <w:rsid w:val="001A08BD"/>
    <w:rsid w:val="001A0B7B"/>
    <w:rsid w:val="001A0FEE"/>
    <w:rsid w:val="001A2D63"/>
    <w:rsid w:val="001A30EE"/>
    <w:rsid w:val="001B1A7C"/>
    <w:rsid w:val="001B1B7C"/>
    <w:rsid w:val="001B1C9F"/>
    <w:rsid w:val="001B30AD"/>
    <w:rsid w:val="001B455E"/>
    <w:rsid w:val="001B5E65"/>
    <w:rsid w:val="001B5EAE"/>
    <w:rsid w:val="001C05DB"/>
    <w:rsid w:val="001C3693"/>
    <w:rsid w:val="001C55BD"/>
    <w:rsid w:val="001C61B2"/>
    <w:rsid w:val="001C6E4D"/>
    <w:rsid w:val="001D0BD0"/>
    <w:rsid w:val="001D51F6"/>
    <w:rsid w:val="001D6900"/>
    <w:rsid w:val="001E0121"/>
    <w:rsid w:val="001E0211"/>
    <w:rsid w:val="001E2853"/>
    <w:rsid w:val="001E2989"/>
    <w:rsid w:val="001E4074"/>
    <w:rsid w:val="001E6157"/>
    <w:rsid w:val="001F1377"/>
    <w:rsid w:val="001F198E"/>
    <w:rsid w:val="001F1C07"/>
    <w:rsid w:val="001F2BA1"/>
    <w:rsid w:val="001F3793"/>
    <w:rsid w:val="001F48DD"/>
    <w:rsid w:val="001F79ED"/>
    <w:rsid w:val="0020053C"/>
    <w:rsid w:val="00202A7C"/>
    <w:rsid w:val="00202C50"/>
    <w:rsid w:val="00203D83"/>
    <w:rsid w:val="00204A02"/>
    <w:rsid w:val="00204F53"/>
    <w:rsid w:val="00204F75"/>
    <w:rsid w:val="0020631E"/>
    <w:rsid w:val="0020781C"/>
    <w:rsid w:val="00211A2D"/>
    <w:rsid w:val="002137A5"/>
    <w:rsid w:val="00213824"/>
    <w:rsid w:val="0021478A"/>
    <w:rsid w:val="00214E19"/>
    <w:rsid w:val="0021543E"/>
    <w:rsid w:val="00217E10"/>
    <w:rsid w:val="0022073B"/>
    <w:rsid w:val="00224E80"/>
    <w:rsid w:val="00227F09"/>
    <w:rsid w:val="00230BDB"/>
    <w:rsid w:val="00233507"/>
    <w:rsid w:val="00235136"/>
    <w:rsid w:val="00236BC7"/>
    <w:rsid w:val="00240E8F"/>
    <w:rsid w:val="00241B36"/>
    <w:rsid w:val="00245E19"/>
    <w:rsid w:val="0024797D"/>
    <w:rsid w:val="00250115"/>
    <w:rsid w:val="00250B08"/>
    <w:rsid w:val="0025331F"/>
    <w:rsid w:val="00263A6B"/>
    <w:rsid w:val="00267517"/>
    <w:rsid w:val="002676B0"/>
    <w:rsid w:val="0027177F"/>
    <w:rsid w:val="002728DA"/>
    <w:rsid w:val="00273529"/>
    <w:rsid w:val="00277A17"/>
    <w:rsid w:val="00284523"/>
    <w:rsid w:val="00284C60"/>
    <w:rsid w:val="0028632D"/>
    <w:rsid w:val="00287B9F"/>
    <w:rsid w:val="00290AB5"/>
    <w:rsid w:val="002922A6"/>
    <w:rsid w:val="002A0251"/>
    <w:rsid w:val="002A5D69"/>
    <w:rsid w:val="002A5EFA"/>
    <w:rsid w:val="002A6129"/>
    <w:rsid w:val="002A7DF6"/>
    <w:rsid w:val="002B0B77"/>
    <w:rsid w:val="002B1093"/>
    <w:rsid w:val="002B4A09"/>
    <w:rsid w:val="002B4EB9"/>
    <w:rsid w:val="002B6F32"/>
    <w:rsid w:val="002B7E0F"/>
    <w:rsid w:val="002B7F7B"/>
    <w:rsid w:val="002C175C"/>
    <w:rsid w:val="002C1EFB"/>
    <w:rsid w:val="002C2D22"/>
    <w:rsid w:val="002C5D9E"/>
    <w:rsid w:val="002C6525"/>
    <w:rsid w:val="002C7C6A"/>
    <w:rsid w:val="002D2F12"/>
    <w:rsid w:val="002D3668"/>
    <w:rsid w:val="002D5D00"/>
    <w:rsid w:val="002D785F"/>
    <w:rsid w:val="002E27C1"/>
    <w:rsid w:val="002E3003"/>
    <w:rsid w:val="002E4BC8"/>
    <w:rsid w:val="002E69B8"/>
    <w:rsid w:val="002E77F6"/>
    <w:rsid w:val="002F1005"/>
    <w:rsid w:val="002F4A63"/>
    <w:rsid w:val="002F6AF7"/>
    <w:rsid w:val="003007F1"/>
    <w:rsid w:val="00300E52"/>
    <w:rsid w:val="003010A2"/>
    <w:rsid w:val="003019C9"/>
    <w:rsid w:val="00301EF8"/>
    <w:rsid w:val="00310594"/>
    <w:rsid w:val="0031256B"/>
    <w:rsid w:val="00313945"/>
    <w:rsid w:val="003145BE"/>
    <w:rsid w:val="003158BD"/>
    <w:rsid w:val="00315EFC"/>
    <w:rsid w:val="00315F9F"/>
    <w:rsid w:val="00316533"/>
    <w:rsid w:val="00322FF3"/>
    <w:rsid w:val="00327395"/>
    <w:rsid w:val="003279DE"/>
    <w:rsid w:val="00331066"/>
    <w:rsid w:val="00332292"/>
    <w:rsid w:val="003336F7"/>
    <w:rsid w:val="00334EC1"/>
    <w:rsid w:val="00335AC6"/>
    <w:rsid w:val="0033657C"/>
    <w:rsid w:val="00337F28"/>
    <w:rsid w:val="003400C4"/>
    <w:rsid w:val="00341ADE"/>
    <w:rsid w:val="00344988"/>
    <w:rsid w:val="003461DA"/>
    <w:rsid w:val="00346AC1"/>
    <w:rsid w:val="0035040F"/>
    <w:rsid w:val="00354562"/>
    <w:rsid w:val="00354DA8"/>
    <w:rsid w:val="003600D2"/>
    <w:rsid w:val="0036150E"/>
    <w:rsid w:val="00365230"/>
    <w:rsid w:val="00366A41"/>
    <w:rsid w:val="00367D1D"/>
    <w:rsid w:val="00371166"/>
    <w:rsid w:val="00372408"/>
    <w:rsid w:val="003727C5"/>
    <w:rsid w:val="003751D7"/>
    <w:rsid w:val="003765DD"/>
    <w:rsid w:val="003818F6"/>
    <w:rsid w:val="00381ED6"/>
    <w:rsid w:val="00384614"/>
    <w:rsid w:val="003856E8"/>
    <w:rsid w:val="00386317"/>
    <w:rsid w:val="00387280"/>
    <w:rsid w:val="00387CB8"/>
    <w:rsid w:val="00392661"/>
    <w:rsid w:val="00393BBB"/>
    <w:rsid w:val="00395793"/>
    <w:rsid w:val="00397546"/>
    <w:rsid w:val="00397E37"/>
    <w:rsid w:val="00397EB7"/>
    <w:rsid w:val="003A037D"/>
    <w:rsid w:val="003A3634"/>
    <w:rsid w:val="003A550E"/>
    <w:rsid w:val="003A5A25"/>
    <w:rsid w:val="003B1C6F"/>
    <w:rsid w:val="003B4BBA"/>
    <w:rsid w:val="003B64AF"/>
    <w:rsid w:val="003B7737"/>
    <w:rsid w:val="003B7896"/>
    <w:rsid w:val="003C0694"/>
    <w:rsid w:val="003C187A"/>
    <w:rsid w:val="003C31AD"/>
    <w:rsid w:val="003C4932"/>
    <w:rsid w:val="003C5529"/>
    <w:rsid w:val="003D1FF9"/>
    <w:rsid w:val="003D700E"/>
    <w:rsid w:val="003D7613"/>
    <w:rsid w:val="003E09D6"/>
    <w:rsid w:val="003E2405"/>
    <w:rsid w:val="003E4C26"/>
    <w:rsid w:val="003E5802"/>
    <w:rsid w:val="003E6764"/>
    <w:rsid w:val="003E7E58"/>
    <w:rsid w:val="003F2AC3"/>
    <w:rsid w:val="003F3B8E"/>
    <w:rsid w:val="003F3F21"/>
    <w:rsid w:val="003F55EE"/>
    <w:rsid w:val="003F5DE8"/>
    <w:rsid w:val="003F660E"/>
    <w:rsid w:val="003F6F28"/>
    <w:rsid w:val="00401941"/>
    <w:rsid w:val="00403CBE"/>
    <w:rsid w:val="00405C3B"/>
    <w:rsid w:val="00405DD3"/>
    <w:rsid w:val="00406EC6"/>
    <w:rsid w:val="004076F4"/>
    <w:rsid w:val="004100B4"/>
    <w:rsid w:val="0041017B"/>
    <w:rsid w:val="00410C90"/>
    <w:rsid w:val="0041165A"/>
    <w:rsid w:val="004120CB"/>
    <w:rsid w:val="00413531"/>
    <w:rsid w:val="00413567"/>
    <w:rsid w:val="00413E6A"/>
    <w:rsid w:val="00414E76"/>
    <w:rsid w:val="00415C61"/>
    <w:rsid w:val="00416EAA"/>
    <w:rsid w:val="00422783"/>
    <w:rsid w:val="00424899"/>
    <w:rsid w:val="00426257"/>
    <w:rsid w:val="004268EF"/>
    <w:rsid w:val="00433FB6"/>
    <w:rsid w:val="00434664"/>
    <w:rsid w:val="00436B8F"/>
    <w:rsid w:val="004403B9"/>
    <w:rsid w:val="00440F01"/>
    <w:rsid w:val="0044288E"/>
    <w:rsid w:val="004447AD"/>
    <w:rsid w:val="00444A83"/>
    <w:rsid w:val="00446132"/>
    <w:rsid w:val="004466BD"/>
    <w:rsid w:val="004468E4"/>
    <w:rsid w:val="00452024"/>
    <w:rsid w:val="0045391F"/>
    <w:rsid w:val="00453BF7"/>
    <w:rsid w:val="00455222"/>
    <w:rsid w:val="00455AB0"/>
    <w:rsid w:val="00456A38"/>
    <w:rsid w:val="004601BA"/>
    <w:rsid w:val="00466366"/>
    <w:rsid w:val="00466A05"/>
    <w:rsid w:val="00467CEC"/>
    <w:rsid w:val="004713AB"/>
    <w:rsid w:val="00471816"/>
    <w:rsid w:val="00471B37"/>
    <w:rsid w:val="00473362"/>
    <w:rsid w:val="004745D7"/>
    <w:rsid w:val="00474B2B"/>
    <w:rsid w:val="00477124"/>
    <w:rsid w:val="004814CF"/>
    <w:rsid w:val="00481889"/>
    <w:rsid w:val="00481CDE"/>
    <w:rsid w:val="004826B4"/>
    <w:rsid w:val="00485315"/>
    <w:rsid w:val="0049433B"/>
    <w:rsid w:val="0049484E"/>
    <w:rsid w:val="004970A7"/>
    <w:rsid w:val="004A1CAD"/>
    <w:rsid w:val="004A3096"/>
    <w:rsid w:val="004A3D2D"/>
    <w:rsid w:val="004A4E1B"/>
    <w:rsid w:val="004A7438"/>
    <w:rsid w:val="004B1A53"/>
    <w:rsid w:val="004B5ACE"/>
    <w:rsid w:val="004B6614"/>
    <w:rsid w:val="004C3D9B"/>
    <w:rsid w:val="004C60A7"/>
    <w:rsid w:val="004C73EC"/>
    <w:rsid w:val="004C7BB8"/>
    <w:rsid w:val="004D14B2"/>
    <w:rsid w:val="004D20B1"/>
    <w:rsid w:val="004D79BA"/>
    <w:rsid w:val="004E0034"/>
    <w:rsid w:val="004F15CF"/>
    <w:rsid w:val="004F160F"/>
    <w:rsid w:val="004F1FB4"/>
    <w:rsid w:val="004F459D"/>
    <w:rsid w:val="004F4E9C"/>
    <w:rsid w:val="004F55F2"/>
    <w:rsid w:val="004F77B6"/>
    <w:rsid w:val="00501F39"/>
    <w:rsid w:val="00504078"/>
    <w:rsid w:val="00510480"/>
    <w:rsid w:val="00510FBC"/>
    <w:rsid w:val="005157DE"/>
    <w:rsid w:val="00517014"/>
    <w:rsid w:val="0051790D"/>
    <w:rsid w:val="00520014"/>
    <w:rsid w:val="005215CF"/>
    <w:rsid w:val="00521656"/>
    <w:rsid w:val="00521EEB"/>
    <w:rsid w:val="005221AC"/>
    <w:rsid w:val="00522752"/>
    <w:rsid w:val="005241C7"/>
    <w:rsid w:val="005243A0"/>
    <w:rsid w:val="005244D2"/>
    <w:rsid w:val="00530D72"/>
    <w:rsid w:val="0053130A"/>
    <w:rsid w:val="00534A56"/>
    <w:rsid w:val="00540BE3"/>
    <w:rsid w:val="005416F0"/>
    <w:rsid w:val="005439AE"/>
    <w:rsid w:val="00544661"/>
    <w:rsid w:val="00544FAC"/>
    <w:rsid w:val="0054657D"/>
    <w:rsid w:val="0055192A"/>
    <w:rsid w:val="00553578"/>
    <w:rsid w:val="00554EE2"/>
    <w:rsid w:val="00557385"/>
    <w:rsid w:val="00557393"/>
    <w:rsid w:val="00557B4A"/>
    <w:rsid w:val="00560D7F"/>
    <w:rsid w:val="00560F93"/>
    <w:rsid w:val="005631DA"/>
    <w:rsid w:val="00565271"/>
    <w:rsid w:val="005657A1"/>
    <w:rsid w:val="00566638"/>
    <w:rsid w:val="00570367"/>
    <w:rsid w:val="00584DFC"/>
    <w:rsid w:val="0058661A"/>
    <w:rsid w:val="00586826"/>
    <w:rsid w:val="00590868"/>
    <w:rsid w:val="005909F1"/>
    <w:rsid w:val="0059158B"/>
    <w:rsid w:val="00591830"/>
    <w:rsid w:val="0059454E"/>
    <w:rsid w:val="005956F3"/>
    <w:rsid w:val="00595ADB"/>
    <w:rsid w:val="00595FB8"/>
    <w:rsid w:val="0059662E"/>
    <w:rsid w:val="005A2C1B"/>
    <w:rsid w:val="005A5140"/>
    <w:rsid w:val="005A6F95"/>
    <w:rsid w:val="005B047F"/>
    <w:rsid w:val="005B1130"/>
    <w:rsid w:val="005B27A4"/>
    <w:rsid w:val="005B2830"/>
    <w:rsid w:val="005B28DD"/>
    <w:rsid w:val="005B2961"/>
    <w:rsid w:val="005B3D07"/>
    <w:rsid w:val="005B47AA"/>
    <w:rsid w:val="005B4A22"/>
    <w:rsid w:val="005B630D"/>
    <w:rsid w:val="005C025B"/>
    <w:rsid w:val="005C053C"/>
    <w:rsid w:val="005C08F0"/>
    <w:rsid w:val="005C1365"/>
    <w:rsid w:val="005C1A67"/>
    <w:rsid w:val="005C2725"/>
    <w:rsid w:val="005C466F"/>
    <w:rsid w:val="005C4B9B"/>
    <w:rsid w:val="005D05E6"/>
    <w:rsid w:val="005D1CA1"/>
    <w:rsid w:val="005D5411"/>
    <w:rsid w:val="005E0870"/>
    <w:rsid w:val="005E24BA"/>
    <w:rsid w:val="005E7F56"/>
    <w:rsid w:val="005F04D4"/>
    <w:rsid w:val="005F0ECB"/>
    <w:rsid w:val="005F2231"/>
    <w:rsid w:val="005F3009"/>
    <w:rsid w:val="005F37C1"/>
    <w:rsid w:val="005F471A"/>
    <w:rsid w:val="005F5556"/>
    <w:rsid w:val="005F6F53"/>
    <w:rsid w:val="005F7049"/>
    <w:rsid w:val="005F7F62"/>
    <w:rsid w:val="00602E79"/>
    <w:rsid w:val="00603218"/>
    <w:rsid w:val="00605CE7"/>
    <w:rsid w:val="00610298"/>
    <w:rsid w:val="00614489"/>
    <w:rsid w:val="00614C63"/>
    <w:rsid w:val="006170F0"/>
    <w:rsid w:val="00623D64"/>
    <w:rsid w:val="006258F6"/>
    <w:rsid w:val="00626EC6"/>
    <w:rsid w:val="006272AB"/>
    <w:rsid w:val="00640F49"/>
    <w:rsid w:val="00641906"/>
    <w:rsid w:val="00641BCF"/>
    <w:rsid w:val="00642421"/>
    <w:rsid w:val="00645E10"/>
    <w:rsid w:val="00646085"/>
    <w:rsid w:val="00653641"/>
    <w:rsid w:val="006552CE"/>
    <w:rsid w:val="00655B0B"/>
    <w:rsid w:val="0066084F"/>
    <w:rsid w:val="006624CF"/>
    <w:rsid w:val="0066526F"/>
    <w:rsid w:val="006704CC"/>
    <w:rsid w:val="00670782"/>
    <w:rsid w:val="006741E3"/>
    <w:rsid w:val="0067460A"/>
    <w:rsid w:val="00675A95"/>
    <w:rsid w:val="00676662"/>
    <w:rsid w:val="00676EE0"/>
    <w:rsid w:val="00677589"/>
    <w:rsid w:val="006823EA"/>
    <w:rsid w:val="00682C2B"/>
    <w:rsid w:val="00683F9C"/>
    <w:rsid w:val="006874F1"/>
    <w:rsid w:val="0069096B"/>
    <w:rsid w:val="00691B24"/>
    <w:rsid w:val="00691FAB"/>
    <w:rsid w:val="00693B3F"/>
    <w:rsid w:val="00693DD0"/>
    <w:rsid w:val="006A34E1"/>
    <w:rsid w:val="006A42FD"/>
    <w:rsid w:val="006A64B8"/>
    <w:rsid w:val="006B062A"/>
    <w:rsid w:val="006B0C19"/>
    <w:rsid w:val="006B4684"/>
    <w:rsid w:val="006B6793"/>
    <w:rsid w:val="006C1587"/>
    <w:rsid w:val="006C1A34"/>
    <w:rsid w:val="006C7AA9"/>
    <w:rsid w:val="006D0247"/>
    <w:rsid w:val="006D0E4B"/>
    <w:rsid w:val="006D25F2"/>
    <w:rsid w:val="006D2696"/>
    <w:rsid w:val="006D6396"/>
    <w:rsid w:val="006D64AA"/>
    <w:rsid w:val="006E26D5"/>
    <w:rsid w:val="006E3BFA"/>
    <w:rsid w:val="006F04D3"/>
    <w:rsid w:val="006F35E3"/>
    <w:rsid w:val="006F36E5"/>
    <w:rsid w:val="006F49C0"/>
    <w:rsid w:val="006F4EF4"/>
    <w:rsid w:val="006F5719"/>
    <w:rsid w:val="006F6148"/>
    <w:rsid w:val="007015C1"/>
    <w:rsid w:val="0070178D"/>
    <w:rsid w:val="007028D1"/>
    <w:rsid w:val="007037B5"/>
    <w:rsid w:val="0070575E"/>
    <w:rsid w:val="007074F5"/>
    <w:rsid w:val="0071127F"/>
    <w:rsid w:val="00711A6F"/>
    <w:rsid w:val="00715837"/>
    <w:rsid w:val="00715D5A"/>
    <w:rsid w:val="007221CE"/>
    <w:rsid w:val="00723AE4"/>
    <w:rsid w:val="007272E3"/>
    <w:rsid w:val="0073054F"/>
    <w:rsid w:val="0073305C"/>
    <w:rsid w:val="007330E8"/>
    <w:rsid w:val="00742E34"/>
    <w:rsid w:val="00743F80"/>
    <w:rsid w:val="00745213"/>
    <w:rsid w:val="00745953"/>
    <w:rsid w:val="00745D42"/>
    <w:rsid w:val="007467F9"/>
    <w:rsid w:val="0074730A"/>
    <w:rsid w:val="00747463"/>
    <w:rsid w:val="00747DBF"/>
    <w:rsid w:val="0075462E"/>
    <w:rsid w:val="00755C44"/>
    <w:rsid w:val="00756D44"/>
    <w:rsid w:val="00760C3B"/>
    <w:rsid w:val="0076195A"/>
    <w:rsid w:val="00762089"/>
    <w:rsid w:val="0076227D"/>
    <w:rsid w:val="00765A90"/>
    <w:rsid w:val="007671FD"/>
    <w:rsid w:val="00772ED2"/>
    <w:rsid w:val="00773F93"/>
    <w:rsid w:val="00782C39"/>
    <w:rsid w:val="00782F91"/>
    <w:rsid w:val="007873E4"/>
    <w:rsid w:val="00794136"/>
    <w:rsid w:val="00794D01"/>
    <w:rsid w:val="00797AD5"/>
    <w:rsid w:val="00797B31"/>
    <w:rsid w:val="007A0F93"/>
    <w:rsid w:val="007A36DD"/>
    <w:rsid w:val="007A7B49"/>
    <w:rsid w:val="007A7E89"/>
    <w:rsid w:val="007B0C15"/>
    <w:rsid w:val="007B2051"/>
    <w:rsid w:val="007B4822"/>
    <w:rsid w:val="007C0F4F"/>
    <w:rsid w:val="007C2C60"/>
    <w:rsid w:val="007C47EF"/>
    <w:rsid w:val="007C5277"/>
    <w:rsid w:val="007C67B0"/>
    <w:rsid w:val="007C6944"/>
    <w:rsid w:val="007C7E06"/>
    <w:rsid w:val="007D09B1"/>
    <w:rsid w:val="007D0BD5"/>
    <w:rsid w:val="007D1316"/>
    <w:rsid w:val="007D13E2"/>
    <w:rsid w:val="007D14F0"/>
    <w:rsid w:val="007D3471"/>
    <w:rsid w:val="007D797C"/>
    <w:rsid w:val="007E09EF"/>
    <w:rsid w:val="007E24ED"/>
    <w:rsid w:val="007E3EEF"/>
    <w:rsid w:val="007E42CC"/>
    <w:rsid w:val="007E5252"/>
    <w:rsid w:val="007E5F3D"/>
    <w:rsid w:val="007E6DD0"/>
    <w:rsid w:val="007E7771"/>
    <w:rsid w:val="007F039B"/>
    <w:rsid w:val="007F05F6"/>
    <w:rsid w:val="007F0A7B"/>
    <w:rsid w:val="007F0B0D"/>
    <w:rsid w:val="007F2AF8"/>
    <w:rsid w:val="007F2DEC"/>
    <w:rsid w:val="007F5B54"/>
    <w:rsid w:val="007F5CDA"/>
    <w:rsid w:val="007F61E0"/>
    <w:rsid w:val="007F63FA"/>
    <w:rsid w:val="00802459"/>
    <w:rsid w:val="008036B4"/>
    <w:rsid w:val="0080597A"/>
    <w:rsid w:val="00805F1E"/>
    <w:rsid w:val="00810474"/>
    <w:rsid w:val="00811672"/>
    <w:rsid w:val="00813566"/>
    <w:rsid w:val="008137F1"/>
    <w:rsid w:val="00813A25"/>
    <w:rsid w:val="008147C0"/>
    <w:rsid w:val="008172C8"/>
    <w:rsid w:val="008201A4"/>
    <w:rsid w:val="00821FA4"/>
    <w:rsid w:val="00823855"/>
    <w:rsid w:val="00823DAB"/>
    <w:rsid w:val="00824A1E"/>
    <w:rsid w:val="00826361"/>
    <w:rsid w:val="008315F9"/>
    <w:rsid w:val="00835E05"/>
    <w:rsid w:val="008372EC"/>
    <w:rsid w:val="00844535"/>
    <w:rsid w:val="00844B09"/>
    <w:rsid w:val="00845674"/>
    <w:rsid w:val="008528B6"/>
    <w:rsid w:val="00857516"/>
    <w:rsid w:val="00857EA7"/>
    <w:rsid w:val="00860925"/>
    <w:rsid w:val="008615CB"/>
    <w:rsid w:val="00863399"/>
    <w:rsid w:val="00865D36"/>
    <w:rsid w:val="008662E5"/>
    <w:rsid w:val="00866C7E"/>
    <w:rsid w:val="00867FC5"/>
    <w:rsid w:val="008732F1"/>
    <w:rsid w:val="00873A8D"/>
    <w:rsid w:val="008767ED"/>
    <w:rsid w:val="00876BFB"/>
    <w:rsid w:val="0087789E"/>
    <w:rsid w:val="00880212"/>
    <w:rsid w:val="00884E2D"/>
    <w:rsid w:val="008907F0"/>
    <w:rsid w:val="008912AC"/>
    <w:rsid w:val="00891B3D"/>
    <w:rsid w:val="00894BF2"/>
    <w:rsid w:val="00895571"/>
    <w:rsid w:val="008A46F0"/>
    <w:rsid w:val="008B1F3B"/>
    <w:rsid w:val="008B3751"/>
    <w:rsid w:val="008B4AF3"/>
    <w:rsid w:val="008B592F"/>
    <w:rsid w:val="008B78B7"/>
    <w:rsid w:val="008B7C8C"/>
    <w:rsid w:val="008C09E2"/>
    <w:rsid w:val="008C19FB"/>
    <w:rsid w:val="008C41C2"/>
    <w:rsid w:val="008C47CB"/>
    <w:rsid w:val="008C684F"/>
    <w:rsid w:val="008D1F31"/>
    <w:rsid w:val="008D24AD"/>
    <w:rsid w:val="008D4136"/>
    <w:rsid w:val="008D54BD"/>
    <w:rsid w:val="008D54FA"/>
    <w:rsid w:val="008D6A91"/>
    <w:rsid w:val="008E17BD"/>
    <w:rsid w:val="008E32A6"/>
    <w:rsid w:val="008E6E04"/>
    <w:rsid w:val="008F0851"/>
    <w:rsid w:val="008F1FD0"/>
    <w:rsid w:val="008F1FE0"/>
    <w:rsid w:val="008F24D5"/>
    <w:rsid w:val="008F3A76"/>
    <w:rsid w:val="008F4517"/>
    <w:rsid w:val="008F5B1D"/>
    <w:rsid w:val="008F70EB"/>
    <w:rsid w:val="008F779D"/>
    <w:rsid w:val="00900F4E"/>
    <w:rsid w:val="009031BF"/>
    <w:rsid w:val="0090338F"/>
    <w:rsid w:val="00903801"/>
    <w:rsid w:val="00905324"/>
    <w:rsid w:val="0090604B"/>
    <w:rsid w:val="0090644F"/>
    <w:rsid w:val="00906A98"/>
    <w:rsid w:val="00906B57"/>
    <w:rsid w:val="0090752C"/>
    <w:rsid w:val="009126D8"/>
    <w:rsid w:val="009144CB"/>
    <w:rsid w:val="009158EE"/>
    <w:rsid w:val="00920897"/>
    <w:rsid w:val="009209FA"/>
    <w:rsid w:val="00921D9B"/>
    <w:rsid w:val="00922CEA"/>
    <w:rsid w:val="009230DA"/>
    <w:rsid w:val="0092504B"/>
    <w:rsid w:val="009256B5"/>
    <w:rsid w:val="009267D5"/>
    <w:rsid w:val="0092686E"/>
    <w:rsid w:val="009269E2"/>
    <w:rsid w:val="0093008D"/>
    <w:rsid w:val="00932BE8"/>
    <w:rsid w:val="00937072"/>
    <w:rsid w:val="009373F7"/>
    <w:rsid w:val="00941765"/>
    <w:rsid w:val="009426AE"/>
    <w:rsid w:val="00942B93"/>
    <w:rsid w:val="00943851"/>
    <w:rsid w:val="00952E4B"/>
    <w:rsid w:val="009549DD"/>
    <w:rsid w:val="00955A6D"/>
    <w:rsid w:val="00955EBC"/>
    <w:rsid w:val="0095646F"/>
    <w:rsid w:val="00961AE5"/>
    <w:rsid w:val="00961F62"/>
    <w:rsid w:val="00964BC9"/>
    <w:rsid w:val="0096608C"/>
    <w:rsid w:val="00966EFB"/>
    <w:rsid w:val="009701ED"/>
    <w:rsid w:val="00970FE2"/>
    <w:rsid w:val="00971B2D"/>
    <w:rsid w:val="009725E4"/>
    <w:rsid w:val="00975F82"/>
    <w:rsid w:val="009818A4"/>
    <w:rsid w:val="00982DB1"/>
    <w:rsid w:val="009848C3"/>
    <w:rsid w:val="00985494"/>
    <w:rsid w:val="009907D8"/>
    <w:rsid w:val="00990D0F"/>
    <w:rsid w:val="00992A58"/>
    <w:rsid w:val="00995643"/>
    <w:rsid w:val="009A135D"/>
    <w:rsid w:val="009A66FD"/>
    <w:rsid w:val="009A6FCF"/>
    <w:rsid w:val="009A7202"/>
    <w:rsid w:val="009B16DC"/>
    <w:rsid w:val="009B21EA"/>
    <w:rsid w:val="009B2316"/>
    <w:rsid w:val="009B2F54"/>
    <w:rsid w:val="009B454E"/>
    <w:rsid w:val="009B5600"/>
    <w:rsid w:val="009B58C2"/>
    <w:rsid w:val="009B7331"/>
    <w:rsid w:val="009C1284"/>
    <w:rsid w:val="009C170B"/>
    <w:rsid w:val="009C3BED"/>
    <w:rsid w:val="009C3DB6"/>
    <w:rsid w:val="009D10B5"/>
    <w:rsid w:val="009D183F"/>
    <w:rsid w:val="009D2131"/>
    <w:rsid w:val="009D49F7"/>
    <w:rsid w:val="009D59EA"/>
    <w:rsid w:val="009D6256"/>
    <w:rsid w:val="009D687D"/>
    <w:rsid w:val="009D71DE"/>
    <w:rsid w:val="009D73D0"/>
    <w:rsid w:val="009D7A0F"/>
    <w:rsid w:val="009E3DBE"/>
    <w:rsid w:val="009E3DC7"/>
    <w:rsid w:val="009E413C"/>
    <w:rsid w:val="009E432F"/>
    <w:rsid w:val="009E55AB"/>
    <w:rsid w:val="009E5C42"/>
    <w:rsid w:val="009F21E6"/>
    <w:rsid w:val="009F7D97"/>
    <w:rsid w:val="00A036F5"/>
    <w:rsid w:val="00A03981"/>
    <w:rsid w:val="00A061F9"/>
    <w:rsid w:val="00A07A30"/>
    <w:rsid w:val="00A11935"/>
    <w:rsid w:val="00A17DDB"/>
    <w:rsid w:val="00A17EB9"/>
    <w:rsid w:val="00A20836"/>
    <w:rsid w:val="00A22AB2"/>
    <w:rsid w:val="00A23F7A"/>
    <w:rsid w:val="00A246E7"/>
    <w:rsid w:val="00A2551C"/>
    <w:rsid w:val="00A259DF"/>
    <w:rsid w:val="00A336BE"/>
    <w:rsid w:val="00A34771"/>
    <w:rsid w:val="00A34A9B"/>
    <w:rsid w:val="00A356D1"/>
    <w:rsid w:val="00A3572C"/>
    <w:rsid w:val="00A436B5"/>
    <w:rsid w:val="00A4378D"/>
    <w:rsid w:val="00A453E1"/>
    <w:rsid w:val="00A46617"/>
    <w:rsid w:val="00A54C52"/>
    <w:rsid w:val="00A55BF8"/>
    <w:rsid w:val="00A55FA7"/>
    <w:rsid w:val="00A5718F"/>
    <w:rsid w:val="00A575F7"/>
    <w:rsid w:val="00A622B2"/>
    <w:rsid w:val="00A63B54"/>
    <w:rsid w:val="00A64CC9"/>
    <w:rsid w:val="00A66077"/>
    <w:rsid w:val="00A70965"/>
    <w:rsid w:val="00A71B60"/>
    <w:rsid w:val="00A72264"/>
    <w:rsid w:val="00A722E6"/>
    <w:rsid w:val="00A748B6"/>
    <w:rsid w:val="00A80665"/>
    <w:rsid w:val="00A81B7A"/>
    <w:rsid w:val="00A821FB"/>
    <w:rsid w:val="00A83246"/>
    <w:rsid w:val="00A83852"/>
    <w:rsid w:val="00A83B42"/>
    <w:rsid w:val="00A84D99"/>
    <w:rsid w:val="00A850C5"/>
    <w:rsid w:val="00A8538B"/>
    <w:rsid w:val="00A90F60"/>
    <w:rsid w:val="00A918E9"/>
    <w:rsid w:val="00A92EA2"/>
    <w:rsid w:val="00A95889"/>
    <w:rsid w:val="00A96132"/>
    <w:rsid w:val="00A96DAA"/>
    <w:rsid w:val="00AA0DBB"/>
    <w:rsid w:val="00AA152E"/>
    <w:rsid w:val="00AA2716"/>
    <w:rsid w:val="00AA400F"/>
    <w:rsid w:val="00AA5FDF"/>
    <w:rsid w:val="00AB4615"/>
    <w:rsid w:val="00AB4C0D"/>
    <w:rsid w:val="00AB714F"/>
    <w:rsid w:val="00AC1288"/>
    <w:rsid w:val="00AC2083"/>
    <w:rsid w:val="00AC63DE"/>
    <w:rsid w:val="00AC6F55"/>
    <w:rsid w:val="00AC7FBB"/>
    <w:rsid w:val="00AD2218"/>
    <w:rsid w:val="00AD4C44"/>
    <w:rsid w:val="00AD5146"/>
    <w:rsid w:val="00AD5F79"/>
    <w:rsid w:val="00AD65BD"/>
    <w:rsid w:val="00AD7663"/>
    <w:rsid w:val="00AD7BEB"/>
    <w:rsid w:val="00AE2A20"/>
    <w:rsid w:val="00AE2CB4"/>
    <w:rsid w:val="00AE2D4D"/>
    <w:rsid w:val="00AE4329"/>
    <w:rsid w:val="00AF0F1D"/>
    <w:rsid w:val="00AF139F"/>
    <w:rsid w:val="00AF322D"/>
    <w:rsid w:val="00AF346B"/>
    <w:rsid w:val="00AF5E49"/>
    <w:rsid w:val="00AF6492"/>
    <w:rsid w:val="00AF6C57"/>
    <w:rsid w:val="00AF760C"/>
    <w:rsid w:val="00B04FCB"/>
    <w:rsid w:val="00B06498"/>
    <w:rsid w:val="00B12DD5"/>
    <w:rsid w:val="00B1485F"/>
    <w:rsid w:val="00B14C99"/>
    <w:rsid w:val="00B1796A"/>
    <w:rsid w:val="00B22606"/>
    <w:rsid w:val="00B255A9"/>
    <w:rsid w:val="00B303A6"/>
    <w:rsid w:val="00B3255F"/>
    <w:rsid w:val="00B35E14"/>
    <w:rsid w:val="00B37A14"/>
    <w:rsid w:val="00B37EC0"/>
    <w:rsid w:val="00B4071A"/>
    <w:rsid w:val="00B40FE9"/>
    <w:rsid w:val="00B42CE4"/>
    <w:rsid w:val="00B44177"/>
    <w:rsid w:val="00B4675F"/>
    <w:rsid w:val="00B54342"/>
    <w:rsid w:val="00B54B23"/>
    <w:rsid w:val="00B55FB3"/>
    <w:rsid w:val="00B57674"/>
    <w:rsid w:val="00B62B87"/>
    <w:rsid w:val="00B65B91"/>
    <w:rsid w:val="00B70288"/>
    <w:rsid w:val="00B71FB0"/>
    <w:rsid w:val="00B72598"/>
    <w:rsid w:val="00B731C2"/>
    <w:rsid w:val="00B732FF"/>
    <w:rsid w:val="00B74AFD"/>
    <w:rsid w:val="00B74B8C"/>
    <w:rsid w:val="00B762BB"/>
    <w:rsid w:val="00B77104"/>
    <w:rsid w:val="00B772F7"/>
    <w:rsid w:val="00B8006A"/>
    <w:rsid w:val="00B80D17"/>
    <w:rsid w:val="00B81506"/>
    <w:rsid w:val="00B84A75"/>
    <w:rsid w:val="00B85A5F"/>
    <w:rsid w:val="00B86A1E"/>
    <w:rsid w:val="00B876D4"/>
    <w:rsid w:val="00B92C62"/>
    <w:rsid w:val="00B92D0F"/>
    <w:rsid w:val="00BA1499"/>
    <w:rsid w:val="00BA2B34"/>
    <w:rsid w:val="00BA6F50"/>
    <w:rsid w:val="00BA726B"/>
    <w:rsid w:val="00BB15C4"/>
    <w:rsid w:val="00BB23C8"/>
    <w:rsid w:val="00BB2B5E"/>
    <w:rsid w:val="00BB4389"/>
    <w:rsid w:val="00BB60F6"/>
    <w:rsid w:val="00BB6934"/>
    <w:rsid w:val="00BC11B2"/>
    <w:rsid w:val="00BC375A"/>
    <w:rsid w:val="00BC3C3D"/>
    <w:rsid w:val="00BC40BE"/>
    <w:rsid w:val="00BC7533"/>
    <w:rsid w:val="00BD0BDF"/>
    <w:rsid w:val="00BD204A"/>
    <w:rsid w:val="00BD262E"/>
    <w:rsid w:val="00BD31BC"/>
    <w:rsid w:val="00BE122C"/>
    <w:rsid w:val="00BE2FEF"/>
    <w:rsid w:val="00BF04D0"/>
    <w:rsid w:val="00BF18DC"/>
    <w:rsid w:val="00BF1A95"/>
    <w:rsid w:val="00BF3560"/>
    <w:rsid w:val="00BF72C7"/>
    <w:rsid w:val="00C004BB"/>
    <w:rsid w:val="00C0081A"/>
    <w:rsid w:val="00C01CB6"/>
    <w:rsid w:val="00C01F3C"/>
    <w:rsid w:val="00C03BB8"/>
    <w:rsid w:val="00C0464A"/>
    <w:rsid w:val="00C0509E"/>
    <w:rsid w:val="00C055AC"/>
    <w:rsid w:val="00C057F5"/>
    <w:rsid w:val="00C06C0C"/>
    <w:rsid w:val="00C07820"/>
    <w:rsid w:val="00C10594"/>
    <w:rsid w:val="00C1180D"/>
    <w:rsid w:val="00C129A3"/>
    <w:rsid w:val="00C13C40"/>
    <w:rsid w:val="00C15258"/>
    <w:rsid w:val="00C179D6"/>
    <w:rsid w:val="00C20CA5"/>
    <w:rsid w:val="00C23417"/>
    <w:rsid w:val="00C25803"/>
    <w:rsid w:val="00C274E4"/>
    <w:rsid w:val="00C27B9F"/>
    <w:rsid w:val="00C33E83"/>
    <w:rsid w:val="00C35148"/>
    <w:rsid w:val="00C35F4A"/>
    <w:rsid w:val="00C36CE6"/>
    <w:rsid w:val="00C406FD"/>
    <w:rsid w:val="00C41258"/>
    <w:rsid w:val="00C412D4"/>
    <w:rsid w:val="00C414DA"/>
    <w:rsid w:val="00C426C6"/>
    <w:rsid w:val="00C43266"/>
    <w:rsid w:val="00C4333F"/>
    <w:rsid w:val="00C4403A"/>
    <w:rsid w:val="00C45A14"/>
    <w:rsid w:val="00C476E6"/>
    <w:rsid w:val="00C5056C"/>
    <w:rsid w:val="00C51F3B"/>
    <w:rsid w:val="00C56571"/>
    <w:rsid w:val="00C61755"/>
    <w:rsid w:val="00C665F9"/>
    <w:rsid w:val="00C66C16"/>
    <w:rsid w:val="00C672E2"/>
    <w:rsid w:val="00C70CB9"/>
    <w:rsid w:val="00C71519"/>
    <w:rsid w:val="00C71CEC"/>
    <w:rsid w:val="00C72559"/>
    <w:rsid w:val="00C7259A"/>
    <w:rsid w:val="00C73421"/>
    <w:rsid w:val="00C74DEF"/>
    <w:rsid w:val="00C75083"/>
    <w:rsid w:val="00C7525D"/>
    <w:rsid w:val="00C77ED8"/>
    <w:rsid w:val="00C77FF2"/>
    <w:rsid w:val="00C81035"/>
    <w:rsid w:val="00C8244D"/>
    <w:rsid w:val="00C85611"/>
    <w:rsid w:val="00C867CC"/>
    <w:rsid w:val="00C90C8B"/>
    <w:rsid w:val="00C931E3"/>
    <w:rsid w:val="00C932F9"/>
    <w:rsid w:val="00C9603C"/>
    <w:rsid w:val="00CA0F9C"/>
    <w:rsid w:val="00CA1052"/>
    <w:rsid w:val="00CA2977"/>
    <w:rsid w:val="00CA420F"/>
    <w:rsid w:val="00CA7027"/>
    <w:rsid w:val="00CB3ACE"/>
    <w:rsid w:val="00CB724D"/>
    <w:rsid w:val="00CB78BD"/>
    <w:rsid w:val="00CB79C4"/>
    <w:rsid w:val="00CC339C"/>
    <w:rsid w:val="00CC4379"/>
    <w:rsid w:val="00CC532E"/>
    <w:rsid w:val="00CC7A27"/>
    <w:rsid w:val="00CD1092"/>
    <w:rsid w:val="00CD2003"/>
    <w:rsid w:val="00CD2F85"/>
    <w:rsid w:val="00CD3896"/>
    <w:rsid w:val="00CD3DAB"/>
    <w:rsid w:val="00CD45BC"/>
    <w:rsid w:val="00CD4CCC"/>
    <w:rsid w:val="00CD668E"/>
    <w:rsid w:val="00CE1D5A"/>
    <w:rsid w:val="00CE2053"/>
    <w:rsid w:val="00CF2137"/>
    <w:rsid w:val="00CF2D48"/>
    <w:rsid w:val="00CF3A08"/>
    <w:rsid w:val="00CF3C5E"/>
    <w:rsid w:val="00CF3CDE"/>
    <w:rsid w:val="00CF47E9"/>
    <w:rsid w:val="00CF648A"/>
    <w:rsid w:val="00D004F7"/>
    <w:rsid w:val="00D01CC6"/>
    <w:rsid w:val="00D06DD6"/>
    <w:rsid w:val="00D07D59"/>
    <w:rsid w:val="00D11217"/>
    <w:rsid w:val="00D113D1"/>
    <w:rsid w:val="00D12268"/>
    <w:rsid w:val="00D12B30"/>
    <w:rsid w:val="00D16685"/>
    <w:rsid w:val="00D23772"/>
    <w:rsid w:val="00D2595E"/>
    <w:rsid w:val="00D25D97"/>
    <w:rsid w:val="00D279B4"/>
    <w:rsid w:val="00D31DC0"/>
    <w:rsid w:val="00D33BAE"/>
    <w:rsid w:val="00D342FB"/>
    <w:rsid w:val="00D361F9"/>
    <w:rsid w:val="00D370FB"/>
    <w:rsid w:val="00D37AB2"/>
    <w:rsid w:val="00D4271C"/>
    <w:rsid w:val="00D455A4"/>
    <w:rsid w:val="00D45842"/>
    <w:rsid w:val="00D46F67"/>
    <w:rsid w:val="00D47D20"/>
    <w:rsid w:val="00D54497"/>
    <w:rsid w:val="00D556B6"/>
    <w:rsid w:val="00D57046"/>
    <w:rsid w:val="00D57498"/>
    <w:rsid w:val="00D62A4C"/>
    <w:rsid w:val="00D65CBF"/>
    <w:rsid w:val="00D66B7D"/>
    <w:rsid w:val="00D66FC5"/>
    <w:rsid w:val="00D70F17"/>
    <w:rsid w:val="00D7144F"/>
    <w:rsid w:val="00D72D1B"/>
    <w:rsid w:val="00D73637"/>
    <w:rsid w:val="00D75D69"/>
    <w:rsid w:val="00D77CE7"/>
    <w:rsid w:val="00D807B5"/>
    <w:rsid w:val="00D8254F"/>
    <w:rsid w:val="00D82DEF"/>
    <w:rsid w:val="00D83198"/>
    <w:rsid w:val="00D84636"/>
    <w:rsid w:val="00D872B5"/>
    <w:rsid w:val="00D91C76"/>
    <w:rsid w:val="00D9446F"/>
    <w:rsid w:val="00D96639"/>
    <w:rsid w:val="00DA34DD"/>
    <w:rsid w:val="00DA3A77"/>
    <w:rsid w:val="00DA6C2E"/>
    <w:rsid w:val="00DB08E6"/>
    <w:rsid w:val="00DB0A82"/>
    <w:rsid w:val="00DB2402"/>
    <w:rsid w:val="00DB2510"/>
    <w:rsid w:val="00DB5807"/>
    <w:rsid w:val="00DB7FCF"/>
    <w:rsid w:val="00DB7FD1"/>
    <w:rsid w:val="00DC0D22"/>
    <w:rsid w:val="00DC23DB"/>
    <w:rsid w:val="00DC4E9E"/>
    <w:rsid w:val="00DC522C"/>
    <w:rsid w:val="00DC7188"/>
    <w:rsid w:val="00DD0F0E"/>
    <w:rsid w:val="00DD1655"/>
    <w:rsid w:val="00DD6F59"/>
    <w:rsid w:val="00DD6F8F"/>
    <w:rsid w:val="00DD780C"/>
    <w:rsid w:val="00DD7FC7"/>
    <w:rsid w:val="00DE0084"/>
    <w:rsid w:val="00DE0E4B"/>
    <w:rsid w:val="00DE36EB"/>
    <w:rsid w:val="00DE3775"/>
    <w:rsid w:val="00DE5705"/>
    <w:rsid w:val="00DF0FAA"/>
    <w:rsid w:val="00DF1714"/>
    <w:rsid w:val="00DF47DC"/>
    <w:rsid w:val="00E002E0"/>
    <w:rsid w:val="00E00FE4"/>
    <w:rsid w:val="00E01D9F"/>
    <w:rsid w:val="00E02E11"/>
    <w:rsid w:val="00E030C8"/>
    <w:rsid w:val="00E05CA4"/>
    <w:rsid w:val="00E10233"/>
    <w:rsid w:val="00E11392"/>
    <w:rsid w:val="00E12046"/>
    <w:rsid w:val="00E12726"/>
    <w:rsid w:val="00E13718"/>
    <w:rsid w:val="00E14BD4"/>
    <w:rsid w:val="00E14D25"/>
    <w:rsid w:val="00E21B47"/>
    <w:rsid w:val="00E23A78"/>
    <w:rsid w:val="00E23EF5"/>
    <w:rsid w:val="00E2506D"/>
    <w:rsid w:val="00E25B28"/>
    <w:rsid w:val="00E26C99"/>
    <w:rsid w:val="00E350EE"/>
    <w:rsid w:val="00E35DAF"/>
    <w:rsid w:val="00E3717B"/>
    <w:rsid w:val="00E37AE0"/>
    <w:rsid w:val="00E43270"/>
    <w:rsid w:val="00E4720A"/>
    <w:rsid w:val="00E50731"/>
    <w:rsid w:val="00E51622"/>
    <w:rsid w:val="00E5312E"/>
    <w:rsid w:val="00E5382B"/>
    <w:rsid w:val="00E556AB"/>
    <w:rsid w:val="00E57D75"/>
    <w:rsid w:val="00E62BA0"/>
    <w:rsid w:val="00E6477B"/>
    <w:rsid w:val="00E6579E"/>
    <w:rsid w:val="00E6786C"/>
    <w:rsid w:val="00E7092C"/>
    <w:rsid w:val="00E71167"/>
    <w:rsid w:val="00E7130E"/>
    <w:rsid w:val="00E71806"/>
    <w:rsid w:val="00E71F41"/>
    <w:rsid w:val="00E720A8"/>
    <w:rsid w:val="00E728EF"/>
    <w:rsid w:val="00E734AF"/>
    <w:rsid w:val="00E74D54"/>
    <w:rsid w:val="00E750B4"/>
    <w:rsid w:val="00E820F6"/>
    <w:rsid w:val="00E825FB"/>
    <w:rsid w:val="00E841D6"/>
    <w:rsid w:val="00E8514F"/>
    <w:rsid w:val="00E854D3"/>
    <w:rsid w:val="00E85E7A"/>
    <w:rsid w:val="00E87031"/>
    <w:rsid w:val="00E9047D"/>
    <w:rsid w:val="00E90BF2"/>
    <w:rsid w:val="00E9426C"/>
    <w:rsid w:val="00E94CE8"/>
    <w:rsid w:val="00EA1785"/>
    <w:rsid w:val="00EA1FC1"/>
    <w:rsid w:val="00EA25F5"/>
    <w:rsid w:val="00EA2ECC"/>
    <w:rsid w:val="00EA4F8E"/>
    <w:rsid w:val="00EA53BE"/>
    <w:rsid w:val="00EA59D7"/>
    <w:rsid w:val="00EA7200"/>
    <w:rsid w:val="00EA7BF0"/>
    <w:rsid w:val="00EB09AF"/>
    <w:rsid w:val="00EB1161"/>
    <w:rsid w:val="00EB1A85"/>
    <w:rsid w:val="00EB3744"/>
    <w:rsid w:val="00EB3E4E"/>
    <w:rsid w:val="00EB5E82"/>
    <w:rsid w:val="00EB7183"/>
    <w:rsid w:val="00EB775D"/>
    <w:rsid w:val="00EB7915"/>
    <w:rsid w:val="00EC389A"/>
    <w:rsid w:val="00EC3A72"/>
    <w:rsid w:val="00EC3AA8"/>
    <w:rsid w:val="00EC7409"/>
    <w:rsid w:val="00ED4A34"/>
    <w:rsid w:val="00ED5A1B"/>
    <w:rsid w:val="00ED6E89"/>
    <w:rsid w:val="00ED7D12"/>
    <w:rsid w:val="00EE0F92"/>
    <w:rsid w:val="00EE2BFD"/>
    <w:rsid w:val="00EE364A"/>
    <w:rsid w:val="00EE440C"/>
    <w:rsid w:val="00EE52A5"/>
    <w:rsid w:val="00EE5A1D"/>
    <w:rsid w:val="00EE7CE7"/>
    <w:rsid w:val="00EF01B4"/>
    <w:rsid w:val="00EF1CF5"/>
    <w:rsid w:val="00EF4C52"/>
    <w:rsid w:val="00EF529E"/>
    <w:rsid w:val="00EF539D"/>
    <w:rsid w:val="00EF731D"/>
    <w:rsid w:val="00F0605E"/>
    <w:rsid w:val="00F1024C"/>
    <w:rsid w:val="00F11078"/>
    <w:rsid w:val="00F1306E"/>
    <w:rsid w:val="00F15335"/>
    <w:rsid w:val="00F15EF3"/>
    <w:rsid w:val="00F17C51"/>
    <w:rsid w:val="00F2078E"/>
    <w:rsid w:val="00F20A28"/>
    <w:rsid w:val="00F20B31"/>
    <w:rsid w:val="00F211F8"/>
    <w:rsid w:val="00F22260"/>
    <w:rsid w:val="00F233E8"/>
    <w:rsid w:val="00F257C7"/>
    <w:rsid w:val="00F300DA"/>
    <w:rsid w:val="00F304D0"/>
    <w:rsid w:val="00F36678"/>
    <w:rsid w:val="00F44139"/>
    <w:rsid w:val="00F4614B"/>
    <w:rsid w:val="00F466C4"/>
    <w:rsid w:val="00F508F4"/>
    <w:rsid w:val="00F5148D"/>
    <w:rsid w:val="00F52345"/>
    <w:rsid w:val="00F534BC"/>
    <w:rsid w:val="00F53AC3"/>
    <w:rsid w:val="00F54BC3"/>
    <w:rsid w:val="00F54D96"/>
    <w:rsid w:val="00F559BB"/>
    <w:rsid w:val="00F57A45"/>
    <w:rsid w:val="00F603FE"/>
    <w:rsid w:val="00F61A79"/>
    <w:rsid w:val="00F623B6"/>
    <w:rsid w:val="00F62727"/>
    <w:rsid w:val="00F63CBC"/>
    <w:rsid w:val="00F64A69"/>
    <w:rsid w:val="00F710BC"/>
    <w:rsid w:val="00F73B5E"/>
    <w:rsid w:val="00F74823"/>
    <w:rsid w:val="00F7548C"/>
    <w:rsid w:val="00F76916"/>
    <w:rsid w:val="00F80C8E"/>
    <w:rsid w:val="00F8602A"/>
    <w:rsid w:val="00F864A6"/>
    <w:rsid w:val="00F86805"/>
    <w:rsid w:val="00F87C92"/>
    <w:rsid w:val="00F91199"/>
    <w:rsid w:val="00F91611"/>
    <w:rsid w:val="00F92181"/>
    <w:rsid w:val="00F95AFF"/>
    <w:rsid w:val="00FA1115"/>
    <w:rsid w:val="00FA289D"/>
    <w:rsid w:val="00FA2F6A"/>
    <w:rsid w:val="00FA4444"/>
    <w:rsid w:val="00FA46F7"/>
    <w:rsid w:val="00FA593B"/>
    <w:rsid w:val="00FA5F6C"/>
    <w:rsid w:val="00FB0207"/>
    <w:rsid w:val="00FB084A"/>
    <w:rsid w:val="00FB2588"/>
    <w:rsid w:val="00FB53E9"/>
    <w:rsid w:val="00FB54C7"/>
    <w:rsid w:val="00FB758F"/>
    <w:rsid w:val="00FC007B"/>
    <w:rsid w:val="00FC085B"/>
    <w:rsid w:val="00FC2C71"/>
    <w:rsid w:val="00FC413C"/>
    <w:rsid w:val="00FD1200"/>
    <w:rsid w:val="00FD22BD"/>
    <w:rsid w:val="00FD5473"/>
    <w:rsid w:val="00FD60FE"/>
    <w:rsid w:val="00FD70ED"/>
    <w:rsid w:val="00FD7DD9"/>
    <w:rsid w:val="00FE0FFB"/>
    <w:rsid w:val="00FE1AC3"/>
    <w:rsid w:val="00FE2140"/>
    <w:rsid w:val="00FF0E07"/>
    <w:rsid w:val="00FF5FE6"/>
    <w:rsid w:val="00FF6679"/>
    <w:rsid w:val="00FF66CA"/>
  </w:rsids>
  <m:mathPr>
    <m:mathFont m:val="Cambria Math"/>
    <m:brkBin m:val="before"/>
    <m:brkBinSub m:val="--"/>
    <m:smallFrac m:val="0"/>
    <m:dispDef/>
    <m:lMargin m:val="0"/>
    <m:rMargin m:val="0"/>
    <m:defJc m:val="centerGroup"/>
    <m:wrapIndent m:val="1440"/>
    <m:intLim m:val="subSup"/>
    <m:naryLim m:val="undOvr"/>
  </m:mathPr>
  <w:themeFontLang w:val="es-MX"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3CE8CC"/>
  <w15:docId w15:val="{7B0F1C7A-89E0-4A82-AD1C-1CF8C427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E10"/>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5B29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29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2961"/>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30">
    <w:name w:val="estilo30"/>
    <w:basedOn w:val="Normal"/>
    <w:uiPriority w:val="99"/>
    <w:rsid w:val="00217E10"/>
    <w:pPr>
      <w:spacing w:before="100" w:beforeAutospacing="1" w:after="100" w:afterAutospacing="1"/>
    </w:pPr>
  </w:style>
  <w:style w:type="paragraph" w:styleId="Prrafodelista">
    <w:name w:val="List Paragraph"/>
    <w:basedOn w:val="Normal"/>
    <w:link w:val="PrrafodelistaCar"/>
    <w:uiPriority w:val="34"/>
    <w:qFormat/>
    <w:rsid w:val="00217E10"/>
    <w:pPr>
      <w:ind w:left="708"/>
    </w:pPr>
    <w:rPr>
      <w:sz w:val="20"/>
      <w:szCs w:val="20"/>
      <w:lang w:val="es-ES_tradnl" w:eastAsia="es-ES"/>
    </w:rPr>
  </w:style>
  <w:style w:type="character" w:customStyle="1" w:styleId="PrrafodelistaCar">
    <w:name w:val="Párrafo de lista Car"/>
    <w:link w:val="Prrafodelista"/>
    <w:uiPriority w:val="34"/>
    <w:locked/>
    <w:rsid w:val="00217E10"/>
    <w:rPr>
      <w:rFonts w:ascii="Times New Roman" w:eastAsia="Times New Roman" w:hAnsi="Times New Roman" w:cs="Times New Roman"/>
      <w:sz w:val="20"/>
      <w:szCs w:val="20"/>
      <w:lang w:val="es-ES_tradnl" w:eastAsia="es-ES"/>
    </w:rPr>
  </w:style>
  <w:style w:type="paragraph" w:styleId="Textoindependiente">
    <w:name w:val="Body Text"/>
    <w:basedOn w:val="Normal"/>
    <w:link w:val="TextoindependienteCar"/>
    <w:uiPriority w:val="99"/>
    <w:rsid w:val="00217E10"/>
    <w:pPr>
      <w:jc w:val="both"/>
    </w:pPr>
    <w:rPr>
      <w:rFonts w:ascii="Arial" w:hAnsi="Arial"/>
      <w:szCs w:val="20"/>
      <w:lang w:val="es-ES_tradnl" w:eastAsia="es-ES"/>
    </w:rPr>
  </w:style>
  <w:style w:type="character" w:customStyle="1" w:styleId="TextoindependienteCar">
    <w:name w:val="Texto independiente Car"/>
    <w:basedOn w:val="Fuentedeprrafopredeter"/>
    <w:link w:val="Textoindependiente"/>
    <w:uiPriority w:val="99"/>
    <w:rsid w:val="00217E10"/>
    <w:rPr>
      <w:rFonts w:ascii="Arial" w:eastAsia="Times New Roman" w:hAnsi="Arial" w:cs="Times New Roman"/>
      <w:sz w:val="24"/>
      <w:szCs w:val="20"/>
      <w:lang w:val="es-ES_tradnl" w:eastAsia="es-ES"/>
    </w:rPr>
  </w:style>
  <w:style w:type="paragraph" w:customStyle="1" w:styleId="IFT1">
    <w:name w:val="IFT 1"/>
    <w:basedOn w:val="Normal"/>
    <w:link w:val="IFT1Car"/>
    <w:qFormat/>
    <w:rsid w:val="00217E10"/>
    <w:pPr>
      <w:spacing w:after="200" w:line="276" w:lineRule="auto"/>
      <w:jc w:val="both"/>
    </w:pPr>
    <w:rPr>
      <w:rFonts w:ascii="ITC Avant Garde" w:hAnsi="ITC Avant Garde"/>
      <w:iCs/>
      <w:sz w:val="22"/>
      <w:szCs w:val="22"/>
      <w:lang w:eastAsia="en-US"/>
    </w:rPr>
  </w:style>
  <w:style w:type="character" w:customStyle="1" w:styleId="IFT1Car">
    <w:name w:val="IFT 1 Car"/>
    <w:link w:val="IFT1"/>
    <w:rsid w:val="00217E10"/>
    <w:rPr>
      <w:rFonts w:ascii="ITC Avant Garde" w:eastAsia="Times New Roman" w:hAnsi="ITC Avant Garde" w:cs="Times New Roman"/>
      <w:iCs/>
    </w:rPr>
  </w:style>
  <w:style w:type="paragraph" w:styleId="Sinespaciado">
    <w:name w:val="No Spacing"/>
    <w:uiPriority w:val="1"/>
    <w:qFormat/>
    <w:rsid w:val="00217E10"/>
    <w:pPr>
      <w:spacing w:after="0" w:line="240" w:lineRule="auto"/>
    </w:pPr>
  </w:style>
  <w:style w:type="paragraph" w:styleId="Textodeglobo">
    <w:name w:val="Balloon Text"/>
    <w:basedOn w:val="Normal"/>
    <w:link w:val="TextodegloboCar"/>
    <w:uiPriority w:val="99"/>
    <w:semiHidden/>
    <w:unhideWhenUsed/>
    <w:rsid w:val="008F70E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F70EB"/>
    <w:rPr>
      <w:rFonts w:ascii="Lucida Grande" w:eastAsia="Times New Roman" w:hAnsi="Lucida Grande" w:cs="Lucida Grande"/>
      <w:sz w:val="18"/>
      <w:szCs w:val="18"/>
      <w:lang w:eastAsia="es-MX"/>
    </w:rPr>
  </w:style>
  <w:style w:type="character" w:styleId="Refdecomentario">
    <w:name w:val="annotation reference"/>
    <w:basedOn w:val="Fuentedeprrafopredeter"/>
    <w:uiPriority w:val="99"/>
    <w:semiHidden/>
    <w:unhideWhenUsed/>
    <w:rsid w:val="008F70EB"/>
    <w:rPr>
      <w:sz w:val="18"/>
      <w:szCs w:val="18"/>
    </w:rPr>
  </w:style>
  <w:style w:type="paragraph" w:styleId="Textocomentario">
    <w:name w:val="annotation text"/>
    <w:basedOn w:val="Normal"/>
    <w:link w:val="TextocomentarioCar"/>
    <w:uiPriority w:val="99"/>
    <w:unhideWhenUsed/>
    <w:rsid w:val="008F70EB"/>
  </w:style>
  <w:style w:type="character" w:customStyle="1" w:styleId="TextocomentarioCar">
    <w:name w:val="Texto comentario Car"/>
    <w:basedOn w:val="Fuentedeprrafopredeter"/>
    <w:link w:val="Textocomentario"/>
    <w:uiPriority w:val="99"/>
    <w:rsid w:val="008F70EB"/>
    <w:rPr>
      <w:rFonts w:ascii="Times New Roman" w:eastAsia="Times New Roman" w:hAnsi="Times New Roman" w:cs="Times New Roman"/>
      <w:sz w:val="24"/>
      <w:szCs w:val="24"/>
      <w:lang w:eastAsia="es-MX"/>
    </w:rPr>
  </w:style>
  <w:style w:type="paragraph" w:styleId="Asuntodelcomentario">
    <w:name w:val="annotation subject"/>
    <w:basedOn w:val="Textocomentario"/>
    <w:next w:val="Textocomentario"/>
    <w:link w:val="AsuntodelcomentarioCar"/>
    <w:uiPriority w:val="99"/>
    <w:semiHidden/>
    <w:unhideWhenUsed/>
    <w:rsid w:val="008F70EB"/>
    <w:rPr>
      <w:b/>
      <w:bCs/>
      <w:sz w:val="20"/>
      <w:szCs w:val="20"/>
    </w:rPr>
  </w:style>
  <w:style w:type="character" w:customStyle="1" w:styleId="AsuntodelcomentarioCar">
    <w:name w:val="Asunto del comentario Car"/>
    <w:basedOn w:val="TextocomentarioCar"/>
    <w:link w:val="Asuntodelcomentario"/>
    <w:uiPriority w:val="99"/>
    <w:semiHidden/>
    <w:rsid w:val="008F70EB"/>
    <w:rPr>
      <w:rFonts w:ascii="Times New Roman" w:eastAsia="Times New Roman" w:hAnsi="Times New Roman" w:cs="Times New Roman"/>
      <w:b/>
      <w:bCs/>
      <w:sz w:val="20"/>
      <w:szCs w:val="20"/>
      <w:lang w:eastAsia="es-MX"/>
    </w:rPr>
  </w:style>
  <w:style w:type="paragraph" w:styleId="Revisin">
    <w:name w:val="Revision"/>
    <w:hidden/>
    <w:uiPriority w:val="99"/>
    <w:semiHidden/>
    <w:rsid w:val="00C4333F"/>
    <w:pPr>
      <w:spacing w:after="0" w:line="240" w:lineRule="auto"/>
    </w:pPr>
    <w:rPr>
      <w:rFonts w:ascii="Times New Roman" w:eastAsia="Times New Roman" w:hAnsi="Times New Roman" w:cs="Times New Roman"/>
      <w:sz w:val="24"/>
      <w:szCs w:val="24"/>
      <w:lang w:eastAsia="es-MX"/>
    </w:rPr>
  </w:style>
  <w:style w:type="paragraph" w:customStyle="1" w:styleId="Normal1">
    <w:name w:val="Normal1"/>
    <w:rsid w:val="00A46617"/>
    <w:rPr>
      <w:rFonts w:ascii="Calibri" w:eastAsia="Calibri" w:hAnsi="Calibri" w:cs="Calibri"/>
      <w:color w:val="000000"/>
      <w:szCs w:val="20"/>
      <w:lang w:eastAsia="es-ES"/>
    </w:rPr>
  </w:style>
  <w:style w:type="paragraph" w:styleId="Textonotapie">
    <w:name w:val="footnote text"/>
    <w:basedOn w:val="Normal"/>
    <w:link w:val="TextonotapieCar"/>
    <w:uiPriority w:val="99"/>
    <w:semiHidden/>
    <w:unhideWhenUsed/>
    <w:rsid w:val="00A46617"/>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A46617"/>
    <w:rPr>
      <w:sz w:val="20"/>
      <w:szCs w:val="20"/>
    </w:rPr>
  </w:style>
  <w:style w:type="character" w:styleId="Refdenotaalpie">
    <w:name w:val="footnote reference"/>
    <w:basedOn w:val="Fuentedeprrafopredeter"/>
    <w:uiPriority w:val="99"/>
    <w:unhideWhenUsed/>
    <w:rsid w:val="00A46617"/>
    <w:rPr>
      <w:vertAlign w:val="superscript"/>
    </w:rPr>
  </w:style>
  <w:style w:type="paragraph" w:styleId="Textonotaalfinal">
    <w:name w:val="endnote text"/>
    <w:basedOn w:val="Normal"/>
    <w:link w:val="TextonotaalfinalCar"/>
    <w:uiPriority w:val="99"/>
    <w:semiHidden/>
    <w:unhideWhenUsed/>
    <w:rsid w:val="001677EB"/>
    <w:rPr>
      <w:sz w:val="20"/>
      <w:szCs w:val="20"/>
    </w:rPr>
  </w:style>
  <w:style w:type="character" w:customStyle="1" w:styleId="TextonotaalfinalCar">
    <w:name w:val="Texto nota al final Car"/>
    <w:basedOn w:val="Fuentedeprrafopredeter"/>
    <w:link w:val="Textonotaalfinal"/>
    <w:uiPriority w:val="99"/>
    <w:semiHidden/>
    <w:rsid w:val="001677EB"/>
    <w:rPr>
      <w:rFonts w:ascii="Times New Roman" w:eastAsia="Times New Roman" w:hAnsi="Times New Roman" w:cs="Times New Roman"/>
      <w:sz w:val="20"/>
      <w:szCs w:val="20"/>
      <w:lang w:eastAsia="es-MX"/>
    </w:rPr>
  </w:style>
  <w:style w:type="character" w:styleId="Refdenotaalfinal">
    <w:name w:val="endnote reference"/>
    <w:basedOn w:val="Fuentedeprrafopredeter"/>
    <w:uiPriority w:val="99"/>
    <w:semiHidden/>
    <w:unhideWhenUsed/>
    <w:rsid w:val="001677EB"/>
    <w:rPr>
      <w:vertAlign w:val="superscript"/>
    </w:rPr>
  </w:style>
  <w:style w:type="paragraph" w:styleId="Encabezado">
    <w:name w:val="header"/>
    <w:basedOn w:val="Normal"/>
    <w:link w:val="EncabezadoCar"/>
    <w:uiPriority w:val="99"/>
    <w:unhideWhenUsed/>
    <w:rsid w:val="00EA59D7"/>
    <w:pPr>
      <w:tabs>
        <w:tab w:val="center" w:pos="4419"/>
        <w:tab w:val="right" w:pos="8838"/>
      </w:tabs>
    </w:pPr>
  </w:style>
  <w:style w:type="character" w:customStyle="1" w:styleId="EncabezadoCar">
    <w:name w:val="Encabezado Car"/>
    <w:basedOn w:val="Fuentedeprrafopredeter"/>
    <w:link w:val="Encabezado"/>
    <w:uiPriority w:val="99"/>
    <w:rsid w:val="00EA59D7"/>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EA59D7"/>
    <w:pPr>
      <w:tabs>
        <w:tab w:val="center" w:pos="4419"/>
        <w:tab w:val="right" w:pos="8838"/>
      </w:tabs>
    </w:pPr>
  </w:style>
  <w:style w:type="character" w:customStyle="1" w:styleId="PiedepginaCar">
    <w:name w:val="Pie de página Car"/>
    <w:basedOn w:val="Fuentedeprrafopredeter"/>
    <w:link w:val="Piedepgina"/>
    <w:uiPriority w:val="99"/>
    <w:rsid w:val="00EA59D7"/>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B0C19"/>
    <w:rPr>
      <w:color w:val="0563C1" w:themeColor="hyperlink"/>
      <w:u w:val="single"/>
    </w:rPr>
  </w:style>
  <w:style w:type="character" w:customStyle="1" w:styleId="Ttulo1Car">
    <w:name w:val="Título 1 Car"/>
    <w:basedOn w:val="Fuentedeprrafopredeter"/>
    <w:link w:val="Ttulo1"/>
    <w:uiPriority w:val="9"/>
    <w:rsid w:val="005B2961"/>
    <w:rPr>
      <w:rFonts w:asciiTheme="majorHAnsi" w:eastAsiaTheme="majorEastAsia" w:hAnsiTheme="majorHAnsi" w:cstheme="majorBidi"/>
      <w:color w:val="2E74B5" w:themeColor="accent1" w:themeShade="BF"/>
      <w:sz w:val="32"/>
      <w:szCs w:val="32"/>
      <w:lang w:eastAsia="es-MX"/>
    </w:rPr>
  </w:style>
  <w:style w:type="character" w:customStyle="1" w:styleId="Ttulo2Car">
    <w:name w:val="Título 2 Car"/>
    <w:basedOn w:val="Fuentedeprrafopredeter"/>
    <w:link w:val="Ttulo2"/>
    <w:uiPriority w:val="9"/>
    <w:rsid w:val="005B2961"/>
    <w:rPr>
      <w:rFonts w:asciiTheme="majorHAnsi" w:eastAsiaTheme="majorEastAsia" w:hAnsiTheme="majorHAnsi" w:cstheme="majorBidi"/>
      <w:color w:val="2E74B5" w:themeColor="accent1" w:themeShade="BF"/>
      <w:sz w:val="26"/>
      <w:szCs w:val="26"/>
      <w:lang w:eastAsia="es-MX"/>
    </w:rPr>
  </w:style>
  <w:style w:type="character" w:customStyle="1" w:styleId="Ttulo3Car">
    <w:name w:val="Título 3 Car"/>
    <w:basedOn w:val="Fuentedeprrafopredeter"/>
    <w:link w:val="Ttulo3"/>
    <w:uiPriority w:val="9"/>
    <w:rsid w:val="005B2961"/>
    <w:rPr>
      <w:rFonts w:asciiTheme="majorHAnsi" w:eastAsiaTheme="majorEastAsia" w:hAnsiTheme="majorHAnsi" w:cstheme="majorBidi"/>
      <w:color w:val="1F4D78" w:themeColor="accent1" w:themeShade="7F"/>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018199">
      <w:bodyDiv w:val="1"/>
      <w:marLeft w:val="0"/>
      <w:marRight w:val="0"/>
      <w:marTop w:val="0"/>
      <w:marBottom w:val="0"/>
      <w:divBdr>
        <w:top w:val="none" w:sz="0" w:space="0" w:color="auto"/>
        <w:left w:val="none" w:sz="0" w:space="0" w:color="auto"/>
        <w:bottom w:val="none" w:sz="0" w:space="0" w:color="auto"/>
        <w:right w:val="none" w:sz="0" w:space="0" w:color="auto"/>
      </w:divBdr>
    </w:div>
    <w:div w:id="629239162">
      <w:bodyDiv w:val="1"/>
      <w:marLeft w:val="0"/>
      <w:marRight w:val="0"/>
      <w:marTop w:val="0"/>
      <w:marBottom w:val="0"/>
      <w:divBdr>
        <w:top w:val="none" w:sz="0" w:space="0" w:color="auto"/>
        <w:left w:val="none" w:sz="0" w:space="0" w:color="auto"/>
        <w:bottom w:val="none" w:sz="0" w:space="0" w:color="auto"/>
        <w:right w:val="none" w:sz="0" w:space="0" w:color="auto"/>
      </w:divBdr>
    </w:div>
    <w:div w:id="749080983">
      <w:bodyDiv w:val="1"/>
      <w:marLeft w:val="0"/>
      <w:marRight w:val="0"/>
      <w:marTop w:val="0"/>
      <w:marBottom w:val="0"/>
      <w:divBdr>
        <w:top w:val="none" w:sz="0" w:space="0" w:color="auto"/>
        <w:left w:val="none" w:sz="0" w:space="0" w:color="auto"/>
        <w:bottom w:val="none" w:sz="0" w:space="0" w:color="auto"/>
        <w:right w:val="none" w:sz="0" w:space="0" w:color="auto"/>
      </w:divBdr>
    </w:div>
    <w:div w:id="1085109835">
      <w:bodyDiv w:val="1"/>
      <w:marLeft w:val="0"/>
      <w:marRight w:val="0"/>
      <w:marTop w:val="0"/>
      <w:marBottom w:val="0"/>
      <w:divBdr>
        <w:top w:val="none" w:sz="0" w:space="0" w:color="auto"/>
        <w:left w:val="none" w:sz="0" w:space="0" w:color="auto"/>
        <w:bottom w:val="none" w:sz="0" w:space="0" w:color="auto"/>
        <w:right w:val="none" w:sz="0" w:space="0" w:color="auto"/>
      </w:divBdr>
    </w:div>
    <w:div w:id="1225796012">
      <w:bodyDiv w:val="1"/>
      <w:marLeft w:val="0"/>
      <w:marRight w:val="0"/>
      <w:marTop w:val="0"/>
      <w:marBottom w:val="0"/>
      <w:divBdr>
        <w:top w:val="none" w:sz="0" w:space="0" w:color="auto"/>
        <w:left w:val="none" w:sz="0" w:space="0" w:color="auto"/>
        <w:bottom w:val="none" w:sz="0" w:space="0" w:color="auto"/>
        <w:right w:val="none" w:sz="0" w:space="0" w:color="auto"/>
      </w:divBdr>
    </w:div>
    <w:div w:id="141593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369F0E7252EE478C203756C5F856DE" ma:contentTypeVersion="0" ma:contentTypeDescription="Crear nuevo documento." ma:contentTypeScope="" ma:versionID="4aa11592ba6d1231efc10b3d62b62f96">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05599-CE82-4694-9294-324C52456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F3FBBC-71BB-44E5-88AB-72CBE4ECCFA2}">
  <ds:schemaRefs>
    <ds:schemaRef ds:uri="http://schemas.microsoft.com/sharepoint/v3/contenttype/forms"/>
  </ds:schemaRefs>
</ds:datastoreItem>
</file>

<file path=customXml/itemProps3.xml><?xml version="1.0" encoding="utf-8"?>
<ds:datastoreItem xmlns:ds="http://schemas.openxmlformats.org/officeDocument/2006/customXml" ds:itemID="{1E5ECB70-25F0-43BB-AEAF-DC88D5CF18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F763D8-3E1B-4791-BA8F-C8DADAA1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8461</Words>
  <Characters>46541</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Vladimir Salazar Altamirano</dc:creator>
  <cp:lastModifiedBy>Maria del Consuelo Gonzalez Moreno</cp:lastModifiedBy>
  <cp:revision>5</cp:revision>
  <cp:lastPrinted>2016-06-09T00:04:00Z</cp:lastPrinted>
  <dcterms:created xsi:type="dcterms:W3CDTF">2016-08-25T20:16:00Z</dcterms:created>
  <dcterms:modified xsi:type="dcterms:W3CDTF">2016-09-06T22:10:00Z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0x010100C8369F0E7252EE478C203756C5F856DE</vt:lpwstr>
  </property>
</Properties>
</file>