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A55E4" w14:textId="77777777" w:rsidR="00566419" w:rsidRPr="00A02715" w:rsidRDefault="00566419" w:rsidP="00566419">
      <w:pPr>
        <w:pStyle w:val="Textoindependiente"/>
        <w:spacing w:line="360" w:lineRule="auto"/>
        <w:jc w:val="center"/>
        <w:rPr>
          <w:rFonts w:ascii="ITC Avant Garde" w:hAnsi="ITC Avant Garde"/>
          <w:b/>
          <w:bCs/>
          <w:color w:val="000000"/>
          <w:sz w:val="20"/>
          <w:lang w:eastAsia="es-MX"/>
        </w:rPr>
      </w:pPr>
      <w:r w:rsidRPr="00A02715">
        <w:rPr>
          <w:rFonts w:ascii="ITC Avant Garde" w:hAnsi="ITC Avant Garde"/>
          <w:b/>
          <w:bCs/>
          <w:color w:val="000000"/>
          <w:sz w:val="20"/>
          <w:lang w:eastAsia="es-MX"/>
        </w:rPr>
        <w:t>VERSIÓN PÚBL</w:t>
      </w:r>
      <w:r>
        <w:rPr>
          <w:rFonts w:ascii="ITC Avant Garde" w:hAnsi="ITC Avant Garde"/>
          <w:b/>
          <w:bCs/>
          <w:color w:val="000000"/>
          <w:sz w:val="20"/>
          <w:lang w:eastAsia="es-MX"/>
        </w:rPr>
        <w:t xml:space="preserve">ICA DEL ACUERDO </w:t>
      </w:r>
      <w:r w:rsidRPr="00385E4A">
        <w:rPr>
          <w:rFonts w:ascii="ITC Avant Garde" w:hAnsi="ITC Avant Garde"/>
          <w:b/>
          <w:bCs/>
          <w:color w:val="000000"/>
          <w:sz w:val="20"/>
          <w:lang w:eastAsia="es-MX"/>
        </w:rPr>
        <w:t>P/IFT/200416/160</w:t>
      </w:r>
    </w:p>
    <w:p w14:paraId="479E1519" w14:textId="77777777" w:rsidR="00566419" w:rsidRDefault="00566419" w:rsidP="00566419">
      <w:pPr>
        <w:pStyle w:val="Textoindependiente"/>
        <w:spacing w:line="360" w:lineRule="auto"/>
        <w:jc w:val="center"/>
        <w:rPr>
          <w:rFonts w:ascii="ITC Avant Garde" w:hAnsi="ITC Avant Garde"/>
          <w:b/>
          <w:bCs/>
          <w:color w:val="000000"/>
          <w:sz w:val="20"/>
          <w:lang w:eastAsia="es-MX"/>
        </w:rPr>
      </w:pPr>
      <w:r w:rsidRPr="00385E4A">
        <w:rPr>
          <w:rFonts w:ascii="ITC Avant Garde" w:hAnsi="ITC Avant Garde"/>
          <w:b/>
          <w:bCs/>
          <w:color w:val="000000"/>
          <w:sz w:val="20"/>
          <w:lang w:eastAsia="es-MX"/>
        </w:rPr>
        <w:t>DE LA SESIÓN DEL PLENO DEL INSTITUTO FEDERAL DE TELECOMUNICACIONES EN SU X SESIÓN ORDINARIA DEL 2016, CELEBRADA EL 20 DE ABRIL DE 2016.</w:t>
      </w:r>
    </w:p>
    <w:p w14:paraId="169C30EF" w14:textId="77777777" w:rsidR="00566419" w:rsidRPr="00A02715" w:rsidRDefault="00566419" w:rsidP="00566419">
      <w:pPr>
        <w:pStyle w:val="Textoindependiente"/>
        <w:spacing w:line="360" w:lineRule="auto"/>
        <w:jc w:val="center"/>
        <w:rPr>
          <w:rFonts w:ascii="ITC Avant Garde" w:hAnsi="ITC Avant Garde"/>
          <w:b/>
          <w:bCs/>
          <w:color w:val="000000"/>
          <w:sz w:val="20"/>
          <w:lang w:eastAsia="es-MX"/>
        </w:rPr>
      </w:pPr>
      <w:r w:rsidRPr="00A02715">
        <w:rPr>
          <w:rFonts w:ascii="ITC Avant Garde" w:hAnsi="ITC Avant Garde"/>
          <w:b/>
          <w:bCs/>
          <w:color w:val="000000"/>
          <w:sz w:val="20"/>
          <w:lang w:eastAsia="es-MX"/>
        </w:rPr>
        <w:t>LEYENDA DE LA CLASIFICACIÓN</w:t>
      </w:r>
    </w:p>
    <w:p w14:paraId="010DF3EE" w14:textId="77777777" w:rsidR="00566419" w:rsidRPr="00A02715" w:rsidRDefault="00566419" w:rsidP="00566419">
      <w:pPr>
        <w:pStyle w:val="Textoindependiente"/>
        <w:spacing w:line="360" w:lineRule="auto"/>
        <w:rPr>
          <w:rFonts w:ascii="ITC Avant Garde" w:hAnsi="ITC Avant Garde"/>
          <w:bCs/>
          <w:color w:val="000000"/>
          <w:sz w:val="20"/>
          <w:lang w:eastAsia="es-MX"/>
        </w:rPr>
      </w:pPr>
    </w:p>
    <w:p w14:paraId="0F53A04B" w14:textId="77777777" w:rsidR="00566419" w:rsidRPr="00A02715" w:rsidRDefault="00566419" w:rsidP="00566419">
      <w:pPr>
        <w:pStyle w:val="Textoindependiente"/>
        <w:spacing w:line="360" w:lineRule="auto"/>
        <w:rPr>
          <w:rFonts w:ascii="ITC Avant Garde" w:hAnsi="ITC Avant Garde"/>
          <w:bCs/>
          <w:color w:val="000000"/>
          <w:sz w:val="20"/>
          <w:lang w:eastAsia="es-MX"/>
        </w:rPr>
      </w:pPr>
      <w:r w:rsidRPr="00A02715">
        <w:rPr>
          <w:rFonts w:ascii="ITC Avant Garde" w:hAnsi="ITC Avant Garde"/>
          <w:b/>
          <w:bCs/>
          <w:color w:val="000000"/>
          <w:sz w:val="20"/>
          <w:lang w:eastAsia="es-MX"/>
        </w:rPr>
        <w:t>Fecha de Clasificación:</w:t>
      </w:r>
      <w:r>
        <w:rPr>
          <w:rFonts w:ascii="ITC Avant Garde" w:hAnsi="ITC Avant Garde"/>
          <w:bCs/>
          <w:color w:val="000000"/>
          <w:sz w:val="20"/>
          <w:lang w:eastAsia="es-MX"/>
        </w:rPr>
        <w:t xml:space="preserve"> </w:t>
      </w:r>
      <w:r w:rsidRPr="00385E4A">
        <w:rPr>
          <w:rFonts w:ascii="ITC Avant Garde" w:hAnsi="ITC Avant Garde"/>
          <w:bCs/>
          <w:color w:val="000000"/>
          <w:sz w:val="20"/>
          <w:lang w:eastAsia="es-MX"/>
        </w:rPr>
        <w:t>20 de abril de 2016.</w:t>
      </w:r>
    </w:p>
    <w:p w14:paraId="163924E2" w14:textId="77777777" w:rsidR="00566419" w:rsidRDefault="00566419" w:rsidP="00566419">
      <w:pPr>
        <w:pStyle w:val="Textoindependiente"/>
        <w:spacing w:line="360" w:lineRule="auto"/>
        <w:rPr>
          <w:rFonts w:ascii="ITC Avant Garde" w:hAnsi="ITC Avant Garde"/>
          <w:bCs/>
          <w:color w:val="000000"/>
          <w:sz w:val="20"/>
          <w:lang w:eastAsia="es-MX"/>
        </w:rPr>
      </w:pPr>
      <w:r w:rsidRPr="00A02715">
        <w:rPr>
          <w:rFonts w:ascii="ITC Avant Garde" w:hAnsi="ITC Avant Garde"/>
          <w:b/>
          <w:bCs/>
          <w:color w:val="000000"/>
          <w:sz w:val="20"/>
          <w:lang w:eastAsia="es-MX"/>
        </w:rPr>
        <w:t>Unidad Administrativa:</w:t>
      </w:r>
      <w:r>
        <w:rPr>
          <w:rFonts w:ascii="ITC Avant Garde" w:hAnsi="ITC Avant Garde"/>
          <w:bCs/>
          <w:color w:val="000000"/>
          <w:sz w:val="20"/>
          <w:lang w:eastAsia="es-MX"/>
        </w:rPr>
        <w:t xml:space="preserve"> </w:t>
      </w:r>
      <w:r w:rsidRPr="00385E4A">
        <w:rPr>
          <w:rFonts w:ascii="ITC Avant Garde" w:hAnsi="ITC Avant Garde"/>
          <w:bCs/>
          <w:color w:val="000000"/>
          <w:sz w:val="20"/>
          <w:lang w:eastAsia="es-MX"/>
        </w:rPr>
        <w:t>Secretaría Técnica del Pleno, por contener información Confidencial, de acuerdo con los artículos 106, 107 y 111 de la Ley General de Transparencia y Acceso a la Información Pública ("LGTAIP”), conforme a la versión pública elaborada por la Dirección General de Concesiones de Telecomunicaciones mediante oficio IFT/223/UCS/DG-CTEL/1004/2016 el 10 de mayo de 2016.</w:t>
      </w:r>
    </w:p>
    <w:p w14:paraId="2948A398" w14:textId="35DA3C4E" w:rsidR="00566419" w:rsidRPr="006958E8" w:rsidRDefault="00566419" w:rsidP="00566419">
      <w:pPr>
        <w:pStyle w:val="Textoindependiente"/>
        <w:spacing w:line="360" w:lineRule="auto"/>
        <w:rPr>
          <w:rFonts w:ascii="ITC Avant Garde" w:hAnsi="ITC Avant Garde"/>
          <w:bCs/>
          <w:color w:val="000000"/>
          <w:sz w:val="20"/>
          <w:lang w:val="es-MX" w:eastAsia="es-MX"/>
        </w:rPr>
      </w:pPr>
      <w:r w:rsidRPr="00A02715">
        <w:rPr>
          <w:rFonts w:ascii="ITC Avant Garde" w:hAnsi="ITC Avant Garde"/>
          <w:b/>
          <w:bCs/>
          <w:color w:val="000000"/>
          <w:sz w:val="20"/>
          <w:lang w:eastAsia="es-MX"/>
        </w:rPr>
        <w:t>Núm. de Resolución:</w:t>
      </w:r>
      <w:r>
        <w:rPr>
          <w:rFonts w:ascii="ITC Avant Garde" w:hAnsi="ITC Avant Garde"/>
          <w:bCs/>
          <w:color w:val="000000"/>
          <w:sz w:val="20"/>
          <w:lang w:eastAsia="es-MX"/>
        </w:rPr>
        <w:t xml:space="preserve"> </w:t>
      </w:r>
      <w:r w:rsidRPr="00385E4A">
        <w:rPr>
          <w:rFonts w:ascii="ITC Avant Garde" w:hAnsi="ITC Avant Garde"/>
          <w:sz w:val="20"/>
        </w:rPr>
        <w:t>P/IFT/200416/160</w:t>
      </w:r>
      <w:r w:rsidR="006958E8">
        <w:rPr>
          <w:rFonts w:ascii="ITC Avant Garde" w:hAnsi="ITC Avant Garde"/>
          <w:sz w:val="20"/>
          <w:lang w:val="es-MX"/>
        </w:rPr>
        <w:t>.</w:t>
      </w:r>
    </w:p>
    <w:p w14:paraId="62B8C3DD" w14:textId="77777777" w:rsidR="00566419" w:rsidRPr="00A02715" w:rsidRDefault="00566419" w:rsidP="00566419">
      <w:pPr>
        <w:pStyle w:val="Textoindependiente"/>
        <w:spacing w:line="360" w:lineRule="auto"/>
        <w:rPr>
          <w:rFonts w:ascii="ITC Avant Garde" w:hAnsi="ITC Avant Garde"/>
          <w:bCs/>
          <w:color w:val="000000"/>
          <w:sz w:val="20"/>
          <w:lang w:eastAsia="es-MX"/>
        </w:rPr>
      </w:pPr>
      <w:r w:rsidRPr="00A02715">
        <w:rPr>
          <w:rFonts w:ascii="ITC Avant Garde" w:hAnsi="ITC Avant Garde"/>
          <w:b/>
          <w:bCs/>
          <w:color w:val="000000"/>
          <w:sz w:val="20"/>
          <w:lang w:eastAsia="es-MX"/>
        </w:rPr>
        <w:t>Descripción del asunto:</w:t>
      </w:r>
      <w:r w:rsidRPr="00A02715">
        <w:rPr>
          <w:rFonts w:ascii="ITC Avant Garde" w:hAnsi="ITC Avant Garde"/>
          <w:bCs/>
          <w:color w:val="000000"/>
          <w:sz w:val="20"/>
          <w:lang w:eastAsia="es-MX"/>
        </w:rPr>
        <w:t xml:space="preserve"> </w:t>
      </w:r>
      <w:r w:rsidRPr="00385E4A">
        <w:rPr>
          <w:rFonts w:ascii="ITC Avant Garde" w:hAnsi="ITC Avant Garde"/>
          <w:sz w:val="19"/>
          <w:szCs w:val="19"/>
        </w:rPr>
        <w:t>Resolución mediante la cual el Pleno del Instituto Federal de Telecomunicaciones autoriza la enajenación y suscripción de acciones de la empresa GSAT COMUNICACIONES, S.A. de C.V., concesionaria para instalar, operar y explotar una red pública de telecomunicaciones a nivel nacional.</w:t>
      </w:r>
    </w:p>
    <w:p w14:paraId="653EDBF9" w14:textId="77777777" w:rsidR="00566419" w:rsidRPr="00A02715" w:rsidRDefault="00566419" w:rsidP="00566419">
      <w:pPr>
        <w:pStyle w:val="Textoindependiente"/>
        <w:spacing w:line="360" w:lineRule="auto"/>
        <w:rPr>
          <w:rFonts w:ascii="ITC Avant Garde" w:hAnsi="ITC Avant Garde"/>
          <w:bCs/>
          <w:color w:val="000000"/>
          <w:sz w:val="20"/>
          <w:lang w:eastAsia="es-MX"/>
        </w:rPr>
      </w:pPr>
      <w:r w:rsidRPr="00A02715">
        <w:rPr>
          <w:rFonts w:ascii="ITC Avant Garde" w:hAnsi="ITC Avant Garde"/>
          <w:b/>
          <w:bCs/>
          <w:color w:val="000000"/>
          <w:sz w:val="20"/>
          <w:lang w:eastAsia="es-MX"/>
        </w:rPr>
        <w:t>Fundamento legal:</w:t>
      </w:r>
      <w:r w:rsidRPr="00A02715">
        <w:rPr>
          <w:rFonts w:ascii="ITC Avant Garde" w:hAnsi="ITC Avant Garde"/>
          <w:bCs/>
          <w:color w:val="000000"/>
          <w:sz w:val="20"/>
          <w:lang w:eastAsia="es-MX"/>
        </w:rPr>
        <w:t xml:space="preserve"> </w:t>
      </w:r>
      <w:r w:rsidRPr="00385E4A">
        <w:rPr>
          <w:rFonts w:ascii="ITC Avant Garde" w:hAnsi="ITC Avant Garde"/>
          <w:sz w:val="18"/>
          <w:szCs w:val="18"/>
        </w:rPr>
        <w:t>Confidencial con fundamento en el artículo 113 de la Ley Federal de Transparencia y Acceso a la Información Pública; 116 de la Ley General de Transparencia y Acceso a la Información Pública; y artículos Trigésimo Octavo, Cuadragésimo, fracción I, Quincuagésimo, Quincuagésimo Primero, Quincuagésimo Segundo, párrafo segundo y Quincuagésimo Tercero del “Acuerdo del Consejo Nacional del Sistema de Datos Personales, por el que se aprueban los Lineamientos Generales en materia de Clasificación y Desclasificación de la Información, así como para la Elaboración de Versiones Públicas”, publicado en el Diario Oficial de la Federación el 15 de abril de 2016.</w:t>
      </w:r>
    </w:p>
    <w:p w14:paraId="3789CA28" w14:textId="77777777" w:rsidR="00566419" w:rsidRPr="00A02715" w:rsidRDefault="00566419" w:rsidP="00566419">
      <w:pPr>
        <w:pStyle w:val="Textoindependiente"/>
        <w:spacing w:line="360" w:lineRule="auto"/>
        <w:rPr>
          <w:rFonts w:ascii="ITC Avant Garde" w:hAnsi="ITC Avant Garde"/>
          <w:bCs/>
          <w:color w:val="000000"/>
          <w:sz w:val="20"/>
          <w:lang w:eastAsia="es-MX"/>
        </w:rPr>
      </w:pPr>
      <w:r w:rsidRPr="00A02715">
        <w:rPr>
          <w:rFonts w:ascii="ITC Avant Garde" w:hAnsi="ITC Avant Garde"/>
          <w:b/>
          <w:bCs/>
          <w:color w:val="000000"/>
          <w:sz w:val="20"/>
          <w:lang w:eastAsia="es-MX"/>
        </w:rPr>
        <w:t>Motivación:</w:t>
      </w:r>
      <w:r w:rsidRPr="00A02715">
        <w:rPr>
          <w:rFonts w:ascii="ITC Avant Garde" w:hAnsi="ITC Avant Garde"/>
          <w:bCs/>
          <w:color w:val="000000"/>
          <w:sz w:val="20"/>
          <w:lang w:eastAsia="es-MX"/>
        </w:rPr>
        <w:t xml:space="preserve"> </w:t>
      </w:r>
      <w:r w:rsidRPr="00385E4A">
        <w:rPr>
          <w:rFonts w:ascii="ITC Avant Garde" w:hAnsi="ITC Avant Garde"/>
          <w:sz w:val="20"/>
        </w:rPr>
        <w:t>Contiene información referente al patrimonio de una persona moral, que fue presentada con dicho carácter por los particulares</w:t>
      </w:r>
    </w:p>
    <w:p w14:paraId="7085C2FF" w14:textId="1048441F" w:rsidR="00566419" w:rsidRDefault="00566419" w:rsidP="0093666A">
      <w:pPr>
        <w:pStyle w:val="Textoindependiente"/>
        <w:spacing w:line="360" w:lineRule="auto"/>
        <w:rPr>
          <w:lang w:eastAsia="es-MX"/>
        </w:rPr>
      </w:pPr>
      <w:r w:rsidRPr="00A02715">
        <w:rPr>
          <w:rFonts w:ascii="ITC Avant Garde" w:hAnsi="ITC Avant Garde"/>
          <w:b/>
          <w:bCs/>
          <w:color w:val="000000"/>
          <w:sz w:val="20"/>
          <w:lang w:eastAsia="es-MX"/>
        </w:rPr>
        <w:t>Secciones Confidenciales:</w:t>
      </w:r>
      <w:r w:rsidRPr="00A02715">
        <w:rPr>
          <w:rFonts w:ascii="ITC Avant Garde" w:hAnsi="ITC Avant Garde"/>
          <w:bCs/>
          <w:color w:val="000000"/>
          <w:sz w:val="20"/>
          <w:lang w:eastAsia="es-MX"/>
        </w:rPr>
        <w:t xml:space="preserve"> </w:t>
      </w:r>
      <w:r w:rsidRPr="00A02715">
        <w:rPr>
          <w:rFonts w:ascii="ITC Avant Garde" w:hAnsi="ITC Avant Garde"/>
          <w:b/>
          <w:bCs/>
          <w:color w:val="0000CC"/>
          <w:sz w:val="20"/>
          <w:lang w:eastAsia="es-MX"/>
        </w:rPr>
        <w:t>RESERVADO POR LEY</w:t>
      </w:r>
      <w:r w:rsidRPr="00A02715">
        <w:rPr>
          <w:rFonts w:ascii="ITC Avant Garde" w:hAnsi="ITC Avant Garde"/>
          <w:bCs/>
          <w:color w:val="000000"/>
          <w:sz w:val="20"/>
          <w:lang w:eastAsia="es-MX"/>
        </w:rPr>
        <w:t>.</w:t>
      </w:r>
    </w:p>
    <w:p w14:paraId="16364BF1" w14:textId="28700B04" w:rsidR="00566419" w:rsidRDefault="00566419" w:rsidP="00566419">
      <w:pPr>
        <w:rPr>
          <w:lang w:val="x-none" w:eastAsia="es-MX"/>
        </w:rPr>
      </w:pPr>
    </w:p>
    <w:p w14:paraId="6D636AA6" w14:textId="77777777" w:rsidR="00566419" w:rsidRPr="00566419" w:rsidRDefault="00566419" w:rsidP="00566419">
      <w:pPr>
        <w:rPr>
          <w:lang w:val="x-none" w:eastAsia="es-MX"/>
        </w:rPr>
        <w:sectPr w:rsidR="00566419" w:rsidRPr="00566419" w:rsidSect="00393242">
          <w:headerReference w:type="even" r:id="rId8"/>
          <w:headerReference w:type="first" r:id="rId9"/>
          <w:footerReference w:type="first" r:id="rId10"/>
          <w:pgSz w:w="12240" w:h="15840"/>
          <w:pgMar w:top="2127" w:right="1418" w:bottom="567" w:left="1418" w:header="709" w:footer="988" w:gutter="0"/>
          <w:cols w:space="708"/>
          <w:docGrid w:linePitch="360"/>
        </w:sectPr>
      </w:pPr>
    </w:p>
    <w:p w14:paraId="59EFDAC4" w14:textId="77777777" w:rsidR="00CD770D" w:rsidRDefault="00CD770D" w:rsidP="00CD770D">
      <w:pPr>
        <w:spacing w:after="0"/>
        <w:ind w:left="4253"/>
        <w:rPr>
          <w:rFonts w:ascii="ITC Avant Garde" w:hAnsi="ITC Avant Garde"/>
        </w:rPr>
      </w:pPr>
      <w:r>
        <w:rPr>
          <w:rFonts w:ascii="ITC Avant Garde" w:hAnsi="ITC Avant Garde"/>
        </w:rPr>
        <w:lastRenderedPageBreak/>
        <w:t>UNIDAD DE CONCESIONES Y SERVICIOS</w:t>
      </w:r>
    </w:p>
    <w:p w14:paraId="61A881F8" w14:textId="77777777" w:rsidR="00CD770D" w:rsidRDefault="00CD770D" w:rsidP="00CD770D">
      <w:pPr>
        <w:spacing w:after="0"/>
        <w:ind w:left="4253"/>
        <w:rPr>
          <w:rFonts w:ascii="ITC Avant Garde" w:hAnsi="ITC Avant Garde"/>
        </w:rPr>
      </w:pPr>
      <w:r>
        <w:rPr>
          <w:rFonts w:ascii="ITC Avant Garde" w:hAnsi="ITC Avant Garde"/>
        </w:rPr>
        <w:t>DIRECCIÓN GENERAL DE CONCESIONES</w:t>
      </w:r>
    </w:p>
    <w:p w14:paraId="188EEF19" w14:textId="628AF407" w:rsidR="00CD770D" w:rsidRDefault="000B01DE" w:rsidP="00CD770D">
      <w:pPr>
        <w:spacing w:after="0"/>
        <w:ind w:left="4253"/>
        <w:rPr>
          <w:rFonts w:ascii="ITC Avant Garde" w:hAnsi="ITC Avant Garde"/>
        </w:rPr>
      </w:pPr>
      <w:r>
        <w:rPr>
          <w:rFonts w:ascii="ITC Avant Garde" w:hAnsi="ITC Avant Garde"/>
        </w:rPr>
        <w:t>DE TELECOMUNICACIONES</w:t>
      </w:r>
    </w:p>
    <w:p w14:paraId="3E774A0E" w14:textId="77777777" w:rsidR="00CD770D" w:rsidRDefault="00CD770D" w:rsidP="00CD770D">
      <w:pPr>
        <w:spacing w:before="240" w:after="0"/>
        <w:ind w:left="4253"/>
        <w:rPr>
          <w:rFonts w:ascii="ITC Avant Garde" w:hAnsi="ITC Avant Garde"/>
        </w:rPr>
      </w:pPr>
      <w:r>
        <w:rPr>
          <w:rFonts w:ascii="ITC Avant Garde" w:hAnsi="ITC Avant Garde"/>
        </w:rPr>
        <w:t>IFT/223/UCS/DG-CTEL/1004/2016</w:t>
      </w:r>
    </w:p>
    <w:p w14:paraId="0160C8DE" w14:textId="77777777" w:rsidR="00CD770D" w:rsidRDefault="00CD770D" w:rsidP="00CD770D">
      <w:pPr>
        <w:spacing w:before="240" w:after="0"/>
        <w:ind w:left="4253"/>
        <w:rPr>
          <w:rFonts w:ascii="ITC Avant Garde" w:hAnsi="ITC Avant Garde"/>
        </w:rPr>
      </w:pPr>
    </w:p>
    <w:p w14:paraId="0B991B90" w14:textId="40176231" w:rsidR="00CD770D" w:rsidRPr="000B01DE" w:rsidRDefault="00CD770D" w:rsidP="000B01DE">
      <w:pPr>
        <w:pStyle w:val="Textoindependiente"/>
        <w:spacing w:line="360" w:lineRule="auto"/>
        <w:rPr>
          <w:rFonts w:ascii="ITC Avant Garde" w:hAnsi="ITC Avant Garde"/>
          <w:bCs/>
          <w:color w:val="000000"/>
          <w:sz w:val="20"/>
          <w:lang w:eastAsia="es-MX"/>
        </w:rPr>
      </w:pPr>
      <w:r w:rsidRPr="000B01DE">
        <w:rPr>
          <w:rFonts w:ascii="ITC Avant Garde" w:hAnsi="ITC Avant Garde"/>
          <w:b/>
          <w:bCs/>
          <w:color w:val="000000"/>
          <w:sz w:val="20"/>
          <w:lang w:eastAsia="es-MX"/>
        </w:rPr>
        <w:t>Área</w:t>
      </w:r>
      <w:r w:rsidR="000B01DE" w:rsidRPr="000B01DE">
        <w:rPr>
          <w:rFonts w:ascii="ITC Avant Garde" w:hAnsi="ITC Avant Garde"/>
          <w:b/>
          <w:bCs/>
          <w:color w:val="000000"/>
          <w:sz w:val="20"/>
          <w:lang w:eastAsia="es-MX"/>
        </w:rPr>
        <w:t>:</w:t>
      </w:r>
      <w:r w:rsidR="000B01DE" w:rsidRPr="000B01DE">
        <w:rPr>
          <w:rFonts w:ascii="ITC Avant Garde" w:hAnsi="ITC Avant Garde"/>
          <w:bCs/>
          <w:color w:val="000000"/>
          <w:sz w:val="20"/>
          <w:lang w:eastAsia="es-MX"/>
        </w:rPr>
        <w:t xml:space="preserve"> Unidad de Concesiones y Servicios</w:t>
      </w:r>
    </w:p>
    <w:p w14:paraId="0BC32720" w14:textId="01A91658" w:rsidR="00CD770D" w:rsidRPr="000B01DE" w:rsidRDefault="00CD770D" w:rsidP="000B01DE">
      <w:pPr>
        <w:pStyle w:val="Textoindependiente"/>
        <w:spacing w:line="360" w:lineRule="auto"/>
        <w:rPr>
          <w:rFonts w:ascii="ITC Avant Garde" w:hAnsi="ITC Avant Garde"/>
          <w:bCs/>
          <w:color w:val="000000"/>
          <w:sz w:val="20"/>
          <w:lang w:eastAsia="es-MX"/>
        </w:rPr>
      </w:pPr>
      <w:r w:rsidRPr="000B01DE">
        <w:rPr>
          <w:rFonts w:ascii="ITC Avant Garde" w:hAnsi="ITC Avant Garde"/>
          <w:b/>
          <w:bCs/>
          <w:color w:val="000000"/>
          <w:sz w:val="20"/>
          <w:lang w:eastAsia="es-MX"/>
        </w:rPr>
        <w:t xml:space="preserve">Confidencial </w:t>
      </w:r>
      <w:r w:rsidR="000B01DE" w:rsidRPr="000B01DE">
        <w:rPr>
          <w:rFonts w:ascii="ITC Avant Garde" w:hAnsi="ITC Avant Garde"/>
          <w:b/>
          <w:bCs/>
          <w:color w:val="000000"/>
          <w:sz w:val="20"/>
          <w:lang w:eastAsia="es-MX"/>
        </w:rPr>
        <w:t>:</w:t>
      </w:r>
      <w:r w:rsidR="000B01DE" w:rsidRPr="000B01DE">
        <w:rPr>
          <w:rFonts w:ascii="ITC Avant Garde" w:hAnsi="ITC Avant Garde"/>
          <w:bCs/>
          <w:color w:val="000000"/>
          <w:sz w:val="20"/>
          <w:lang w:eastAsia="es-MX"/>
        </w:rPr>
        <w:t xml:space="preserve"> </w:t>
      </w:r>
      <w:r w:rsidRPr="000B01DE">
        <w:rPr>
          <w:rFonts w:ascii="ITC Avant Garde" w:hAnsi="ITC Avant Garde"/>
          <w:bCs/>
          <w:color w:val="000000"/>
          <w:sz w:val="20"/>
          <w:lang w:eastAsia="es-MX"/>
        </w:rPr>
        <w:t xml:space="preserve">Pág. 2 Antecedentes X, Pág. 7 Considerando cuatro párrafos segundo, pág. 8 primer cuadro , columna 3 filas 3, 4, y 5, segundo cuadro, columnas 3 y 5 filas 3, 4 y 5, </w:t>
      </w:r>
      <w:r w:rsidR="000B01DE">
        <w:rPr>
          <w:rFonts w:ascii="ITC Avant Garde" w:hAnsi="ITC Avant Garde"/>
          <w:bCs/>
          <w:color w:val="000000"/>
          <w:sz w:val="20"/>
          <w:lang w:eastAsia="es-MX"/>
        </w:rPr>
        <w:t>pág. 10 primera viñeta, pág. 12</w:t>
      </w:r>
      <w:r w:rsidRPr="000B01DE">
        <w:rPr>
          <w:rFonts w:ascii="ITC Avant Garde" w:hAnsi="ITC Avant Garde"/>
          <w:bCs/>
          <w:color w:val="000000"/>
          <w:sz w:val="20"/>
          <w:lang w:eastAsia="es-MX"/>
        </w:rPr>
        <w:t xml:space="preserve"> RESOLUTIVO PRIMERO cuadro único, filas 3 y 5 columnas 3, 4 y 5.</w:t>
      </w:r>
    </w:p>
    <w:p w14:paraId="58C0B8DC" w14:textId="11D8B3DE" w:rsidR="00CD770D" w:rsidRPr="000B01DE" w:rsidRDefault="000B01DE" w:rsidP="000B01DE">
      <w:pPr>
        <w:pStyle w:val="Textoindependiente"/>
        <w:spacing w:line="360" w:lineRule="auto"/>
        <w:rPr>
          <w:rFonts w:ascii="ITC Avant Garde" w:hAnsi="ITC Avant Garde"/>
          <w:bCs/>
          <w:color w:val="000000"/>
          <w:sz w:val="20"/>
          <w:lang w:eastAsia="es-MX"/>
        </w:rPr>
      </w:pPr>
      <w:r w:rsidRPr="000B01DE">
        <w:rPr>
          <w:rFonts w:ascii="ITC Avant Garde" w:hAnsi="ITC Avant Garde"/>
          <w:b/>
          <w:bCs/>
          <w:color w:val="000000"/>
          <w:sz w:val="20"/>
          <w:lang w:eastAsia="es-MX"/>
        </w:rPr>
        <w:t>Periodo de reserva:</w:t>
      </w:r>
      <w:r w:rsidRPr="000B01DE">
        <w:rPr>
          <w:rFonts w:ascii="ITC Avant Garde" w:hAnsi="ITC Avant Garde"/>
          <w:bCs/>
          <w:color w:val="000000"/>
          <w:sz w:val="20"/>
          <w:lang w:eastAsia="es-MX"/>
        </w:rPr>
        <w:t xml:space="preserve"> </w:t>
      </w:r>
      <w:r w:rsidR="00CD770D" w:rsidRPr="000B01DE">
        <w:rPr>
          <w:rFonts w:ascii="ITC Avant Garde" w:hAnsi="ITC Avant Garde"/>
          <w:bCs/>
          <w:color w:val="000000"/>
          <w:sz w:val="20"/>
          <w:lang w:eastAsia="es-MX"/>
        </w:rPr>
        <w:t>Siempre</w:t>
      </w:r>
    </w:p>
    <w:p w14:paraId="0BFC9635" w14:textId="59A1D3CA" w:rsidR="00CD770D" w:rsidRPr="000B01DE" w:rsidRDefault="000B01DE" w:rsidP="000B01DE">
      <w:pPr>
        <w:pStyle w:val="Textoindependiente"/>
        <w:spacing w:line="360" w:lineRule="auto"/>
        <w:rPr>
          <w:rFonts w:ascii="ITC Avant Garde" w:hAnsi="ITC Avant Garde"/>
          <w:bCs/>
          <w:color w:val="000000"/>
          <w:sz w:val="20"/>
          <w:lang w:eastAsia="es-MX"/>
        </w:rPr>
      </w:pPr>
      <w:r w:rsidRPr="000B01DE">
        <w:rPr>
          <w:rFonts w:ascii="ITC Avant Garde" w:hAnsi="ITC Avant Garde"/>
          <w:b/>
          <w:bCs/>
          <w:color w:val="000000"/>
          <w:sz w:val="20"/>
          <w:lang w:eastAsia="es-MX"/>
        </w:rPr>
        <w:t>Fundamento Legal:</w:t>
      </w:r>
      <w:r w:rsidRPr="000B01DE">
        <w:rPr>
          <w:rFonts w:ascii="ITC Avant Garde" w:hAnsi="ITC Avant Garde"/>
          <w:bCs/>
          <w:color w:val="000000"/>
          <w:sz w:val="20"/>
          <w:lang w:eastAsia="es-MX"/>
        </w:rPr>
        <w:t xml:space="preserve"> </w:t>
      </w:r>
      <w:r w:rsidR="00CD770D" w:rsidRPr="000B01DE">
        <w:rPr>
          <w:rFonts w:ascii="ITC Avant Garde" w:hAnsi="ITC Avant Garde"/>
          <w:bCs/>
          <w:color w:val="000000"/>
          <w:sz w:val="20"/>
          <w:lang w:eastAsia="es-MX"/>
        </w:rPr>
        <w:t xml:space="preserve">Artículo 113 de la Ley Federal de Transparencia y </w:t>
      </w:r>
      <w:r>
        <w:rPr>
          <w:rFonts w:ascii="ITC Avant Garde" w:hAnsi="ITC Avant Garde"/>
          <w:bCs/>
          <w:color w:val="000000"/>
          <w:sz w:val="20"/>
          <w:lang w:eastAsia="es-MX"/>
        </w:rPr>
        <w:t>Acceso a la Información Pública;</w:t>
      </w:r>
      <w:r>
        <w:rPr>
          <w:rFonts w:ascii="ITC Avant Garde" w:hAnsi="ITC Avant Garde"/>
          <w:bCs/>
          <w:color w:val="000000"/>
          <w:sz w:val="20"/>
          <w:lang w:val="es-MX" w:eastAsia="es-MX"/>
        </w:rPr>
        <w:t xml:space="preserve"> </w:t>
      </w:r>
      <w:r w:rsidRPr="000B01DE">
        <w:rPr>
          <w:rFonts w:ascii="ITC Avant Garde" w:hAnsi="ITC Avant Garde"/>
          <w:bCs/>
          <w:color w:val="000000"/>
          <w:sz w:val="20"/>
          <w:lang w:eastAsia="es-MX"/>
        </w:rPr>
        <w:t>artículo</w:t>
      </w:r>
      <w:r w:rsidR="00CD770D" w:rsidRPr="000B01DE">
        <w:rPr>
          <w:rFonts w:ascii="ITC Avant Garde" w:hAnsi="ITC Avant Garde"/>
          <w:bCs/>
          <w:color w:val="000000"/>
          <w:sz w:val="20"/>
          <w:lang w:eastAsia="es-MX"/>
        </w:rPr>
        <w:t xml:space="preserve"> 116 de la Ley Federal de Transparencia y </w:t>
      </w:r>
      <w:r>
        <w:rPr>
          <w:rFonts w:ascii="ITC Avant Garde" w:hAnsi="ITC Avant Garde"/>
          <w:bCs/>
          <w:color w:val="000000"/>
          <w:sz w:val="20"/>
          <w:lang w:eastAsia="es-MX"/>
        </w:rPr>
        <w:t xml:space="preserve">Acceso a la Información Pública; </w:t>
      </w:r>
      <w:r w:rsidRPr="000B01DE">
        <w:rPr>
          <w:rFonts w:ascii="ITC Avant Garde" w:hAnsi="ITC Avant Garde"/>
          <w:bCs/>
          <w:color w:val="000000"/>
          <w:sz w:val="20"/>
          <w:lang w:eastAsia="es-MX"/>
        </w:rPr>
        <w:t>artículo</w:t>
      </w:r>
      <w:r w:rsidR="00CD770D" w:rsidRPr="000B01DE">
        <w:rPr>
          <w:rFonts w:ascii="ITC Avant Garde" w:hAnsi="ITC Avant Garde"/>
          <w:bCs/>
          <w:color w:val="000000"/>
          <w:sz w:val="20"/>
          <w:lang w:eastAsia="es-MX"/>
        </w:rPr>
        <w:t xml:space="preserve"> </w:t>
      </w:r>
      <w:bookmarkStart w:id="0" w:name="_GoBack"/>
      <w:r w:rsidRPr="000B01DE">
        <w:rPr>
          <w:rFonts w:ascii="ITC Avant Garde" w:hAnsi="ITC Avant Garde"/>
          <w:bCs/>
          <w:color w:val="000000"/>
          <w:sz w:val="20"/>
          <w:lang w:eastAsia="es-MX"/>
        </w:rPr>
        <w:t xml:space="preserve">Trigésimo Octavo, Cuadragésimo </w:t>
      </w:r>
      <w:bookmarkEnd w:id="0"/>
      <w:r w:rsidR="00CD770D" w:rsidRPr="000B01DE">
        <w:rPr>
          <w:rFonts w:ascii="ITC Avant Garde" w:hAnsi="ITC Avant Garde"/>
          <w:bCs/>
          <w:color w:val="000000"/>
          <w:sz w:val="20"/>
          <w:lang w:eastAsia="es-MX"/>
        </w:rPr>
        <w:t>fracción I, Quincuagésimo, Quincuagésimo primero, Quincuagésimo segundo párrafo segundo y Quincuagésimo tercero del “ACUERDO del Consejo Nacional del Sistema Nacional de Transparencia, Acceso a la Información Pública y Protección de Datos Personales, por el que se aprueban los Lineamientos generales en materia de clasificación y desclasificación de la información, así como para la elaboración de versiones públicas”, publicado en el Diario Oficial de la Federación el 15 de abril de 2016.</w:t>
      </w:r>
    </w:p>
    <w:p w14:paraId="4F8ED76D" w14:textId="33B8264B" w:rsidR="00CD770D" w:rsidRPr="000B01DE" w:rsidRDefault="00CD770D" w:rsidP="000B01DE">
      <w:pPr>
        <w:pStyle w:val="Textoindependiente"/>
        <w:spacing w:line="360" w:lineRule="auto"/>
        <w:rPr>
          <w:rFonts w:ascii="ITC Avant Garde" w:hAnsi="ITC Avant Garde"/>
          <w:bCs/>
          <w:color w:val="000000"/>
          <w:sz w:val="20"/>
          <w:lang w:eastAsia="es-MX"/>
        </w:rPr>
        <w:sectPr w:rsidR="00CD770D" w:rsidRPr="000B01DE">
          <w:pgSz w:w="12240" w:h="15840"/>
          <w:pgMar w:top="1417" w:right="1701" w:bottom="1417" w:left="1701" w:header="708" w:footer="708" w:gutter="0"/>
          <w:cols w:space="708"/>
          <w:docGrid w:linePitch="360"/>
        </w:sectPr>
      </w:pPr>
      <w:r w:rsidRPr="000B01DE">
        <w:rPr>
          <w:rFonts w:ascii="ITC Avant Garde" w:hAnsi="ITC Avant Garde"/>
          <w:b/>
          <w:bCs/>
          <w:color w:val="000000"/>
          <w:sz w:val="20"/>
          <w:lang w:eastAsia="es-MX"/>
        </w:rPr>
        <w:t>Rúbrica y cargo del</w:t>
      </w:r>
      <w:r w:rsidR="000B01DE" w:rsidRPr="000B01DE">
        <w:rPr>
          <w:rFonts w:ascii="ITC Avant Garde" w:hAnsi="ITC Avant Garde"/>
          <w:b/>
          <w:bCs/>
          <w:color w:val="000000"/>
          <w:sz w:val="20"/>
          <w:lang w:eastAsia="es-MX"/>
        </w:rPr>
        <w:t xml:space="preserve"> </w:t>
      </w:r>
      <w:r w:rsidRPr="000B01DE">
        <w:rPr>
          <w:rFonts w:ascii="ITC Avant Garde" w:hAnsi="ITC Avant Garde"/>
          <w:b/>
          <w:bCs/>
          <w:color w:val="000000"/>
          <w:sz w:val="20"/>
          <w:lang w:eastAsia="es-MX"/>
        </w:rPr>
        <w:t>servidor público</w:t>
      </w:r>
      <w:r w:rsidR="000B01DE" w:rsidRPr="000B01DE">
        <w:rPr>
          <w:rFonts w:ascii="ITC Avant Garde" w:hAnsi="ITC Avant Garde"/>
          <w:b/>
          <w:bCs/>
          <w:color w:val="000000"/>
          <w:sz w:val="20"/>
          <w:lang w:eastAsia="es-MX"/>
        </w:rPr>
        <w:t>:</w:t>
      </w:r>
      <w:r w:rsidR="000B01DE" w:rsidRPr="000B01DE">
        <w:rPr>
          <w:rFonts w:ascii="ITC Avant Garde" w:hAnsi="ITC Avant Garde"/>
          <w:bCs/>
          <w:color w:val="000000"/>
          <w:sz w:val="20"/>
          <w:lang w:eastAsia="es-MX"/>
        </w:rPr>
        <w:t xml:space="preserve"> </w:t>
      </w:r>
      <w:r w:rsidRPr="000B01DE">
        <w:rPr>
          <w:rFonts w:ascii="ITC Avant Garde" w:hAnsi="ITC Avant Garde"/>
          <w:bCs/>
          <w:color w:val="000000"/>
          <w:sz w:val="20"/>
          <w:lang w:eastAsia="es-MX"/>
        </w:rPr>
        <w:t>Lic. Fernanda O. Arciniega Rosales, Directora General de Concesiones de Telecomunicaciones.</w:t>
      </w:r>
    </w:p>
    <w:p w14:paraId="52F5E00E" w14:textId="66A46D6D" w:rsidR="00D04074" w:rsidRPr="0001105B" w:rsidRDefault="00D42CA3" w:rsidP="0001105B">
      <w:pPr>
        <w:pStyle w:val="Ttulo1"/>
        <w:jc w:val="both"/>
        <w:rPr>
          <w:rFonts w:ascii="ITC Avant Garde" w:hAnsi="ITC Avant Garde"/>
          <w:b/>
          <w:color w:val="auto"/>
          <w:sz w:val="22"/>
          <w:szCs w:val="22"/>
          <w:lang w:eastAsia="es-MX"/>
        </w:rPr>
      </w:pPr>
      <w:r w:rsidRPr="0001105B">
        <w:rPr>
          <w:rFonts w:ascii="ITC Avant Garde" w:hAnsi="ITC Avant Garde"/>
          <w:b/>
          <w:color w:val="auto"/>
          <w:sz w:val="22"/>
          <w:szCs w:val="22"/>
          <w:lang w:eastAsia="es-MX"/>
        </w:rPr>
        <w:lastRenderedPageBreak/>
        <w:t xml:space="preserve">RESOLUCIÓN </w:t>
      </w:r>
      <w:r w:rsidR="001B7EA2" w:rsidRPr="0001105B">
        <w:rPr>
          <w:rFonts w:ascii="ITC Avant Garde" w:hAnsi="ITC Avant Garde"/>
          <w:b/>
          <w:color w:val="auto"/>
          <w:sz w:val="22"/>
          <w:szCs w:val="22"/>
          <w:lang w:eastAsia="es-MX"/>
        </w:rPr>
        <w:t>MEDIANTE</w:t>
      </w:r>
      <w:r w:rsidRPr="0001105B">
        <w:rPr>
          <w:rFonts w:ascii="ITC Avant Garde" w:hAnsi="ITC Avant Garde"/>
          <w:b/>
          <w:color w:val="auto"/>
          <w:sz w:val="22"/>
          <w:szCs w:val="22"/>
          <w:lang w:eastAsia="es-MX"/>
        </w:rPr>
        <w:t xml:space="preserve"> LA CUAL EL PLENO DEL INSTITUTO FEDERAL DE TELECOMUNICACIONES AUTORIZA LA ENAJENACIÓN </w:t>
      </w:r>
      <w:r w:rsidR="00942868" w:rsidRPr="0001105B">
        <w:rPr>
          <w:rFonts w:ascii="ITC Avant Garde" w:hAnsi="ITC Avant Garde"/>
          <w:b/>
          <w:color w:val="auto"/>
          <w:sz w:val="22"/>
          <w:szCs w:val="22"/>
          <w:lang w:eastAsia="es-MX"/>
        </w:rPr>
        <w:t xml:space="preserve">Y SUSCRIPCIÓN </w:t>
      </w:r>
      <w:r w:rsidRPr="0001105B">
        <w:rPr>
          <w:rFonts w:ascii="ITC Avant Garde" w:hAnsi="ITC Avant Garde"/>
          <w:b/>
          <w:color w:val="auto"/>
          <w:sz w:val="22"/>
          <w:szCs w:val="22"/>
          <w:lang w:eastAsia="es-MX"/>
        </w:rPr>
        <w:t xml:space="preserve">DE ACCIONES DE </w:t>
      </w:r>
      <w:r w:rsidR="00221CD0" w:rsidRPr="0001105B">
        <w:rPr>
          <w:rFonts w:ascii="ITC Avant Garde" w:hAnsi="ITC Avant Garde"/>
          <w:b/>
          <w:color w:val="auto"/>
          <w:sz w:val="22"/>
          <w:szCs w:val="22"/>
          <w:lang w:eastAsia="es-MX"/>
        </w:rPr>
        <w:t xml:space="preserve">LA EMPRESA </w:t>
      </w:r>
      <w:r w:rsidR="00D74C66" w:rsidRPr="0001105B">
        <w:rPr>
          <w:rFonts w:ascii="ITC Avant Garde" w:hAnsi="ITC Avant Garde"/>
          <w:b/>
          <w:color w:val="auto"/>
          <w:sz w:val="22"/>
          <w:szCs w:val="22"/>
          <w:lang w:eastAsia="es-MX"/>
        </w:rPr>
        <w:t>GSAT COMUNICACIONES, S.A. DE C.V.</w:t>
      </w:r>
      <w:r w:rsidRPr="0001105B">
        <w:rPr>
          <w:rFonts w:ascii="ITC Avant Garde" w:hAnsi="ITC Avant Garde"/>
          <w:b/>
          <w:color w:val="auto"/>
          <w:sz w:val="22"/>
          <w:szCs w:val="22"/>
          <w:lang w:eastAsia="es-MX"/>
        </w:rPr>
        <w:t>, CONCESIONARIA PARA INSTALAR, OPERAR Y EXPLOTAR UNA RED PÚBLICA DE TELECOMUNICACIONES</w:t>
      </w:r>
      <w:r w:rsidR="00023EF7" w:rsidRPr="0001105B">
        <w:rPr>
          <w:rFonts w:ascii="ITC Avant Garde" w:hAnsi="ITC Avant Garde"/>
          <w:b/>
          <w:color w:val="auto"/>
          <w:sz w:val="22"/>
          <w:szCs w:val="22"/>
          <w:lang w:eastAsia="es-MX"/>
        </w:rPr>
        <w:t xml:space="preserve"> </w:t>
      </w:r>
      <w:r w:rsidR="002C0B06" w:rsidRPr="0001105B">
        <w:rPr>
          <w:rFonts w:ascii="ITC Avant Garde" w:hAnsi="ITC Avant Garde"/>
          <w:b/>
          <w:color w:val="auto"/>
          <w:sz w:val="22"/>
          <w:szCs w:val="22"/>
          <w:lang w:eastAsia="es-MX"/>
        </w:rPr>
        <w:t>A NIVEL</w:t>
      </w:r>
      <w:r w:rsidR="00023EF7" w:rsidRPr="0001105B">
        <w:rPr>
          <w:rFonts w:ascii="ITC Avant Garde" w:hAnsi="ITC Avant Garde"/>
          <w:b/>
          <w:color w:val="auto"/>
          <w:sz w:val="22"/>
          <w:szCs w:val="22"/>
          <w:lang w:eastAsia="es-MX"/>
        </w:rPr>
        <w:t xml:space="preserve"> NACIONAL</w:t>
      </w:r>
      <w:r w:rsidRPr="0001105B">
        <w:rPr>
          <w:rFonts w:ascii="ITC Avant Garde" w:hAnsi="ITC Avant Garde"/>
          <w:b/>
          <w:color w:val="auto"/>
          <w:sz w:val="22"/>
          <w:szCs w:val="22"/>
          <w:lang w:eastAsia="es-MX"/>
        </w:rPr>
        <w:t>.</w:t>
      </w:r>
    </w:p>
    <w:p w14:paraId="190F7D75" w14:textId="77777777" w:rsidR="00393242" w:rsidRDefault="00393242" w:rsidP="0022041E">
      <w:pPr>
        <w:spacing w:after="0" w:line="240" w:lineRule="auto"/>
        <w:jc w:val="both"/>
        <w:rPr>
          <w:rFonts w:ascii="ITC Avant Garde" w:hAnsi="ITC Avant Garde"/>
          <w:b/>
          <w:bCs/>
          <w:lang w:eastAsia="es-MX"/>
        </w:rPr>
      </w:pPr>
    </w:p>
    <w:p w14:paraId="6FFFEAE4" w14:textId="77777777" w:rsidR="00D2148B" w:rsidRPr="0001105B" w:rsidRDefault="00CE0F87" w:rsidP="0001105B">
      <w:pPr>
        <w:pStyle w:val="Ttulo2"/>
        <w:jc w:val="center"/>
        <w:rPr>
          <w:rFonts w:ascii="ITC Avant Garde" w:hAnsi="ITC Avant Garde"/>
          <w:b/>
          <w:bCs/>
          <w:color w:val="auto"/>
          <w:sz w:val="22"/>
          <w:szCs w:val="22"/>
          <w:lang w:eastAsia="es-MX"/>
        </w:rPr>
      </w:pPr>
      <w:r w:rsidRPr="0001105B">
        <w:rPr>
          <w:rFonts w:ascii="ITC Avant Garde" w:hAnsi="ITC Avant Garde"/>
          <w:b/>
          <w:bCs/>
          <w:color w:val="auto"/>
          <w:sz w:val="22"/>
          <w:szCs w:val="22"/>
          <w:lang w:eastAsia="es-MX"/>
        </w:rPr>
        <w:t>ANTECEDENTES</w:t>
      </w:r>
    </w:p>
    <w:p w14:paraId="55B139F5" w14:textId="2DF86055" w:rsidR="00623650" w:rsidRPr="00A06D0A" w:rsidRDefault="00F520A3" w:rsidP="00A16B88">
      <w:pPr>
        <w:pStyle w:val="Prrafodelista"/>
        <w:numPr>
          <w:ilvl w:val="0"/>
          <w:numId w:val="4"/>
        </w:numPr>
        <w:shd w:val="clear" w:color="auto" w:fill="FFFFFF"/>
        <w:spacing w:before="240"/>
        <w:ind w:left="567"/>
        <w:jc w:val="both"/>
        <w:rPr>
          <w:rFonts w:ascii="ITC Avant Garde" w:hAnsi="ITC Avant Garde" w:cs="Arial"/>
          <w:sz w:val="22"/>
          <w:szCs w:val="22"/>
          <w:lang w:eastAsia="es-MX"/>
        </w:rPr>
      </w:pPr>
      <w:r w:rsidRPr="00A06D0A">
        <w:rPr>
          <w:rFonts w:ascii="ITC Avant Garde" w:hAnsi="ITC Avant Garde" w:cs="Arial"/>
          <w:b/>
          <w:bCs/>
          <w:sz w:val="22"/>
          <w:szCs w:val="22"/>
          <w:lang w:eastAsia="es-MX"/>
        </w:rPr>
        <w:t>Otorgamiento de la</w:t>
      </w:r>
      <w:r w:rsidR="00623650" w:rsidRPr="00A06D0A">
        <w:rPr>
          <w:rFonts w:ascii="ITC Avant Garde" w:hAnsi="ITC Avant Garde" w:cs="Arial"/>
          <w:b/>
          <w:bCs/>
          <w:sz w:val="22"/>
          <w:szCs w:val="22"/>
          <w:lang w:eastAsia="es-MX"/>
        </w:rPr>
        <w:t xml:space="preserve"> Concesión</w:t>
      </w:r>
      <w:r w:rsidRPr="00A06D0A">
        <w:rPr>
          <w:rFonts w:ascii="ITC Avant Garde" w:hAnsi="ITC Avant Garde" w:cs="Arial"/>
          <w:b/>
          <w:bCs/>
          <w:sz w:val="22"/>
          <w:szCs w:val="22"/>
          <w:lang w:eastAsia="es-MX"/>
        </w:rPr>
        <w:t>.</w:t>
      </w:r>
      <w:r w:rsidRPr="00A06D0A">
        <w:rPr>
          <w:rFonts w:ascii="ITC Avant Garde" w:hAnsi="ITC Avant Garde" w:cs="Arial"/>
          <w:sz w:val="22"/>
          <w:szCs w:val="22"/>
          <w:lang w:eastAsia="es-MX"/>
        </w:rPr>
        <w:t xml:space="preserve"> </w:t>
      </w:r>
      <w:r w:rsidR="007B32ED" w:rsidRPr="00A06D0A">
        <w:rPr>
          <w:rFonts w:ascii="ITC Avant Garde" w:hAnsi="ITC Avant Garde"/>
          <w:bCs/>
          <w:sz w:val="22"/>
          <w:szCs w:val="22"/>
          <w:lang w:eastAsia="es-MX"/>
        </w:rPr>
        <w:t>El 8 de noviembre de 200</w:t>
      </w:r>
      <w:r w:rsidR="001B7EA2" w:rsidRPr="00A06D0A">
        <w:rPr>
          <w:rFonts w:ascii="ITC Avant Garde" w:hAnsi="ITC Avant Garde"/>
          <w:bCs/>
          <w:sz w:val="22"/>
          <w:szCs w:val="22"/>
          <w:lang w:eastAsia="es-MX"/>
        </w:rPr>
        <w:t>0</w:t>
      </w:r>
      <w:r w:rsidR="007B32ED" w:rsidRPr="00A06D0A">
        <w:rPr>
          <w:rFonts w:ascii="ITC Avant Garde" w:hAnsi="ITC Avant Garde"/>
          <w:bCs/>
          <w:sz w:val="22"/>
          <w:szCs w:val="22"/>
          <w:lang w:eastAsia="es-MX"/>
        </w:rPr>
        <w:t>, la Secretaría de Comunicaciones y Transportes (la “Secretaría”) otorgó en favor de la empresa Libros Foráneos, S.A. de C.V., un título de concesión para instalar, operar y explotar una red pública de telecomunicaciones</w:t>
      </w:r>
      <w:r w:rsidR="006F4357">
        <w:rPr>
          <w:rFonts w:ascii="ITC Avant Garde" w:hAnsi="ITC Avant Garde"/>
          <w:bCs/>
          <w:sz w:val="22"/>
          <w:szCs w:val="22"/>
          <w:lang w:eastAsia="es-MX"/>
        </w:rPr>
        <w:t xml:space="preserve"> a nivel nacional,</w:t>
      </w:r>
      <w:r w:rsidR="007B32ED" w:rsidRPr="00A06D0A">
        <w:rPr>
          <w:rFonts w:ascii="ITC Avant Garde" w:hAnsi="ITC Avant Garde"/>
          <w:bCs/>
          <w:sz w:val="22"/>
          <w:szCs w:val="22"/>
          <w:lang w:eastAsia="es-MX"/>
        </w:rPr>
        <w:t xml:space="preserve"> con una vigencia de 30 (treinta) años contados a partir de la fecha de su otorgamiento</w:t>
      </w:r>
      <w:r w:rsidR="006F4357">
        <w:rPr>
          <w:rFonts w:ascii="ITC Avant Garde" w:hAnsi="ITC Avant Garde"/>
          <w:bCs/>
          <w:sz w:val="22"/>
          <w:szCs w:val="22"/>
          <w:lang w:eastAsia="es-MX"/>
        </w:rPr>
        <w:t xml:space="preserve"> (la “Concesión”)</w:t>
      </w:r>
      <w:r w:rsidR="00623650" w:rsidRPr="00A06D0A">
        <w:rPr>
          <w:rFonts w:ascii="ITC Avant Garde" w:hAnsi="ITC Avant Garde"/>
          <w:bCs/>
          <w:sz w:val="22"/>
          <w:szCs w:val="22"/>
          <w:lang w:eastAsia="es-MX"/>
        </w:rPr>
        <w:t>.</w:t>
      </w:r>
    </w:p>
    <w:p w14:paraId="2680014F" w14:textId="1016AE53" w:rsidR="00623650" w:rsidRPr="00A06D0A" w:rsidRDefault="00623650" w:rsidP="00A16B88">
      <w:pPr>
        <w:pStyle w:val="Prrafodelista"/>
        <w:shd w:val="clear" w:color="auto" w:fill="FFFFFF"/>
        <w:spacing w:before="240"/>
        <w:ind w:left="567"/>
        <w:jc w:val="both"/>
        <w:rPr>
          <w:rFonts w:ascii="ITC Avant Garde" w:hAnsi="ITC Avant Garde"/>
          <w:bCs/>
          <w:sz w:val="22"/>
          <w:szCs w:val="22"/>
          <w:lang w:eastAsia="es-MX"/>
        </w:rPr>
      </w:pPr>
      <w:r w:rsidRPr="00A06D0A">
        <w:rPr>
          <w:rFonts w:ascii="ITC Avant Garde" w:hAnsi="ITC Avant Garde"/>
          <w:bCs/>
          <w:sz w:val="22"/>
          <w:szCs w:val="22"/>
          <w:lang w:eastAsia="es-MX"/>
        </w:rPr>
        <w:t>En e</w:t>
      </w:r>
      <w:r w:rsidR="007B32ED" w:rsidRPr="00A06D0A">
        <w:rPr>
          <w:rFonts w:ascii="ITC Avant Garde" w:hAnsi="ITC Avant Garde"/>
          <w:bCs/>
          <w:sz w:val="22"/>
          <w:szCs w:val="22"/>
          <w:lang w:eastAsia="es-MX"/>
        </w:rPr>
        <w:t>l Anexo</w:t>
      </w:r>
      <w:r w:rsidRPr="00A06D0A">
        <w:rPr>
          <w:rFonts w:ascii="ITC Avant Garde" w:hAnsi="ITC Avant Garde"/>
          <w:bCs/>
          <w:sz w:val="22"/>
          <w:szCs w:val="22"/>
          <w:lang w:eastAsia="es-MX"/>
        </w:rPr>
        <w:t xml:space="preserve"> A de la Concesión</w:t>
      </w:r>
      <w:r w:rsidR="007B32ED" w:rsidRPr="00A06D0A">
        <w:rPr>
          <w:rFonts w:ascii="ITC Avant Garde" w:hAnsi="ITC Avant Garde"/>
          <w:bCs/>
          <w:sz w:val="22"/>
          <w:szCs w:val="22"/>
          <w:lang w:eastAsia="es-MX"/>
        </w:rPr>
        <w:t xml:space="preserve"> </w:t>
      </w:r>
      <w:r w:rsidRPr="00A06D0A">
        <w:rPr>
          <w:rFonts w:ascii="ITC Avant Garde" w:hAnsi="ITC Avant Garde"/>
          <w:bCs/>
          <w:sz w:val="22"/>
          <w:szCs w:val="22"/>
          <w:lang w:eastAsia="es-MX"/>
        </w:rPr>
        <w:t>se estableció como servicio comprendido el servicio de conducción de señales a redes privadas de telecomunicaciones</w:t>
      </w:r>
      <w:r w:rsidR="00EC63AC">
        <w:rPr>
          <w:rFonts w:ascii="ITC Avant Garde" w:hAnsi="ITC Avant Garde"/>
          <w:bCs/>
          <w:sz w:val="22"/>
          <w:szCs w:val="22"/>
          <w:lang w:eastAsia="es-MX"/>
        </w:rPr>
        <w:t>.</w:t>
      </w:r>
    </w:p>
    <w:p w14:paraId="27B3B313" w14:textId="4244A969" w:rsidR="009E79CE" w:rsidRPr="00A06D0A" w:rsidRDefault="009E79CE" w:rsidP="00A16B88">
      <w:pPr>
        <w:numPr>
          <w:ilvl w:val="0"/>
          <w:numId w:val="4"/>
        </w:numPr>
        <w:spacing w:before="240" w:after="0" w:line="240" w:lineRule="auto"/>
        <w:ind w:left="567" w:hanging="709"/>
        <w:jc w:val="both"/>
        <w:rPr>
          <w:rFonts w:ascii="ITC Avant Garde" w:hAnsi="ITC Avant Garde"/>
          <w:bCs/>
          <w:lang w:eastAsia="es-MX"/>
        </w:rPr>
      </w:pPr>
      <w:r w:rsidRPr="00A06D0A">
        <w:rPr>
          <w:rFonts w:ascii="ITC Avant Garde" w:eastAsia="Times New Roman" w:hAnsi="ITC Avant Garde"/>
          <w:b/>
          <w:bCs/>
          <w:lang w:val="es-ES" w:eastAsia="es-MX"/>
        </w:rPr>
        <w:t>Primera Modificación de la Concesión.</w:t>
      </w:r>
      <w:r w:rsidRPr="00A06D0A">
        <w:rPr>
          <w:rFonts w:ascii="ITC Avant Garde" w:hAnsi="ITC Avant Garde"/>
          <w:b/>
          <w:bCs/>
          <w:lang w:eastAsia="es-MX"/>
        </w:rPr>
        <w:t xml:space="preserve"> </w:t>
      </w:r>
      <w:r w:rsidRPr="00A06D0A">
        <w:rPr>
          <w:rFonts w:ascii="ITC Avant Garde" w:eastAsia="Times New Roman" w:hAnsi="ITC Avant Garde"/>
          <w:bCs/>
          <w:lang w:val="es-ES" w:eastAsia="es-MX"/>
        </w:rPr>
        <w:t>El 12 de agosto de 2004, la extinta Comisión Federal de Telecomunicaciones</w:t>
      </w:r>
      <w:r w:rsidR="00721F23" w:rsidRPr="00A06D0A">
        <w:rPr>
          <w:rFonts w:ascii="ITC Avant Garde" w:eastAsia="Times New Roman" w:hAnsi="ITC Avant Garde"/>
          <w:bCs/>
          <w:lang w:val="es-ES" w:eastAsia="es-MX"/>
        </w:rPr>
        <w:t xml:space="preserve"> (la “</w:t>
      </w:r>
      <w:r w:rsidR="005374C2" w:rsidRPr="00A06D0A">
        <w:rPr>
          <w:rFonts w:ascii="ITC Avant Garde" w:eastAsia="Times New Roman" w:hAnsi="ITC Avant Garde"/>
          <w:bCs/>
          <w:lang w:val="es-ES" w:eastAsia="es-MX"/>
        </w:rPr>
        <w:t>Comisión</w:t>
      </w:r>
      <w:r w:rsidR="00721F23" w:rsidRPr="00A06D0A">
        <w:rPr>
          <w:rFonts w:ascii="ITC Avant Garde" w:eastAsia="Times New Roman" w:hAnsi="ITC Avant Garde"/>
          <w:bCs/>
          <w:lang w:val="es-ES" w:eastAsia="es-MX"/>
        </w:rPr>
        <w:t>”)</w:t>
      </w:r>
      <w:r w:rsidRPr="00A06D0A">
        <w:rPr>
          <w:rFonts w:ascii="ITC Avant Garde" w:eastAsia="Times New Roman" w:hAnsi="ITC Avant Garde"/>
          <w:bCs/>
          <w:lang w:val="es-ES" w:eastAsia="es-MX"/>
        </w:rPr>
        <w:t xml:space="preserve"> autorizó</w:t>
      </w:r>
      <w:r w:rsidR="004B79A0" w:rsidRPr="00A06D0A">
        <w:rPr>
          <w:rFonts w:ascii="ITC Avant Garde" w:eastAsia="Times New Roman" w:hAnsi="ITC Avant Garde"/>
          <w:bCs/>
          <w:lang w:val="es-ES" w:eastAsia="es-MX"/>
        </w:rPr>
        <w:t xml:space="preserve"> </w:t>
      </w:r>
      <w:r w:rsidR="00A61AAB" w:rsidRPr="00A06D0A">
        <w:rPr>
          <w:rFonts w:ascii="ITC Avant Garde" w:eastAsia="Times New Roman" w:hAnsi="ITC Avant Garde"/>
          <w:bCs/>
          <w:lang w:val="es-ES" w:eastAsia="es-MX"/>
        </w:rPr>
        <w:t>a</w:t>
      </w:r>
      <w:r w:rsidR="004B79A0" w:rsidRPr="00A06D0A">
        <w:rPr>
          <w:rFonts w:ascii="ITC Avant Garde" w:eastAsia="Times New Roman" w:hAnsi="ITC Avant Garde"/>
          <w:bCs/>
          <w:lang w:val="es-ES" w:eastAsia="es-MX"/>
        </w:rPr>
        <w:t xml:space="preserve"> Libros Foráneos, S.A. de C.V., </w:t>
      </w:r>
      <w:r w:rsidRPr="00A06D0A">
        <w:rPr>
          <w:rFonts w:ascii="ITC Avant Garde" w:eastAsia="Times New Roman" w:hAnsi="ITC Avant Garde"/>
          <w:bCs/>
          <w:lang w:val="es-ES" w:eastAsia="es-MX"/>
        </w:rPr>
        <w:t xml:space="preserve">la modificación de las características técnicas establecidas en los numerales A.6., A9. y A.10, del Anexo A de la Concesión, a fin de operar a través del satélite </w:t>
      </w:r>
      <w:proofErr w:type="spellStart"/>
      <w:r w:rsidRPr="00A06D0A">
        <w:rPr>
          <w:rFonts w:ascii="ITC Avant Garde" w:eastAsia="Times New Roman" w:hAnsi="ITC Avant Garde"/>
          <w:bCs/>
          <w:lang w:val="es-ES" w:eastAsia="es-MX"/>
        </w:rPr>
        <w:t>Intelsat</w:t>
      </w:r>
      <w:proofErr w:type="spellEnd"/>
      <w:r w:rsidRPr="00A06D0A">
        <w:rPr>
          <w:rFonts w:ascii="ITC Avant Garde" w:eastAsia="Times New Roman" w:hAnsi="ITC Avant Garde"/>
          <w:bCs/>
          <w:lang w:val="es-ES" w:eastAsia="es-MX"/>
        </w:rPr>
        <w:t xml:space="preserve"> IS-705, 310.0° E</w:t>
      </w:r>
      <w:r w:rsidR="007B2E45">
        <w:rPr>
          <w:rFonts w:ascii="ITC Avant Garde" w:eastAsia="Times New Roman" w:hAnsi="ITC Avant Garde"/>
          <w:bCs/>
          <w:lang w:val="es-ES" w:eastAsia="es-MX"/>
        </w:rPr>
        <w:t>, en la banda C</w:t>
      </w:r>
      <w:r w:rsidR="00A61AAB" w:rsidRPr="00A06D0A">
        <w:rPr>
          <w:rFonts w:ascii="ITC Avant Garde" w:eastAsia="Times New Roman" w:hAnsi="ITC Avant Garde"/>
          <w:bCs/>
          <w:lang w:val="es-ES" w:eastAsia="es-MX"/>
        </w:rPr>
        <w:t>.</w:t>
      </w:r>
    </w:p>
    <w:p w14:paraId="301BD46D" w14:textId="6F0C78A6" w:rsidR="001C4618" w:rsidRPr="00A06D0A" w:rsidRDefault="009E79CE" w:rsidP="00A16B88">
      <w:pPr>
        <w:numPr>
          <w:ilvl w:val="0"/>
          <w:numId w:val="4"/>
        </w:numPr>
        <w:spacing w:before="240" w:after="0" w:line="240" w:lineRule="auto"/>
        <w:ind w:left="567" w:hanging="709"/>
        <w:jc w:val="both"/>
        <w:rPr>
          <w:rFonts w:ascii="ITC Avant Garde" w:hAnsi="ITC Avant Garde"/>
          <w:bCs/>
          <w:lang w:eastAsia="es-MX"/>
        </w:rPr>
      </w:pPr>
      <w:r w:rsidRPr="00A06D0A">
        <w:rPr>
          <w:rFonts w:ascii="ITC Avant Garde" w:eastAsia="Times New Roman" w:hAnsi="ITC Avant Garde"/>
          <w:b/>
          <w:bCs/>
          <w:lang w:val="es-ES" w:eastAsia="es-MX"/>
        </w:rPr>
        <w:t>Segunda</w:t>
      </w:r>
      <w:r w:rsidR="00967F0A" w:rsidRPr="00A06D0A">
        <w:rPr>
          <w:rFonts w:ascii="ITC Avant Garde" w:eastAsia="Times New Roman" w:hAnsi="ITC Avant Garde"/>
          <w:b/>
          <w:bCs/>
          <w:lang w:val="es-ES" w:eastAsia="es-MX"/>
        </w:rPr>
        <w:t xml:space="preserve"> Modificación de la Concesión.</w:t>
      </w:r>
      <w:r w:rsidR="00967F0A" w:rsidRPr="00A06D0A">
        <w:rPr>
          <w:rFonts w:ascii="ITC Avant Garde" w:hAnsi="ITC Avant Garde"/>
          <w:b/>
          <w:bCs/>
          <w:lang w:eastAsia="es-MX"/>
        </w:rPr>
        <w:t xml:space="preserve"> </w:t>
      </w:r>
      <w:r w:rsidR="00967F0A" w:rsidRPr="00A06D0A">
        <w:rPr>
          <w:rFonts w:ascii="ITC Avant Garde" w:eastAsia="Times New Roman" w:hAnsi="ITC Avant Garde"/>
          <w:bCs/>
          <w:lang w:val="es-ES" w:eastAsia="es-MX"/>
        </w:rPr>
        <w:t>El</w:t>
      </w:r>
      <w:r w:rsidR="00C06F80" w:rsidRPr="00A06D0A">
        <w:rPr>
          <w:rFonts w:ascii="ITC Avant Garde" w:eastAsia="Times New Roman" w:hAnsi="ITC Avant Garde"/>
          <w:bCs/>
          <w:lang w:val="es-ES" w:eastAsia="es-MX"/>
        </w:rPr>
        <w:t xml:space="preserve"> 17</w:t>
      </w:r>
      <w:r w:rsidR="00967F0A" w:rsidRPr="00A06D0A">
        <w:rPr>
          <w:rFonts w:ascii="ITC Avant Garde" w:eastAsia="Times New Roman" w:hAnsi="ITC Avant Garde"/>
          <w:bCs/>
          <w:lang w:val="es-ES" w:eastAsia="es-MX"/>
        </w:rPr>
        <w:t xml:space="preserve"> de </w:t>
      </w:r>
      <w:r w:rsidR="00C06F80" w:rsidRPr="00A06D0A">
        <w:rPr>
          <w:rFonts w:ascii="ITC Avant Garde" w:eastAsia="Times New Roman" w:hAnsi="ITC Avant Garde"/>
          <w:bCs/>
          <w:lang w:val="es-ES" w:eastAsia="es-MX"/>
        </w:rPr>
        <w:t>agosto</w:t>
      </w:r>
      <w:r w:rsidR="00967F0A" w:rsidRPr="00A06D0A">
        <w:rPr>
          <w:rFonts w:ascii="ITC Avant Garde" w:eastAsia="Times New Roman" w:hAnsi="ITC Avant Garde"/>
          <w:bCs/>
          <w:lang w:val="es-ES" w:eastAsia="es-MX"/>
        </w:rPr>
        <w:t xml:space="preserve"> de 200</w:t>
      </w:r>
      <w:r w:rsidR="00C06F80" w:rsidRPr="00A06D0A">
        <w:rPr>
          <w:rFonts w:ascii="ITC Avant Garde" w:eastAsia="Times New Roman" w:hAnsi="ITC Avant Garde"/>
          <w:bCs/>
          <w:lang w:val="es-ES" w:eastAsia="es-MX"/>
        </w:rPr>
        <w:t>4</w:t>
      </w:r>
      <w:r w:rsidR="00967F0A" w:rsidRPr="00A06D0A">
        <w:rPr>
          <w:rFonts w:ascii="ITC Avant Garde" w:eastAsia="Times New Roman" w:hAnsi="ITC Avant Garde"/>
          <w:bCs/>
          <w:lang w:val="es-ES" w:eastAsia="es-MX"/>
        </w:rPr>
        <w:t xml:space="preserve">, la </w:t>
      </w:r>
      <w:r w:rsidR="005374C2" w:rsidRPr="00A06D0A">
        <w:rPr>
          <w:rFonts w:ascii="ITC Avant Garde" w:eastAsia="Times New Roman" w:hAnsi="ITC Avant Garde"/>
          <w:bCs/>
          <w:lang w:val="es-ES" w:eastAsia="es-MX"/>
        </w:rPr>
        <w:t>Comisión</w:t>
      </w:r>
      <w:r w:rsidR="00721F23" w:rsidRPr="00A06D0A">
        <w:rPr>
          <w:rFonts w:ascii="ITC Avant Garde" w:eastAsia="Times New Roman" w:hAnsi="ITC Avant Garde"/>
          <w:bCs/>
          <w:lang w:val="es-ES" w:eastAsia="es-MX"/>
        </w:rPr>
        <w:t xml:space="preserve"> </w:t>
      </w:r>
      <w:r w:rsidR="00C06F80" w:rsidRPr="00A06D0A">
        <w:rPr>
          <w:rFonts w:ascii="ITC Avant Garde" w:eastAsia="Times New Roman" w:hAnsi="ITC Avant Garde"/>
          <w:bCs/>
          <w:lang w:val="es-ES" w:eastAsia="es-MX"/>
        </w:rPr>
        <w:t>autorizó</w:t>
      </w:r>
      <w:r w:rsidR="004B79A0" w:rsidRPr="00A06D0A">
        <w:rPr>
          <w:rFonts w:ascii="ITC Avant Garde" w:eastAsia="Times New Roman" w:hAnsi="ITC Avant Garde"/>
          <w:bCs/>
          <w:lang w:val="es-ES" w:eastAsia="es-MX"/>
        </w:rPr>
        <w:t xml:space="preserve"> </w:t>
      </w:r>
      <w:r w:rsidR="00A61AAB" w:rsidRPr="00A06D0A">
        <w:rPr>
          <w:rFonts w:ascii="ITC Avant Garde" w:eastAsia="Times New Roman" w:hAnsi="ITC Avant Garde"/>
          <w:bCs/>
          <w:lang w:val="es-ES" w:eastAsia="es-MX"/>
        </w:rPr>
        <w:t>a</w:t>
      </w:r>
      <w:r w:rsidR="004B79A0" w:rsidRPr="00A06D0A">
        <w:rPr>
          <w:rFonts w:ascii="ITC Avant Garde" w:eastAsia="Times New Roman" w:hAnsi="ITC Avant Garde"/>
          <w:bCs/>
          <w:lang w:val="es-ES" w:eastAsia="es-MX"/>
        </w:rPr>
        <w:t xml:space="preserve"> Libros Foráneos, S.A. de C.V., </w:t>
      </w:r>
      <w:r w:rsidR="00C06F80" w:rsidRPr="00A06D0A">
        <w:rPr>
          <w:rFonts w:ascii="ITC Avant Garde" w:eastAsia="Times New Roman" w:hAnsi="ITC Avant Garde"/>
          <w:bCs/>
          <w:lang w:val="es-ES" w:eastAsia="es-MX"/>
        </w:rPr>
        <w:t xml:space="preserve">la </w:t>
      </w:r>
      <w:r w:rsidR="00967F0A" w:rsidRPr="00A06D0A">
        <w:rPr>
          <w:rFonts w:ascii="ITC Avant Garde" w:eastAsia="Times New Roman" w:hAnsi="ITC Avant Garde"/>
          <w:bCs/>
          <w:lang w:val="es-ES" w:eastAsia="es-MX"/>
        </w:rPr>
        <w:t>modific</w:t>
      </w:r>
      <w:r w:rsidR="00C06F80" w:rsidRPr="00A06D0A">
        <w:rPr>
          <w:rFonts w:ascii="ITC Avant Garde" w:eastAsia="Times New Roman" w:hAnsi="ITC Avant Garde"/>
          <w:bCs/>
          <w:lang w:val="es-ES" w:eastAsia="es-MX"/>
        </w:rPr>
        <w:t>ación</w:t>
      </w:r>
      <w:r w:rsidR="00967F0A" w:rsidRPr="00A06D0A">
        <w:rPr>
          <w:rFonts w:ascii="ITC Avant Garde" w:eastAsia="Times New Roman" w:hAnsi="ITC Avant Garde"/>
          <w:bCs/>
          <w:lang w:val="es-ES" w:eastAsia="es-MX"/>
        </w:rPr>
        <w:t xml:space="preserve"> </w:t>
      </w:r>
      <w:r w:rsidR="00C06F80" w:rsidRPr="00A06D0A">
        <w:rPr>
          <w:rFonts w:ascii="ITC Avant Garde" w:eastAsia="Times New Roman" w:hAnsi="ITC Avant Garde"/>
          <w:bCs/>
          <w:lang w:val="es-ES" w:eastAsia="es-MX"/>
        </w:rPr>
        <w:t>de las características técnicas establecidas en los numerales A.6., A</w:t>
      </w:r>
      <w:r w:rsidR="00E64D51">
        <w:rPr>
          <w:rFonts w:ascii="ITC Avant Garde" w:eastAsia="Times New Roman" w:hAnsi="ITC Avant Garde"/>
          <w:bCs/>
          <w:lang w:val="es-ES" w:eastAsia="es-MX"/>
        </w:rPr>
        <w:t>.</w:t>
      </w:r>
      <w:r w:rsidR="00C06F80" w:rsidRPr="00A06D0A">
        <w:rPr>
          <w:rFonts w:ascii="ITC Avant Garde" w:eastAsia="Times New Roman" w:hAnsi="ITC Avant Garde"/>
          <w:bCs/>
          <w:lang w:val="es-ES" w:eastAsia="es-MX"/>
        </w:rPr>
        <w:t xml:space="preserve">9. y A.10, del Anexo A de la Concesión, a fin de operar a través del satélite </w:t>
      </w:r>
      <w:proofErr w:type="spellStart"/>
      <w:r w:rsidR="00C06F80" w:rsidRPr="00A06D0A">
        <w:rPr>
          <w:rFonts w:ascii="ITC Avant Garde" w:eastAsia="Times New Roman" w:hAnsi="ITC Avant Garde"/>
          <w:bCs/>
          <w:lang w:val="es-ES" w:eastAsia="es-MX"/>
        </w:rPr>
        <w:t>Intelsat</w:t>
      </w:r>
      <w:proofErr w:type="spellEnd"/>
      <w:r w:rsidR="00C06F80" w:rsidRPr="00A06D0A">
        <w:rPr>
          <w:rFonts w:ascii="ITC Avant Garde" w:eastAsia="Times New Roman" w:hAnsi="ITC Avant Garde"/>
          <w:bCs/>
          <w:lang w:val="es-ES" w:eastAsia="es-MX"/>
        </w:rPr>
        <w:t xml:space="preserve"> IS-706, 30</w:t>
      </w:r>
      <w:r w:rsidR="00A61AAB" w:rsidRPr="00A06D0A">
        <w:rPr>
          <w:rFonts w:ascii="ITC Avant Garde" w:eastAsia="Times New Roman" w:hAnsi="ITC Avant Garde"/>
          <w:bCs/>
          <w:lang w:val="es-ES" w:eastAsia="es-MX"/>
        </w:rPr>
        <w:t>7.0° E</w:t>
      </w:r>
      <w:r w:rsidR="00E64D51">
        <w:rPr>
          <w:rFonts w:ascii="ITC Avant Garde" w:eastAsia="Times New Roman" w:hAnsi="ITC Avant Garde"/>
          <w:bCs/>
          <w:lang w:val="es-ES" w:eastAsia="es-MX"/>
        </w:rPr>
        <w:t>,</w:t>
      </w:r>
      <w:r w:rsidR="00A61AAB" w:rsidRPr="00A06D0A">
        <w:rPr>
          <w:rFonts w:ascii="ITC Avant Garde" w:eastAsia="Times New Roman" w:hAnsi="ITC Avant Garde"/>
          <w:bCs/>
          <w:lang w:val="es-ES" w:eastAsia="es-MX"/>
        </w:rPr>
        <w:t xml:space="preserve"> Spot 2, en la banda </w:t>
      </w:r>
      <w:proofErr w:type="spellStart"/>
      <w:r w:rsidR="00A61AAB" w:rsidRPr="00A06D0A">
        <w:rPr>
          <w:rFonts w:ascii="ITC Avant Garde" w:eastAsia="Times New Roman" w:hAnsi="ITC Avant Garde"/>
          <w:bCs/>
          <w:lang w:val="es-ES" w:eastAsia="es-MX"/>
        </w:rPr>
        <w:t>Ku</w:t>
      </w:r>
      <w:proofErr w:type="spellEnd"/>
      <w:r w:rsidR="00A61AAB" w:rsidRPr="00A06D0A">
        <w:rPr>
          <w:rFonts w:ascii="ITC Avant Garde" w:eastAsia="Times New Roman" w:hAnsi="ITC Avant Garde"/>
          <w:bCs/>
          <w:lang w:val="es-ES" w:eastAsia="es-MX"/>
        </w:rPr>
        <w:t>.</w:t>
      </w:r>
    </w:p>
    <w:p w14:paraId="5762C3A7" w14:textId="34150BFD" w:rsidR="00A61AAB" w:rsidRPr="00A06D0A" w:rsidRDefault="00362444" w:rsidP="00A16B88">
      <w:pPr>
        <w:numPr>
          <w:ilvl w:val="0"/>
          <w:numId w:val="4"/>
        </w:numPr>
        <w:spacing w:before="240" w:after="0" w:line="240" w:lineRule="auto"/>
        <w:ind w:left="567" w:hanging="709"/>
        <w:jc w:val="both"/>
        <w:rPr>
          <w:rFonts w:ascii="ITC Avant Garde" w:hAnsi="ITC Avant Garde"/>
          <w:bCs/>
          <w:lang w:eastAsia="es-MX"/>
        </w:rPr>
      </w:pPr>
      <w:r w:rsidRPr="00A06D0A">
        <w:rPr>
          <w:rFonts w:ascii="ITC Avant Garde" w:eastAsia="Times New Roman" w:hAnsi="ITC Avant Garde"/>
          <w:b/>
          <w:bCs/>
          <w:lang w:val="es-ES" w:eastAsia="es-MX"/>
        </w:rPr>
        <w:t>Tercera</w:t>
      </w:r>
      <w:r w:rsidR="00A61AAB" w:rsidRPr="00A06D0A">
        <w:rPr>
          <w:rFonts w:ascii="ITC Avant Garde" w:eastAsia="Times New Roman" w:hAnsi="ITC Avant Garde"/>
          <w:b/>
          <w:bCs/>
          <w:lang w:val="es-ES" w:eastAsia="es-MX"/>
        </w:rPr>
        <w:t xml:space="preserve"> Modificación de la Concesión.</w:t>
      </w:r>
      <w:r w:rsidR="00A61AAB" w:rsidRPr="00A06D0A">
        <w:rPr>
          <w:rFonts w:ascii="ITC Avant Garde" w:hAnsi="ITC Avant Garde"/>
          <w:b/>
          <w:bCs/>
          <w:lang w:eastAsia="es-MX"/>
        </w:rPr>
        <w:t xml:space="preserve"> </w:t>
      </w:r>
      <w:r w:rsidR="00A61AAB" w:rsidRPr="00A06D0A">
        <w:rPr>
          <w:rFonts w:ascii="ITC Avant Garde" w:eastAsia="Times New Roman" w:hAnsi="ITC Avant Garde"/>
          <w:bCs/>
          <w:lang w:val="es-ES" w:eastAsia="es-MX"/>
        </w:rPr>
        <w:t xml:space="preserve">El </w:t>
      </w:r>
      <w:r w:rsidRPr="00A06D0A">
        <w:rPr>
          <w:rFonts w:ascii="ITC Avant Garde" w:eastAsia="Times New Roman" w:hAnsi="ITC Avant Garde"/>
          <w:bCs/>
          <w:lang w:val="es-ES" w:eastAsia="es-MX"/>
        </w:rPr>
        <w:t>15 de mayo de 2006</w:t>
      </w:r>
      <w:r w:rsidR="00A61AAB" w:rsidRPr="00A06D0A">
        <w:rPr>
          <w:rFonts w:ascii="ITC Avant Garde" w:eastAsia="Times New Roman" w:hAnsi="ITC Avant Garde"/>
          <w:bCs/>
          <w:lang w:val="es-ES" w:eastAsia="es-MX"/>
        </w:rPr>
        <w:t xml:space="preserve">, la </w:t>
      </w:r>
      <w:r w:rsidRPr="00A06D0A">
        <w:rPr>
          <w:rFonts w:ascii="ITC Avant Garde" w:eastAsia="Times New Roman" w:hAnsi="ITC Avant Garde"/>
          <w:bCs/>
          <w:lang w:val="es-ES" w:eastAsia="es-MX"/>
        </w:rPr>
        <w:t>Secretaría</w:t>
      </w:r>
      <w:r w:rsidR="00A61AAB" w:rsidRPr="00A06D0A">
        <w:rPr>
          <w:rFonts w:ascii="ITC Avant Garde" w:eastAsia="Times New Roman" w:hAnsi="ITC Avant Garde"/>
          <w:bCs/>
          <w:lang w:val="es-ES" w:eastAsia="es-MX"/>
        </w:rPr>
        <w:t xml:space="preserve"> autorizó a Libros Foráneos, S.A. de C.V., </w:t>
      </w:r>
      <w:r w:rsidRPr="00A06D0A">
        <w:rPr>
          <w:rFonts w:ascii="ITC Avant Garde" w:eastAsia="Times New Roman" w:hAnsi="ITC Avant Garde"/>
          <w:bCs/>
          <w:lang w:val="es-ES" w:eastAsia="es-MX"/>
        </w:rPr>
        <w:t>la adición del Anexo B a la Concesión, con el fin de que pudiera prestar los servicios de conducción de señales a concesionarios de redes públicas de telecomunicaciones y de conducción de señales a prestadores de servicios de valor agregado.</w:t>
      </w:r>
    </w:p>
    <w:p w14:paraId="2E7EEA4A" w14:textId="269BBA81" w:rsidR="001C4618" w:rsidRDefault="000A3B10" w:rsidP="00A16B88">
      <w:pPr>
        <w:numPr>
          <w:ilvl w:val="0"/>
          <w:numId w:val="4"/>
        </w:numPr>
        <w:spacing w:before="240" w:after="0" w:line="240" w:lineRule="auto"/>
        <w:ind w:left="567" w:hanging="709"/>
        <w:jc w:val="both"/>
        <w:rPr>
          <w:rFonts w:ascii="ITC Avant Garde" w:eastAsia="Times New Roman" w:hAnsi="ITC Avant Garde"/>
          <w:bCs/>
          <w:lang w:val="es-ES" w:eastAsia="es-MX"/>
        </w:rPr>
      </w:pPr>
      <w:r w:rsidRPr="00A06D0A">
        <w:rPr>
          <w:rFonts w:ascii="ITC Avant Garde" w:eastAsia="Times New Roman" w:hAnsi="ITC Avant Garde"/>
          <w:b/>
          <w:bCs/>
          <w:lang w:val="es-ES" w:eastAsia="es-MX"/>
        </w:rPr>
        <w:t>Cesión de Derechos.-</w:t>
      </w:r>
      <w:r w:rsidRPr="00A06D0A">
        <w:rPr>
          <w:rFonts w:ascii="ITC Avant Garde" w:eastAsia="Times New Roman" w:hAnsi="ITC Avant Garde"/>
          <w:bCs/>
          <w:lang w:val="es-ES" w:eastAsia="es-MX"/>
        </w:rPr>
        <w:t xml:space="preserve"> Con oficio 1.-257 de fecha 6 de mayo de 2011, la Secretaría autorizó a Libros Foráneos, S.A. de C.V., la cesión de los derechos </w:t>
      </w:r>
      <w:r w:rsidR="00675D53" w:rsidRPr="00A06D0A">
        <w:rPr>
          <w:rFonts w:ascii="ITC Avant Garde" w:eastAsia="Times New Roman" w:hAnsi="ITC Avant Garde"/>
          <w:bCs/>
          <w:lang w:val="es-ES" w:eastAsia="es-MX"/>
        </w:rPr>
        <w:t xml:space="preserve">y obligaciones </w:t>
      </w:r>
      <w:r w:rsidRPr="00A06D0A">
        <w:rPr>
          <w:rFonts w:ascii="ITC Avant Garde" w:eastAsia="Times New Roman" w:hAnsi="ITC Avant Garde"/>
          <w:bCs/>
          <w:lang w:val="es-ES" w:eastAsia="es-MX"/>
        </w:rPr>
        <w:t xml:space="preserve">de la Concesión a favor de la empresa </w:t>
      </w:r>
      <w:r w:rsidR="00675D53" w:rsidRPr="00A06D0A">
        <w:rPr>
          <w:rFonts w:ascii="ITC Avant Garde" w:eastAsia="Times New Roman" w:hAnsi="ITC Avant Garde"/>
          <w:bCs/>
          <w:lang w:val="es-ES" w:eastAsia="es-MX"/>
        </w:rPr>
        <w:t>GSAT COMUNICACIONES</w:t>
      </w:r>
      <w:r w:rsidRPr="00A06D0A">
        <w:rPr>
          <w:rFonts w:ascii="ITC Avant Garde" w:eastAsia="Times New Roman" w:hAnsi="ITC Avant Garde"/>
          <w:bCs/>
          <w:lang w:val="es-ES" w:eastAsia="es-MX"/>
        </w:rPr>
        <w:t>, S.A. de C.V.</w:t>
      </w:r>
    </w:p>
    <w:p w14:paraId="16B5BD43" w14:textId="7D4D4254" w:rsidR="00967F0A" w:rsidRDefault="00967F0A" w:rsidP="00A16B88">
      <w:pPr>
        <w:numPr>
          <w:ilvl w:val="0"/>
          <w:numId w:val="4"/>
        </w:numPr>
        <w:spacing w:before="240" w:after="0" w:line="240" w:lineRule="auto"/>
        <w:ind w:left="567" w:hanging="709"/>
        <w:jc w:val="both"/>
        <w:rPr>
          <w:rFonts w:ascii="ITC Avant Garde" w:eastAsia="Times New Roman" w:hAnsi="ITC Avant Garde"/>
          <w:bCs/>
          <w:lang w:val="es-ES" w:eastAsia="es-MX"/>
        </w:rPr>
      </w:pPr>
      <w:r w:rsidRPr="00A06D0A">
        <w:rPr>
          <w:rFonts w:ascii="ITC Avant Garde" w:eastAsia="Times New Roman" w:hAnsi="ITC Avant Garde"/>
          <w:b/>
          <w:bCs/>
          <w:lang w:val="es-ES" w:eastAsia="es-MX"/>
        </w:rPr>
        <w:t>Servicio de Valor Agregado</w:t>
      </w:r>
      <w:r w:rsidRPr="00A06D0A">
        <w:rPr>
          <w:rFonts w:ascii="ITC Avant Garde" w:hAnsi="ITC Avant Garde"/>
          <w:b/>
          <w:bCs/>
          <w:lang w:eastAsia="es-MX"/>
        </w:rPr>
        <w:t xml:space="preserve">. </w:t>
      </w:r>
      <w:r w:rsidRPr="00A06D0A">
        <w:rPr>
          <w:rFonts w:ascii="ITC Avant Garde" w:eastAsia="Times New Roman" w:hAnsi="ITC Avant Garde"/>
          <w:bCs/>
          <w:lang w:val="es-ES" w:eastAsia="es-MX"/>
        </w:rPr>
        <w:t xml:space="preserve">Con fecha </w:t>
      </w:r>
      <w:r w:rsidR="005374C2" w:rsidRPr="00A06D0A">
        <w:rPr>
          <w:rFonts w:ascii="ITC Avant Garde" w:eastAsia="Times New Roman" w:hAnsi="ITC Avant Garde"/>
          <w:bCs/>
          <w:lang w:val="es-ES" w:eastAsia="es-MX"/>
        </w:rPr>
        <w:t>26</w:t>
      </w:r>
      <w:r w:rsidRPr="00A06D0A">
        <w:rPr>
          <w:rFonts w:ascii="ITC Avant Garde" w:eastAsia="Times New Roman" w:hAnsi="ITC Avant Garde"/>
          <w:bCs/>
          <w:lang w:val="es-ES" w:eastAsia="es-MX"/>
        </w:rPr>
        <w:t xml:space="preserve"> de </w:t>
      </w:r>
      <w:r w:rsidR="005374C2" w:rsidRPr="00A06D0A">
        <w:rPr>
          <w:rFonts w:ascii="ITC Avant Garde" w:eastAsia="Times New Roman" w:hAnsi="ITC Avant Garde"/>
          <w:bCs/>
          <w:lang w:val="es-ES" w:eastAsia="es-MX"/>
        </w:rPr>
        <w:t xml:space="preserve">septiembre </w:t>
      </w:r>
      <w:r w:rsidRPr="00A06D0A">
        <w:rPr>
          <w:rFonts w:ascii="ITC Avant Garde" w:eastAsia="Times New Roman" w:hAnsi="ITC Avant Garde"/>
          <w:bCs/>
          <w:lang w:val="es-ES" w:eastAsia="es-MX"/>
        </w:rPr>
        <w:t xml:space="preserve">de </w:t>
      </w:r>
      <w:r w:rsidR="005374C2" w:rsidRPr="00A06D0A">
        <w:rPr>
          <w:rFonts w:ascii="ITC Avant Garde" w:eastAsia="Times New Roman" w:hAnsi="ITC Avant Garde"/>
          <w:bCs/>
          <w:lang w:val="es-ES" w:eastAsia="es-MX"/>
        </w:rPr>
        <w:t>2011</w:t>
      </w:r>
      <w:r w:rsidRPr="00A06D0A">
        <w:rPr>
          <w:rFonts w:ascii="ITC Avant Garde" w:eastAsia="Times New Roman" w:hAnsi="ITC Avant Garde"/>
          <w:bCs/>
          <w:lang w:val="es-ES" w:eastAsia="es-MX"/>
        </w:rPr>
        <w:t xml:space="preserve">, la extinta </w:t>
      </w:r>
      <w:r w:rsidR="005374C2" w:rsidRPr="00A06D0A">
        <w:rPr>
          <w:rFonts w:ascii="ITC Avant Garde" w:eastAsia="Times New Roman" w:hAnsi="ITC Avant Garde"/>
          <w:bCs/>
          <w:lang w:val="es-ES" w:eastAsia="es-MX"/>
        </w:rPr>
        <w:t>Comisión</w:t>
      </w:r>
      <w:r w:rsidRPr="00A06D0A">
        <w:rPr>
          <w:rFonts w:ascii="ITC Avant Garde" w:eastAsia="Times New Roman" w:hAnsi="ITC Avant Garde"/>
          <w:bCs/>
          <w:lang w:val="es-ES" w:eastAsia="es-MX"/>
        </w:rPr>
        <w:t xml:space="preserve">, expidió a favor </w:t>
      </w:r>
      <w:r w:rsidR="005374C2" w:rsidRPr="00A06D0A">
        <w:rPr>
          <w:rFonts w:ascii="ITC Avant Garde" w:eastAsia="Times New Roman" w:hAnsi="ITC Avant Garde"/>
          <w:bCs/>
          <w:lang w:val="es-ES" w:eastAsia="es-MX"/>
        </w:rPr>
        <w:t>GSAT COMUNICACIONES, S.A. de C.V.</w:t>
      </w:r>
      <w:r w:rsidRPr="00A06D0A">
        <w:rPr>
          <w:rFonts w:ascii="ITC Avant Garde" w:eastAsia="Times New Roman" w:hAnsi="ITC Avant Garde"/>
          <w:bCs/>
          <w:lang w:val="es-ES" w:eastAsia="es-MX"/>
        </w:rPr>
        <w:t>, una constancia de Registro de Servicios de Valor Agregado</w:t>
      </w:r>
      <w:r w:rsidR="00E16E9B">
        <w:rPr>
          <w:rFonts w:ascii="ITC Avant Garde" w:eastAsia="Times New Roman" w:hAnsi="ITC Avant Garde"/>
          <w:bCs/>
          <w:lang w:val="es-ES" w:eastAsia="es-MX"/>
        </w:rPr>
        <w:t xml:space="preserve"> con registro SVA-033/2011</w:t>
      </w:r>
      <w:r w:rsidRPr="00A06D0A">
        <w:rPr>
          <w:rFonts w:ascii="ITC Avant Garde" w:eastAsia="Times New Roman" w:hAnsi="ITC Avant Garde"/>
          <w:bCs/>
          <w:lang w:val="es-ES" w:eastAsia="es-MX"/>
        </w:rPr>
        <w:t xml:space="preserve">, la cual comprende los servicios de </w:t>
      </w:r>
      <w:r w:rsidR="005374C2" w:rsidRPr="00A06D0A">
        <w:rPr>
          <w:rFonts w:ascii="ITC Avant Garde" w:eastAsia="Times New Roman" w:hAnsi="ITC Avant Garde"/>
          <w:bCs/>
          <w:lang w:val="es-ES" w:eastAsia="es-MX"/>
        </w:rPr>
        <w:t xml:space="preserve">procesamiento remoto de datos, intercambio </w:t>
      </w:r>
      <w:r w:rsidR="005374C2" w:rsidRPr="00A06D0A">
        <w:rPr>
          <w:rFonts w:ascii="ITC Avant Garde" w:eastAsia="Times New Roman" w:hAnsi="ITC Avant Garde"/>
          <w:bCs/>
          <w:lang w:val="es-ES" w:eastAsia="es-MX"/>
        </w:rPr>
        <w:lastRenderedPageBreak/>
        <w:t>electrónico de datos, correo electrónico de datos, consulta remota a bases de datos y provisión de acceso a internet</w:t>
      </w:r>
      <w:r w:rsidRPr="00A06D0A">
        <w:rPr>
          <w:rFonts w:ascii="ITC Avant Garde" w:eastAsia="Times New Roman" w:hAnsi="ITC Avant Garde"/>
          <w:bCs/>
          <w:lang w:val="es-ES" w:eastAsia="es-MX"/>
        </w:rPr>
        <w:t>.</w:t>
      </w:r>
    </w:p>
    <w:p w14:paraId="0966B1ED" w14:textId="3CEEDD33" w:rsidR="00E859C2" w:rsidRPr="00A06D0A" w:rsidRDefault="00E859C2" w:rsidP="00A16B88">
      <w:pPr>
        <w:numPr>
          <w:ilvl w:val="0"/>
          <w:numId w:val="4"/>
        </w:numPr>
        <w:spacing w:before="240" w:after="0" w:line="240" w:lineRule="auto"/>
        <w:ind w:left="567"/>
        <w:jc w:val="both"/>
        <w:rPr>
          <w:rFonts w:ascii="ITC Avant Garde" w:hAnsi="ITC Avant Garde"/>
          <w:bCs/>
          <w:lang w:eastAsia="es-MX"/>
        </w:rPr>
      </w:pPr>
      <w:r w:rsidRPr="00A06D0A">
        <w:rPr>
          <w:rFonts w:ascii="ITC Avant Garde" w:hAnsi="ITC Avant Garde"/>
          <w:b/>
          <w:bCs/>
          <w:lang w:eastAsia="es-MX"/>
        </w:rPr>
        <w:t xml:space="preserve">Decreto de Reforma Constitucional. </w:t>
      </w:r>
      <w:r w:rsidRPr="00A06D0A">
        <w:rPr>
          <w:rFonts w:ascii="ITC Avant Garde" w:hAnsi="ITC Avant Garde"/>
          <w:bCs/>
          <w:lang w:eastAsia="es-MX"/>
        </w:rPr>
        <w:t>Con fecha 11 de junio de 2013, se publicó en el Diario Oficial de la Federación el “</w:t>
      </w:r>
      <w:r w:rsidRPr="00A06D0A">
        <w:rPr>
          <w:rFonts w:ascii="ITC Avant Garde" w:hAnsi="ITC Avant Garde"/>
          <w:bCs/>
          <w:i/>
          <w:lang w:eastAsia="es-MX"/>
        </w:rPr>
        <w:t>Decreto por el que se reforman y adicionan diversas disposiciones de los artículos 6o., 7o., 27, 28, 73, 78, 94 y 105 de la Constitución Política de los Estados Unidos Mexicanos, en materia de telecomunicaciones</w:t>
      </w:r>
      <w:r w:rsidRPr="00A06D0A">
        <w:rPr>
          <w:rFonts w:ascii="ITC Avant Garde" w:hAnsi="ITC Avant Garde"/>
          <w:bCs/>
          <w:lang w:eastAsia="es-MX"/>
        </w:rPr>
        <w:t>” (el “Decreto de Reforma Constitucional”), mediante el cual se creó el Instituto Federal de Tele</w:t>
      </w:r>
      <w:r w:rsidR="0079766B" w:rsidRPr="00A06D0A">
        <w:rPr>
          <w:rFonts w:ascii="ITC Avant Garde" w:hAnsi="ITC Avant Garde"/>
          <w:bCs/>
          <w:lang w:eastAsia="es-MX"/>
        </w:rPr>
        <w:t>comunicaciones (el “Instituto”), como un órgano autónomo que tiene por objeto el desarrollo eficiente de la radiodifusión y las telecomunicaciones.</w:t>
      </w:r>
    </w:p>
    <w:p w14:paraId="40E418AC" w14:textId="51BF0C45" w:rsidR="00D04074" w:rsidRPr="00A06D0A" w:rsidRDefault="00D04074" w:rsidP="00A16B88">
      <w:pPr>
        <w:numPr>
          <w:ilvl w:val="0"/>
          <w:numId w:val="4"/>
        </w:numPr>
        <w:spacing w:before="240" w:after="0" w:line="240" w:lineRule="auto"/>
        <w:ind w:left="567"/>
        <w:jc w:val="both"/>
        <w:rPr>
          <w:rFonts w:ascii="ITC Avant Garde" w:hAnsi="ITC Avant Garde"/>
          <w:bCs/>
          <w:lang w:eastAsia="es-MX"/>
        </w:rPr>
      </w:pPr>
      <w:r w:rsidRPr="00A06D0A">
        <w:rPr>
          <w:rFonts w:ascii="ITC Avant Garde" w:hAnsi="ITC Avant Garde"/>
          <w:b/>
          <w:bCs/>
          <w:lang w:eastAsia="es-MX"/>
        </w:rPr>
        <w:t xml:space="preserve">Decreto de Ley. </w:t>
      </w:r>
      <w:r w:rsidRPr="00A06D0A">
        <w:rPr>
          <w:rFonts w:ascii="ITC Avant Garde" w:hAnsi="ITC Avant Garde"/>
          <w:bCs/>
          <w:lang w:eastAsia="es-MX"/>
        </w:rPr>
        <w:t>El 14 de julio de 2014, se publicó en el Diario Oficial de la Federación el “</w:t>
      </w:r>
      <w:r w:rsidRPr="00A06D0A">
        <w:rPr>
          <w:rFonts w:ascii="ITC Avant Garde" w:hAnsi="ITC Avant Garde"/>
          <w:bCs/>
          <w:i/>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A06D0A">
        <w:rPr>
          <w:rFonts w:ascii="ITC Avant Garde" w:hAnsi="ITC Avant Garde"/>
          <w:bCs/>
          <w:lang w:eastAsia="es-MX"/>
        </w:rPr>
        <w:t>” (el “Decreto de Ley</w:t>
      </w:r>
      <w:r w:rsidR="00A771B4" w:rsidRPr="00A06D0A">
        <w:rPr>
          <w:rFonts w:ascii="ITC Avant Garde" w:hAnsi="ITC Avant Garde"/>
          <w:bCs/>
          <w:lang w:eastAsia="es-MX"/>
        </w:rPr>
        <w:t>”)</w:t>
      </w:r>
      <w:r w:rsidR="00C32B0E" w:rsidRPr="00A06D0A">
        <w:rPr>
          <w:rFonts w:ascii="ITC Avant Garde" w:hAnsi="ITC Avant Garde"/>
          <w:bCs/>
          <w:lang w:eastAsia="es-MX"/>
        </w:rPr>
        <w:t>, mismo que entró en vigor el 13 de agosto de 2014</w:t>
      </w:r>
      <w:r w:rsidR="00DE77AB" w:rsidRPr="00A06D0A">
        <w:rPr>
          <w:rFonts w:ascii="ITC Avant Garde" w:hAnsi="ITC Avant Garde"/>
          <w:bCs/>
          <w:lang w:eastAsia="es-MX"/>
        </w:rPr>
        <w:t>.</w:t>
      </w:r>
    </w:p>
    <w:p w14:paraId="5EF0C753" w14:textId="677540CD" w:rsidR="00141FE7" w:rsidRPr="00A06D0A" w:rsidRDefault="00141FE7" w:rsidP="00A16B88">
      <w:pPr>
        <w:numPr>
          <w:ilvl w:val="0"/>
          <w:numId w:val="4"/>
        </w:numPr>
        <w:spacing w:before="240" w:after="0" w:line="240" w:lineRule="auto"/>
        <w:ind w:left="567"/>
        <w:jc w:val="both"/>
        <w:rPr>
          <w:rFonts w:ascii="ITC Avant Garde" w:hAnsi="ITC Avant Garde"/>
          <w:bCs/>
          <w:lang w:eastAsia="es-MX"/>
        </w:rPr>
      </w:pPr>
      <w:r w:rsidRPr="00A06D0A">
        <w:rPr>
          <w:rFonts w:ascii="ITC Avant Garde" w:hAnsi="ITC Avant Garde" w:cs="Arial"/>
          <w:b/>
          <w:bCs/>
          <w:shd w:val="clear" w:color="auto" w:fill="FFFFFF"/>
        </w:rPr>
        <w:t>Estatuto Orgánico.</w:t>
      </w:r>
      <w:r w:rsidRPr="00A06D0A">
        <w:rPr>
          <w:rStyle w:val="apple-converted-space"/>
          <w:rFonts w:ascii="ITC Avant Garde" w:hAnsi="ITC Avant Garde" w:cs="Arial"/>
          <w:b/>
          <w:bCs/>
          <w:shd w:val="clear" w:color="auto" w:fill="FFFFFF"/>
        </w:rPr>
        <w:t xml:space="preserve"> </w:t>
      </w:r>
      <w:r w:rsidRPr="00A06D0A">
        <w:rPr>
          <w:rFonts w:ascii="ITC Avant Garde" w:hAnsi="ITC Avant Garde"/>
          <w:shd w:val="clear" w:color="auto" w:fill="FFFFFF"/>
        </w:rPr>
        <w:t>El 4 de septiembre de 2014, se publicó en el Diario Oficial de la Federación el “</w:t>
      </w:r>
      <w:r w:rsidRPr="00A06D0A">
        <w:rPr>
          <w:rFonts w:ascii="ITC Avant Garde" w:hAnsi="ITC Avant Garde"/>
          <w:i/>
          <w:shd w:val="clear" w:color="auto" w:fill="FFFFFF"/>
        </w:rPr>
        <w:t>Estatuto Orgánico del Instituto Federal de Telecomunicaciones</w:t>
      </w:r>
      <w:r w:rsidRPr="00A06D0A">
        <w:rPr>
          <w:rFonts w:ascii="ITC Avant Garde" w:hAnsi="ITC Avant Garde"/>
          <w:shd w:val="clear" w:color="auto" w:fill="FFFFFF"/>
        </w:rPr>
        <w:t>” (el “Estatuto Orgánico”), mismo que entró en vigor el 26 de septiembre de 2014</w:t>
      </w:r>
      <w:r w:rsidR="00A407D2" w:rsidRPr="00A06D0A">
        <w:rPr>
          <w:rFonts w:ascii="ITC Avant Garde" w:hAnsi="ITC Avant Garde"/>
          <w:shd w:val="clear" w:color="auto" w:fill="FFFFFF"/>
        </w:rPr>
        <w:t>,</w:t>
      </w:r>
      <w:r w:rsidR="00F17554" w:rsidRPr="00A06D0A">
        <w:rPr>
          <w:rFonts w:ascii="ITC Avant Garde" w:hAnsi="ITC Avant Garde"/>
          <w:shd w:val="clear" w:color="auto" w:fill="FFFFFF"/>
        </w:rPr>
        <w:t xml:space="preserve"> </w:t>
      </w:r>
      <w:r w:rsidR="00F17554" w:rsidRPr="00A06D0A">
        <w:rPr>
          <w:rFonts w:ascii="ITC Avant Garde" w:hAnsi="ITC Avant Garde"/>
          <w:bCs/>
          <w:shd w:val="clear" w:color="auto" w:fill="FFFFFF"/>
        </w:rPr>
        <w:t xml:space="preserve">y fue modificado el 17 </w:t>
      </w:r>
      <w:r w:rsidR="00DE5B40">
        <w:rPr>
          <w:rFonts w:ascii="ITC Avant Garde" w:hAnsi="ITC Avant Garde"/>
          <w:bCs/>
          <w:shd w:val="clear" w:color="auto" w:fill="FFFFFF"/>
        </w:rPr>
        <w:t xml:space="preserve">de octubre </w:t>
      </w:r>
      <w:r w:rsidR="0057333B" w:rsidRPr="00A06D0A">
        <w:rPr>
          <w:rFonts w:ascii="ITC Avant Garde" w:hAnsi="ITC Avant Garde"/>
          <w:bCs/>
          <w:shd w:val="clear" w:color="auto" w:fill="FFFFFF"/>
        </w:rPr>
        <w:t>del mismo año</w:t>
      </w:r>
      <w:r w:rsidRPr="00A06D0A">
        <w:rPr>
          <w:rFonts w:ascii="ITC Avant Garde" w:hAnsi="ITC Avant Garde"/>
          <w:shd w:val="clear" w:color="auto" w:fill="FFFFFF"/>
        </w:rPr>
        <w:t>.</w:t>
      </w:r>
    </w:p>
    <w:p w14:paraId="05C5364D" w14:textId="2BD7E4BF" w:rsidR="00DE77AB" w:rsidRPr="007D50F7" w:rsidRDefault="00DE77AB" w:rsidP="00A16B88">
      <w:pPr>
        <w:numPr>
          <w:ilvl w:val="0"/>
          <w:numId w:val="4"/>
        </w:numPr>
        <w:spacing w:before="240" w:after="0" w:line="240" w:lineRule="auto"/>
        <w:ind w:left="567"/>
        <w:jc w:val="both"/>
        <w:rPr>
          <w:rFonts w:ascii="ITC Avant Garde" w:hAnsi="ITC Avant Garde"/>
          <w:bCs/>
          <w:lang w:eastAsia="es-MX"/>
        </w:rPr>
      </w:pPr>
      <w:r w:rsidRPr="007D50F7">
        <w:rPr>
          <w:rFonts w:ascii="ITC Avant Garde" w:hAnsi="ITC Avant Garde"/>
          <w:b/>
          <w:bCs/>
          <w:lang w:eastAsia="es-MX"/>
        </w:rPr>
        <w:t xml:space="preserve">Solicitud de Enajenación </w:t>
      </w:r>
      <w:r w:rsidR="004133E4">
        <w:rPr>
          <w:rFonts w:ascii="ITC Avant Garde" w:hAnsi="ITC Avant Garde"/>
          <w:b/>
          <w:bCs/>
          <w:lang w:eastAsia="es-MX"/>
        </w:rPr>
        <w:t xml:space="preserve">y Suscripción </w:t>
      </w:r>
      <w:r w:rsidRPr="007D50F7">
        <w:rPr>
          <w:rFonts w:ascii="ITC Avant Garde" w:hAnsi="ITC Avant Garde"/>
          <w:b/>
          <w:bCs/>
          <w:lang w:eastAsia="es-MX"/>
        </w:rPr>
        <w:t>de Acciones.</w:t>
      </w:r>
      <w:r w:rsidRPr="007D50F7">
        <w:rPr>
          <w:rFonts w:ascii="ITC Avant Garde" w:hAnsi="ITC Avant Garde"/>
          <w:bCs/>
          <w:lang w:eastAsia="es-MX"/>
        </w:rPr>
        <w:t xml:space="preserve"> Con escrito</w:t>
      </w:r>
      <w:r w:rsidR="002D08D4" w:rsidRPr="007D50F7">
        <w:rPr>
          <w:rFonts w:ascii="ITC Avant Garde" w:hAnsi="ITC Avant Garde"/>
          <w:bCs/>
          <w:lang w:eastAsia="es-MX"/>
        </w:rPr>
        <w:t>s</w:t>
      </w:r>
      <w:r w:rsidRPr="007D50F7">
        <w:rPr>
          <w:rFonts w:ascii="ITC Avant Garde" w:hAnsi="ITC Avant Garde"/>
          <w:bCs/>
          <w:lang w:eastAsia="es-MX"/>
        </w:rPr>
        <w:t xml:space="preserve"> presentado</w:t>
      </w:r>
      <w:r w:rsidR="008D0688" w:rsidRPr="007D50F7">
        <w:rPr>
          <w:rFonts w:ascii="ITC Avant Garde" w:hAnsi="ITC Avant Garde"/>
          <w:bCs/>
          <w:lang w:eastAsia="es-MX"/>
        </w:rPr>
        <w:t>s</w:t>
      </w:r>
      <w:r w:rsidRPr="007D50F7">
        <w:rPr>
          <w:rFonts w:ascii="ITC Avant Garde" w:hAnsi="ITC Avant Garde"/>
          <w:bCs/>
          <w:lang w:eastAsia="es-MX"/>
        </w:rPr>
        <w:t xml:space="preserve"> ante el Instituto el </w:t>
      </w:r>
      <w:r w:rsidR="00A15C1A" w:rsidRPr="007D50F7">
        <w:rPr>
          <w:rFonts w:ascii="ITC Avant Garde" w:hAnsi="ITC Avant Garde"/>
          <w:bCs/>
          <w:lang w:eastAsia="es-MX"/>
        </w:rPr>
        <w:t xml:space="preserve">24 de febrero </w:t>
      </w:r>
      <w:r w:rsidR="0016161E" w:rsidRPr="007D50F7">
        <w:rPr>
          <w:rFonts w:ascii="ITC Avant Garde" w:hAnsi="ITC Avant Garde"/>
          <w:bCs/>
          <w:lang w:eastAsia="es-MX"/>
        </w:rPr>
        <w:t xml:space="preserve">y </w:t>
      </w:r>
      <w:r w:rsidR="00A15C1A" w:rsidRPr="007D50F7">
        <w:rPr>
          <w:rFonts w:ascii="ITC Avant Garde" w:hAnsi="ITC Avant Garde"/>
          <w:bCs/>
          <w:lang w:eastAsia="es-MX"/>
        </w:rPr>
        <w:t>18 de marzo de 2016</w:t>
      </w:r>
      <w:r w:rsidRPr="007D50F7">
        <w:rPr>
          <w:rFonts w:ascii="ITC Avant Garde" w:hAnsi="ITC Avant Garde"/>
          <w:bCs/>
          <w:lang w:eastAsia="es-MX"/>
        </w:rPr>
        <w:t xml:space="preserve">, </w:t>
      </w:r>
      <w:r w:rsidR="00A407D2" w:rsidRPr="007D50F7">
        <w:rPr>
          <w:rFonts w:ascii="ITC Avant Garde" w:hAnsi="ITC Avant Garde"/>
          <w:bCs/>
          <w:lang w:eastAsia="es-MX"/>
        </w:rPr>
        <w:t>el</w:t>
      </w:r>
      <w:r w:rsidR="003B4299" w:rsidRPr="007D50F7">
        <w:rPr>
          <w:rFonts w:ascii="ITC Avant Garde" w:hAnsi="ITC Avant Garde"/>
          <w:bCs/>
          <w:lang w:eastAsia="es-MX"/>
        </w:rPr>
        <w:t xml:space="preserve"> representante</w:t>
      </w:r>
      <w:r w:rsidRPr="007D50F7">
        <w:rPr>
          <w:rFonts w:ascii="ITC Avant Garde" w:hAnsi="ITC Avant Garde"/>
          <w:bCs/>
          <w:lang w:eastAsia="es-MX"/>
        </w:rPr>
        <w:t xml:space="preserve"> legal de </w:t>
      </w:r>
      <w:r w:rsidR="00A15C1A" w:rsidRPr="007D50F7">
        <w:rPr>
          <w:rFonts w:ascii="ITC Avant Garde" w:eastAsia="Times New Roman" w:hAnsi="ITC Avant Garde"/>
          <w:bCs/>
          <w:lang w:val="es-ES" w:eastAsia="es-MX"/>
        </w:rPr>
        <w:t>GSAT COMUNICACIONES, S.A. de C.V</w:t>
      </w:r>
      <w:r w:rsidR="00A069B9" w:rsidRPr="007D50F7">
        <w:rPr>
          <w:rFonts w:ascii="ITC Avant Garde" w:eastAsia="Times New Roman" w:hAnsi="ITC Avant Garde"/>
          <w:bCs/>
          <w:lang w:val="es-ES" w:eastAsia="es-MX"/>
        </w:rPr>
        <w:t>.</w:t>
      </w:r>
      <w:r w:rsidR="001B7748" w:rsidRPr="007D50F7">
        <w:rPr>
          <w:rFonts w:ascii="ITC Avant Garde" w:hAnsi="ITC Avant Garde"/>
          <w:bCs/>
          <w:lang w:eastAsia="es-MX"/>
        </w:rPr>
        <w:t>,</w:t>
      </w:r>
      <w:r w:rsidR="003B4299" w:rsidRPr="007D50F7">
        <w:rPr>
          <w:rFonts w:ascii="ITC Avant Garde" w:hAnsi="ITC Avant Garde"/>
          <w:bCs/>
          <w:lang w:eastAsia="es-MX"/>
        </w:rPr>
        <w:t xml:space="preserve"> </w:t>
      </w:r>
      <w:r w:rsidR="00C82D3B" w:rsidRPr="007D50F7">
        <w:rPr>
          <w:rFonts w:ascii="ITC Avant Garde" w:hAnsi="ITC Avant Garde"/>
          <w:bCs/>
          <w:lang w:eastAsia="es-MX"/>
        </w:rPr>
        <w:t xml:space="preserve">informó </w:t>
      </w:r>
      <w:r w:rsidRPr="007D50F7">
        <w:rPr>
          <w:rFonts w:ascii="ITC Avant Garde" w:hAnsi="ITC Avant Garde"/>
          <w:bCs/>
          <w:lang w:eastAsia="es-MX"/>
        </w:rPr>
        <w:t xml:space="preserve">la intención de su representada de llevar a cabo </w:t>
      </w:r>
      <w:r w:rsidR="00942868">
        <w:rPr>
          <w:rFonts w:ascii="ITC Avant Garde" w:hAnsi="ITC Avant Garde"/>
          <w:bCs/>
          <w:lang w:eastAsia="es-MX"/>
        </w:rPr>
        <w:t xml:space="preserve">lo siguiente: i) el aumento del capital social de la empresa, mediante la emisión de 55,616 (cincuenta y cinco mil seiscientos dieciséis) acciones </w:t>
      </w:r>
      <w:r w:rsidR="00566419" w:rsidRPr="00A02715">
        <w:rPr>
          <w:rFonts w:ascii="ITC Avant Garde" w:eastAsia="Times New Roman" w:hAnsi="ITC Avant Garde"/>
          <w:b/>
          <w:bCs/>
          <w:color w:val="0000CC"/>
          <w:sz w:val="20"/>
          <w:szCs w:val="20"/>
          <w:lang w:eastAsia="es-MX"/>
        </w:rPr>
        <w:t>RESERVADO POR LEY</w:t>
      </w:r>
      <w:r w:rsidR="00942868">
        <w:rPr>
          <w:rFonts w:ascii="ITC Avant Garde" w:hAnsi="ITC Avant Garde"/>
          <w:bCs/>
          <w:lang w:eastAsia="es-MX"/>
        </w:rPr>
        <w:t xml:space="preserve">, que serán suscritas por </w:t>
      </w:r>
      <w:r w:rsidR="00942868" w:rsidRPr="007D50F7">
        <w:rPr>
          <w:rFonts w:ascii="ITC Avant Garde" w:hAnsi="ITC Avant Garde"/>
          <w:bCs/>
          <w:lang w:eastAsia="es-MX"/>
        </w:rPr>
        <w:t>DATA COMUNICACIONES DE MÉXICO, S.A. de C.V.</w:t>
      </w:r>
      <w:r w:rsidR="00942868">
        <w:rPr>
          <w:rFonts w:ascii="ITC Avant Garde" w:hAnsi="ITC Avant Garde"/>
          <w:bCs/>
          <w:lang w:eastAsia="es-MX"/>
        </w:rPr>
        <w:t xml:space="preserve">, y ii) </w:t>
      </w:r>
      <w:r w:rsidR="00B45B86">
        <w:rPr>
          <w:rFonts w:ascii="ITC Avant Garde" w:hAnsi="ITC Avant Garde"/>
          <w:bCs/>
          <w:lang w:eastAsia="es-MX"/>
        </w:rPr>
        <w:t xml:space="preserve">la enajenación de 1 (una) acción de </w:t>
      </w:r>
      <w:r w:rsidR="00B45B86" w:rsidRPr="007D50F7">
        <w:rPr>
          <w:rFonts w:ascii="ITC Avant Garde" w:eastAsia="Times New Roman" w:hAnsi="ITC Avant Garde"/>
          <w:bCs/>
          <w:lang w:val="es-ES" w:eastAsia="es-MX"/>
        </w:rPr>
        <w:t>GSAT COMUNICACIONES, S.A. de C.V.</w:t>
      </w:r>
      <w:r w:rsidR="00B45B86">
        <w:rPr>
          <w:rFonts w:ascii="ITC Avant Garde" w:hAnsi="ITC Avant Garde"/>
          <w:bCs/>
          <w:lang w:eastAsia="es-MX"/>
        </w:rPr>
        <w:t xml:space="preserve"> de la cual es titular el C. Ramón Rómulo Ceballos</w:t>
      </w:r>
      <w:r w:rsidR="00910F22">
        <w:rPr>
          <w:rFonts w:ascii="ITC Avant Garde" w:hAnsi="ITC Avant Garde"/>
          <w:bCs/>
          <w:lang w:eastAsia="es-MX"/>
        </w:rPr>
        <w:t xml:space="preserve"> de Cima</w:t>
      </w:r>
      <w:r w:rsidR="00421F83">
        <w:rPr>
          <w:rFonts w:ascii="ITC Avant Garde" w:hAnsi="ITC Avant Garde"/>
          <w:bCs/>
          <w:lang w:eastAsia="es-MX"/>
        </w:rPr>
        <w:t xml:space="preserve">, en favor de </w:t>
      </w:r>
      <w:r w:rsidR="00421F83" w:rsidRPr="007D50F7">
        <w:rPr>
          <w:rFonts w:ascii="ITC Avant Garde" w:hAnsi="ITC Avant Garde"/>
          <w:bCs/>
          <w:lang w:eastAsia="es-MX"/>
        </w:rPr>
        <w:t>DATA COMUNICACIONES DE MÉXICO, S.A. de C.V.</w:t>
      </w:r>
      <w:r w:rsidR="00421F83">
        <w:rPr>
          <w:rFonts w:ascii="ITC Avant Garde" w:hAnsi="ITC Avant Garde"/>
          <w:bCs/>
          <w:lang w:eastAsia="es-MX"/>
        </w:rPr>
        <w:t xml:space="preserve"> </w:t>
      </w:r>
      <w:r w:rsidRPr="007D50F7">
        <w:rPr>
          <w:rFonts w:ascii="ITC Avant Garde" w:hAnsi="ITC Avant Garde"/>
          <w:bCs/>
          <w:lang w:eastAsia="es-MX"/>
        </w:rPr>
        <w:t>(la “Solicitud de Enajenación</w:t>
      </w:r>
      <w:r w:rsidR="00637B22">
        <w:rPr>
          <w:rFonts w:ascii="ITC Avant Garde" w:hAnsi="ITC Avant Garde"/>
          <w:bCs/>
          <w:lang w:eastAsia="es-MX"/>
        </w:rPr>
        <w:t xml:space="preserve"> y Suscripción</w:t>
      </w:r>
      <w:r w:rsidRPr="007D50F7">
        <w:rPr>
          <w:rFonts w:ascii="ITC Avant Garde" w:hAnsi="ITC Avant Garde"/>
          <w:bCs/>
          <w:lang w:eastAsia="es-MX"/>
        </w:rPr>
        <w:t xml:space="preserve"> de Acciones”).</w:t>
      </w:r>
    </w:p>
    <w:p w14:paraId="09936584" w14:textId="3598368F" w:rsidR="00581FDE" w:rsidRPr="00A06D0A" w:rsidRDefault="00581FDE" w:rsidP="00A16B88">
      <w:pPr>
        <w:numPr>
          <w:ilvl w:val="0"/>
          <w:numId w:val="4"/>
        </w:numPr>
        <w:spacing w:before="240" w:after="0" w:line="240" w:lineRule="auto"/>
        <w:ind w:left="567"/>
        <w:jc w:val="both"/>
        <w:rPr>
          <w:rFonts w:ascii="ITC Avant Garde" w:hAnsi="ITC Avant Garde"/>
          <w:bCs/>
          <w:lang w:eastAsia="es-MX"/>
        </w:rPr>
      </w:pPr>
      <w:r w:rsidRPr="00A06D0A">
        <w:rPr>
          <w:rFonts w:ascii="ITC Avant Garde" w:hAnsi="ITC Avant Garde"/>
          <w:b/>
          <w:shd w:val="clear" w:color="auto" w:fill="FFFFFF"/>
        </w:rPr>
        <w:t>Solicitud de Opinión Técnica.</w:t>
      </w:r>
      <w:r w:rsidRPr="00A06D0A">
        <w:rPr>
          <w:rFonts w:ascii="ITC Avant Garde" w:hAnsi="ITC Avant Garde"/>
          <w:shd w:val="clear" w:color="auto" w:fill="FFFFFF"/>
        </w:rPr>
        <w:t xml:space="preserve"> </w:t>
      </w:r>
      <w:r w:rsidR="001E7950" w:rsidRPr="00A06D0A">
        <w:rPr>
          <w:rFonts w:ascii="ITC Avant Garde" w:hAnsi="ITC Avant Garde"/>
          <w:bCs/>
          <w:lang w:eastAsia="es-MX"/>
        </w:rPr>
        <w:t>Mediante oficio IFT/</w:t>
      </w:r>
      <w:r w:rsidR="00141FE7" w:rsidRPr="00A06D0A">
        <w:rPr>
          <w:rFonts w:ascii="ITC Avant Garde" w:hAnsi="ITC Avant Garde"/>
          <w:bCs/>
          <w:lang w:eastAsia="es-MX"/>
        </w:rPr>
        <w:t>223/UCS</w:t>
      </w:r>
      <w:r w:rsidR="001E7950" w:rsidRPr="00A06D0A">
        <w:rPr>
          <w:rFonts w:ascii="ITC Avant Garde" w:hAnsi="ITC Avant Garde"/>
          <w:bCs/>
          <w:lang w:eastAsia="es-MX"/>
        </w:rPr>
        <w:t>/</w:t>
      </w:r>
      <w:r w:rsidR="006C4E42" w:rsidRPr="00A06D0A">
        <w:rPr>
          <w:rFonts w:ascii="ITC Avant Garde" w:hAnsi="ITC Avant Garde"/>
          <w:bCs/>
          <w:lang w:eastAsia="es-MX"/>
        </w:rPr>
        <w:t>368</w:t>
      </w:r>
      <w:r w:rsidR="001E7950" w:rsidRPr="00A06D0A">
        <w:rPr>
          <w:rFonts w:ascii="ITC Avant Garde" w:hAnsi="ITC Avant Garde"/>
          <w:bCs/>
          <w:lang w:eastAsia="es-MX"/>
        </w:rPr>
        <w:t>/201</w:t>
      </w:r>
      <w:r w:rsidR="006C4E42" w:rsidRPr="00A06D0A">
        <w:rPr>
          <w:rFonts w:ascii="ITC Avant Garde" w:hAnsi="ITC Avant Garde"/>
          <w:bCs/>
          <w:lang w:eastAsia="es-MX"/>
        </w:rPr>
        <w:t>6</w:t>
      </w:r>
      <w:r w:rsidR="001E7950" w:rsidRPr="00A06D0A">
        <w:rPr>
          <w:rFonts w:ascii="ITC Avant Garde" w:hAnsi="ITC Avant Garde"/>
          <w:bCs/>
          <w:lang w:eastAsia="es-MX"/>
        </w:rPr>
        <w:t xml:space="preserve"> notificado el</w:t>
      </w:r>
      <w:r w:rsidRPr="00A06D0A">
        <w:rPr>
          <w:rFonts w:ascii="ITC Avant Garde" w:hAnsi="ITC Avant Garde"/>
          <w:bCs/>
          <w:lang w:eastAsia="es-MX"/>
        </w:rPr>
        <w:t xml:space="preserve"> </w:t>
      </w:r>
      <w:r w:rsidR="006C4E42" w:rsidRPr="00A06D0A">
        <w:rPr>
          <w:rFonts w:ascii="ITC Avant Garde" w:hAnsi="ITC Avant Garde"/>
          <w:bCs/>
          <w:lang w:eastAsia="es-MX"/>
        </w:rPr>
        <w:t>3</w:t>
      </w:r>
      <w:r w:rsidR="004125E6" w:rsidRPr="00A06D0A">
        <w:rPr>
          <w:rFonts w:ascii="ITC Avant Garde" w:hAnsi="ITC Avant Garde"/>
          <w:bCs/>
          <w:lang w:eastAsia="es-MX"/>
        </w:rPr>
        <w:t xml:space="preserve"> de </w:t>
      </w:r>
      <w:r w:rsidR="006C4E42" w:rsidRPr="00A06D0A">
        <w:rPr>
          <w:rFonts w:ascii="ITC Avant Garde" w:hAnsi="ITC Avant Garde"/>
          <w:bCs/>
          <w:lang w:eastAsia="es-MX"/>
        </w:rPr>
        <w:t xml:space="preserve">marzo </w:t>
      </w:r>
      <w:r w:rsidRPr="00A06D0A">
        <w:rPr>
          <w:rFonts w:ascii="ITC Avant Garde" w:hAnsi="ITC Avant Garde"/>
          <w:bCs/>
          <w:lang w:eastAsia="es-MX"/>
        </w:rPr>
        <w:t>de 201</w:t>
      </w:r>
      <w:r w:rsidR="006C4E42" w:rsidRPr="00A06D0A">
        <w:rPr>
          <w:rFonts w:ascii="ITC Avant Garde" w:hAnsi="ITC Avant Garde"/>
          <w:bCs/>
          <w:lang w:eastAsia="es-MX"/>
        </w:rPr>
        <w:t>6</w:t>
      </w:r>
      <w:r w:rsidRPr="00A06D0A">
        <w:rPr>
          <w:rFonts w:ascii="ITC Avant Garde" w:hAnsi="ITC Avant Garde"/>
          <w:bCs/>
          <w:lang w:eastAsia="es-MX"/>
        </w:rPr>
        <w:t xml:space="preserve">, </w:t>
      </w:r>
      <w:r w:rsidR="00141FE7" w:rsidRPr="00A06D0A">
        <w:rPr>
          <w:rFonts w:ascii="ITC Avant Garde" w:hAnsi="ITC Avant Garde"/>
          <w:bCs/>
          <w:lang w:eastAsia="es-MX"/>
        </w:rPr>
        <w:t>la Unidad de Concesiones y Servicio</w:t>
      </w:r>
      <w:r w:rsidR="00CB4DA2" w:rsidRPr="00A06D0A">
        <w:rPr>
          <w:rFonts w:ascii="ITC Avant Garde" w:hAnsi="ITC Avant Garde"/>
          <w:bCs/>
          <w:lang w:eastAsia="es-MX"/>
        </w:rPr>
        <w:t>s</w:t>
      </w:r>
      <w:r w:rsidR="00141FE7" w:rsidRPr="00A06D0A">
        <w:rPr>
          <w:rFonts w:ascii="ITC Avant Garde" w:hAnsi="ITC Avant Garde"/>
          <w:bCs/>
          <w:lang w:eastAsia="es-MX"/>
        </w:rPr>
        <w:t xml:space="preserve"> del</w:t>
      </w:r>
      <w:r w:rsidRPr="00A06D0A">
        <w:rPr>
          <w:rFonts w:ascii="ITC Avant Garde" w:hAnsi="ITC Avant Garde"/>
          <w:bCs/>
          <w:lang w:eastAsia="es-MX"/>
        </w:rPr>
        <w:t xml:space="preserve"> Instituto solicitó a la Secretaría</w:t>
      </w:r>
      <w:r w:rsidR="00141FE7" w:rsidRPr="00A06D0A">
        <w:rPr>
          <w:rFonts w:ascii="ITC Avant Garde" w:hAnsi="ITC Avant Garde"/>
          <w:bCs/>
          <w:lang w:eastAsia="es-MX"/>
        </w:rPr>
        <w:t xml:space="preserve"> </w:t>
      </w:r>
      <w:r w:rsidRPr="00A06D0A">
        <w:rPr>
          <w:rFonts w:ascii="ITC Avant Garde" w:hAnsi="ITC Avant Garde"/>
          <w:bCs/>
          <w:lang w:eastAsia="es-MX"/>
        </w:rPr>
        <w:t xml:space="preserve">la opinión técnica correspondiente a la </w:t>
      </w:r>
      <w:r w:rsidR="004125E6" w:rsidRPr="00A06D0A">
        <w:rPr>
          <w:rFonts w:ascii="ITC Avant Garde" w:hAnsi="ITC Avant Garde"/>
          <w:bCs/>
          <w:lang w:eastAsia="es-MX"/>
        </w:rPr>
        <w:t>Solicitud de Enajenación</w:t>
      </w:r>
      <w:r w:rsidR="00637B22">
        <w:rPr>
          <w:rFonts w:ascii="ITC Avant Garde" w:hAnsi="ITC Avant Garde"/>
          <w:bCs/>
          <w:lang w:eastAsia="es-MX"/>
        </w:rPr>
        <w:t xml:space="preserve"> y Suscripción</w:t>
      </w:r>
      <w:r w:rsidR="004125E6" w:rsidRPr="00A06D0A">
        <w:rPr>
          <w:rFonts w:ascii="ITC Avant Garde" w:hAnsi="ITC Avant Garde"/>
          <w:bCs/>
          <w:lang w:eastAsia="es-MX"/>
        </w:rPr>
        <w:t xml:space="preserve"> de Acciones</w:t>
      </w:r>
      <w:r w:rsidRPr="00A06D0A">
        <w:rPr>
          <w:rFonts w:ascii="ITC Avant Garde" w:hAnsi="ITC Avant Garde"/>
          <w:bCs/>
          <w:lang w:eastAsia="es-MX"/>
        </w:rPr>
        <w:t>, de conformidad con lo establecido en el artículo 28 párrafo décimo séptimo de la Constitución Política de los Estados Unidos Mexicanos (la “Constitución”)</w:t>
      </w:r>
      <w:r w:rsidR="001E7950" w:rsidRPr="00A06D0A">
        <w:rPr>
          <w:rFonts w:ascii="ITC Avant Garde" w:hAnsi="ITC Avant Garde"/>
          <w:bCs/>
          <w:lang w:eastAsia="es-MX"/>
        </w:rPr>
        <w:t>.</w:t>
      </w:r>
      <w:r w:rsidR="00380D53" w:rsidRPr="00A06D0A">
        <w:rPr>
          <w:rFonts w:ascii="ITC Avant Garde" w:hAnsi="ITC Avant Garde"/>
          <w:bCs/>
          <w:lang w:eastAsia="es-MX"/>
        </w:rPr>
        <w:t xml:space="preserve"> </w:t>
      </w:r>
    </w:p>
    <w:p w14:paraId="2216C2D1" w14:textId="18B12CA0" w:rsidR="00380D53" w:rsidRPr="00A06D0A" w:rsidRDefault="00380D53" w:rsidP="00A16B88">
      <w:pPr>
        <w:spacing w:before="240" w:after="0" w:line="240" w:lineRule="auto"/>
        <w:ind w:left="567"/>
        <w:jc w:val="both"/>
        <w:rPr>
          <w:rFonts w:ascii="ITC Avant Garde" w:hAnsi="ITC Avant Garde"/>
          <w:bCs/>
          <w:lang w:eastAsia="es-MX"/>
        </w:rPr>
      </w:pPr>
      <w:r w:rsidRPr="00A06D0A">
        <w:rPr>
          <w:rFonts w:ascii="ITC Avant Garde" w:hAnsi="ITC Avant Garde"/>
          <w:bCs/>
          <w:lang w:eastAsia="es-MX"/>
        </w:rPr>
        <w:t>Posteriormente mediante oficio IFT/223/UCS/DG-CTEL/751/2016 notificado el 1 de abril de 2016, la Dirección General de Concesiones de Telecomunicaciones</w:t>
      </w:r>
      <w:r w:rsidR="00016C54" w:rsidRPr="00A06D0A">
        <w:rPr>
          <w:rFonts w:ascii="ITC Avant Garde" w:hAnsi="ITC Avant Garde"/>
          <w:bCs/>
          <w:lang w:eastAsia="es-MX"/>
        </w:rPr>
        <w:t>,</w:t>
      </w:r>
      <w:r w:rsidRPr="00A06D0A">
        <w:rPr>
          <w:rFonts w:ascii="ITC Avant Garde" w:hAnsi="ITC Avant Garde"/>
          <w:bCs/>
          <w:lang w:eastAsia="es-MX"/>
        </w:rPr>
        <w:t xml:space="preserve"> adscrita a la Unidad de Concesiones y Servicios envió a la Secretaría información </w:t>
      </w:r>
      <w:r w:rsidRPr="00A06D0A">
        <w:rPr>
          <w:rFonts w:ascii="ITC Avant Garde" w:hAnsi="ITC Avant Garde"/>
          <w:bCs/>
          <w:lang w:eastAsia="es-MX"/>
        </w:rPr>
        <w:lastRenderedPageBreak/>
        <w:t xml:space="preserve">complementaria presentada por GSAT COMUNICACIONES, S.A. </w:t>
      </w:r>
      <w:r w:rsidR="00136292" w:rsidRPr="00A06D0A">
        <w:rPr>
          <w:rFonts w:ascii="ITC Avant Garde" w:hAnsi="ITC Avant Garde"/>
          <w:bCs/>
          <w:lang w:eastAsia="es-MX"/>
        </w:rPr>
        <w:t>de</w:t>
      </w:r>
      <w:r w:rsidRPr="00A06D0A">
        <w:rPr>
          <w:rFonts w:ascii="ITC Avant Garde" w:hAnsi="ITC Avant Garde"/>
          <w:bCs/>
          <w:lang w:eastAsia="es-MX"/>
        </w:rPr>
        <w:t xml:space="preserve"> C.V., </w:t>
      </w:r>
      <w:r w:rsidR="00016C54" w:rsidRPr="00A06D0A">
        <w:rPr>
          <w:rFonts w:ascii="ITC Avant Garde" w:hAnsi="ITC Avant Garde"/>
          <w:bCs/>
          <w:lang w:eastAsia="es-MX"/>
        </w:rPr>
        <w:t>ante el Instituto el</w:t>
      </w:r>
      <w:r w:rsidRPr="00A06D0A">
        <w:rPr>
          <w:rFonts w:ascii="ITC Avant Garde" w:hAnsi="ITC Avant Garde"/>
          <w:bCs/>
          <w:lang w:eastAsia="es-MX"/>
        </w:rPr>
        <w:t xml:space="preserve"> </w:t>
      </w:r>
      <w:r w:rsidR="00136292" w:rsidRPr="00A06D0A">
        <w:rPr>
          <w:rFonts w:ascii="ITC Avant Garde" w:hAnsi="ITC Avant Garde"/>
          <w:bCs/>
          <w:lang w:eastAsia="es-MX"/>
        </w:rPr>
        <w:t>18 de marzo de 2016.</w:t>
      </w:r>
    </w:p>
    <w:p w14:paraId="53BC0633" w14:textId="7C83A11A" w:rsidR="006C4E42" w:rsidRPr="00A06D0A" w:rsidRDefault="006C4E42" w:rsidP="00A16B88">
      <w:pPr>
        <w:numPr>
          <w:ilvl w:val="0"/>
          <w:numId w:val="4"/>
        </w:numPr>
        <w:spacing w:before="240" w:after="0" w:line="240" w:lineRule="auto"/>
        <w:ind w:left="567"/>
        <w:jc w:val="both"/>
        <w:rPr>
          <w:rFonts w:ascii="ITC Avant Garde" w:hAnsi="ITC Avant Garde"/>
          <w:bCs/>
          <w:lang w:eastAsia="es-MX"/>
        </w:rPr>
      </w:pPr>
      <w:r w:rsidRPr="00A06D0A">
        <w:rPr>
          <w:rFonts w:ascii="ITC Avant Garde" w:hAnsi="ITC Avant Garde"/>
          <w:b/>
          <w:bCs/>
          <w:lang w:eastAsia="es-MX"/>
        </w:rPr>
        <w:t>Opinión Técnica de la Secretaría.</w:t>
      </w:r>
      <w:r w:rsidRPr="00A06D0A">
        <w:rPr>
          <w:rFonts w:ascii="ITC Avant Garde" w:hAnsi="ITC Avant Garde"/>
          <w:bCs/>
          <w:lang w:eastAsia="es-MX"/>
        </w:rPr>
        <w:t xml:space="preserve"> </w:t>
      </w:r>
      <w:r w:rsidR="009166F8">
        <w:rPr>
          <w:rFonts w:ascii="ITC Avant Garde" w:hAnsi="ITC Avant Garde"/>
          <w:bCs/>
          <w:lang w:eastAsia="es-MX"/>
        </w:rPr>
        <w:t>El 5 de abril de 2016</w:t>
      </w:r>
      <w:r w:rsidR="00DE5B40">
        <w:rPr>
          <w:rFonts w:ascii="ITC Avant Garde" w:hAnsi="ITC Avant Garde"/>
          <w:bCs/>
          <w:lang w:eastAsia="es-MX"/>
        </w:rPr>
        <w:t>, m</w:t>
      </w:r>
      <w:r w:rsidRPr="00A06D0A">
        <w:rPr>
          <w:rFonts w:ascii="ITC Avant Garde" w:hAnsi="ITC Avant Garde"/>
          <w:bCs/>
          <w:lang w:eastAsia="es-MX"/>
        </w:rPr>
        <w:t>ediante oficio 2.1.-</w:t>
      </w:r>
      <w:r w:rsidR="00136292" w:rsidRPr="00A06D0A">
        <w:rPr>
          <w:rFonts w:ascii="ITC Avant Garde" w:hAnsi="ITC Avant Garde"/>
          <w:bCs/>
          <w:lang w:eastAsia="es-MX"/>
        </w:rPr>
        <w:t>310/2016</w:t>
      </w:r>
      <w:r w:rsidRPr="00A06D0A">
        <w:rPr>
          <w:rFonts w:ascii="ITC Avant Garde" w:hAnsi="ITC Avant Garde"/>
          <w:bCs/>
          <w:lang w:eastAsia="es-MX"/>
        </w:rPr>
        <w:t>, la Dirección General de Política de Telecomunicaciones y de Radiodifusión de la Secretaría, remitió el oficio 1.-</w:t>
      </w:r>
      <w:r w:rsidR="00A04C6C" w:rsidRPr="00A06D0A">
        <w:rPr>
          <w:rFonts w:ascii="ITC Avant Garde" w:hAnsi="ITC Avant Garde"/>
          <w:bCs/>
          <w:lang w:eastAsia="es-MX"/>
        </w:rPr>
        <w:t>0059</w:t>
      </w:r>
      <w:r w:rsidRPr="00A06D0A">
        <w:rPr>
          <w:rFonts w:ascii="ITC Avant Garde" w:hAnsi="ITC Avant Garde"/>
          <w:bCs/>
          <w:lang w:eastAsia="es-MX"/>
        </w:rPr>
        <w:t xml:space="preserve"> con la opinión técnica en sentido favorable respecto de la Solicitud de </w:t>
      </w:r>
      <w:r w:rsidR="004D15F9" w:rsidRPr="00A06D0A">
        <w:rPr>
          <w:rFonts w:ascii="ITC Avant Garde" w:hAnsi="ITC Avant Garde"/>
          <w:bCs/>
          <w:lang w:eastAsia="es-MX"/>
        </w:rPr>
        <w:t>Enajenación</w:t>
      </w:r>
      <w:r w:rsidR="00637B22">
        <w:rPr>
          <w:rFonts w:ascii="ITC Avant Garde" w:hAnsi="ITC Avant Garde"/>
          <w:bCs/>
          <w:lang w:eastAsia="es-MX"/>
        </w:rPr>
        <w:t xml:space="preserve"> y Suscripción</w:t>
      </w:r>
      <w:r w:rsidR="004D15F9" w:rsidRPr="00A06D0A">
        <w:rPr>
          <w:rFonts w:ascii="ITC Avant Garde" w:hAnsi="ITC Avant Garde"/>
          <w:bCs/>
          <w:lang w:eastAsia="es-MX"/>
        </w:rPr>
        <w:t xml:space="preserve"> de Acciones</w:t>
      </w:r>
      <w:r w:rsidRPr="00A06D0A">
        <w:rPr>
          <w:rFonts w:ascii="ITC Avant Garde" w:hAnsi="ITC Avant Garde"/>
          <w:bCs/>
          <w:lang w:eastAsia="es-MX"/>
        </w:rPr>
        <w:t xml:space="preserve"> </w:t>
      </w:r>
      <w:r w:rsidR="00F319EB" w:rsidRPr="00A06D0A">
        <w:rPr>
          <w:rFonts w:ascii="ITC Avant Garde" w:hAnsi="ITC Avant Garde"/>
          <w:bCs/>
          <w:lang w:eastAsia="es-MX"/>
        </w:rPr>
        <w:t>presentada</w:t>
      </w:r>
      <w:r w:rsidRPr="00A06D0A">
        <w:rPr>
          <w:rFonts w:ascii="ITC Avant Garde" w:hAnsi="ITC Avant Garde"/>
          <w:bCs/>
          <w:lang w:eastAsia="es-MX"/>
        </w:rPr>
        <w:t xml:space="preserve"> por </w:t>
      </w:r>
      <w:r w:rsidR="00A04C6C" w:rsidRPr="00A06D0A">
        <w:rPr>
          <w:rFonts w:ascii="ITC Avant Garde" w:hAnsi="ITC Avant Garde"/>
          <w:bCs/>
          <w:lang w:eastAsia="es-MX"/>
        </w:rPr>
        <w:t>GSAT COMUNICACIONES, S.A. de C.V.</w:t>
      </w:r>
    </w:p>
    <w:p w14:paraId="621945A0" w14:textId="051E3859" w:rsidR="006C4E42" w:rsidRPr="00A06D0A" w:rsidRDefault="006C4E42" w:rsidP="00A16B88">
      <w:pPr>
        <w:numPr>
          <w:ilvl w:val="0"/>
          <w:numId w:val="4"/>
        </w:numPr>
        <w:spacing w:before="240" w:after="0" w:line="240" w:lineRule="auto"/>
        <w:ind w:left="567"/>
        <w:jc w:val="both"/>
        <w:rPr>
          <w:rFonts w:ascii="ITC Avant Garde" w:hAnsi="ITC Avant Garde"/>
          <w:b/>
          <w:bCs/>
          <w:lang w:eastAsia="es-MX"/>
        </w:rPr>
      </w:pPr>
      <w:r w:rsidRPr="00A06D0A">
        <w:rPr>
          <w:rFonts w:ascii="ITC Avant Garde" w:hAnsi="ITC Avant Garde"/>
          <w:b/>
          <w:bCs/>
          <w:lang w:eastAsia="es-MX"/>
        </w:rPr>
        <w:t xml:space="preserve">Opinión en Materia de Competencia Económica.- </w:t>
      </w:r>
      <w:r w:rsidRPr="00A06D0A">
        <w:rPr>
          <w:rFonts w:ascii="ITC Avant Garde" w:hAnsi="ITC Avant Garde"/>
          <w:bCs/>
          <w:lang w:eastAsia="es-MX"/>
        </w:rPr>
        <w:t>Mediante oficio IFT/226/UCE/DG-CCON/</w:t>
      </w:r>
      <w:r w:rsidR="008026B1" w:rsidRPr="00A06D0A">
        <w:rPr>
          <w:rFonts w:ascii="ITC Avant Garde" w:hAnsi="ITC Avant Garde"/>
          <w:bCs/>
          <w:lang w:eastAsia="es-MX"/>
        </w:rPr>
        <w:t>157</w:t>
      </w:r>
      <w:r w:rsidRPr="00A06D0A">
        <w:rPr>
          <w:rFonts w:ascii="ITC Avant Garde" w:hAnsi="ITC Avant Garde"/>
          <w:bCs/>
          <w:lang w:eastAsia="es-MX"/>
        </w:rPr>
        <w:t>/201</w:t>
      </w:r>
      <w:r w:rsidR="008026B1" w:rsidRPr="00A06D0A">
        <w:rPr>
          <w:rFonts w:ascii="ITC Avant Garde" w:hAnsi="ITC Avant Garde"/>
          <w:bCs/>
          <w:lang w:eastAsia="es-MX"/>
        </w:rPr>
        <w:t>6</w:t>
      </w:r>
      <w:r w:rsidRPr="00A06D0A">
        <w:rPr>
          <w:rFonts w:ascii="ITC Avant Garde" w:hAnsi="ITC Avant Garde"/>
          <w:bCs/>
          <w:lang w:eastAsia="es-MX"/>
        </w:rPr>
        <w:t xml:space="preserve"> de fecha </w:t>
      </w:r>
      <w:r w:rsidR="008026B1" w:rsidRPr="00A06D0A">
        <w:rPr>
          <w:rFonts w:ascii="ITC Avant Garde" w:hAnsi="ITC Avant Garde"/>
          <w:bCs/>
          <w:lang w:eastAsia="es-MX"/>
        </w:rPr>
        <w:t>7 de abril de 2016</w:t>
      </w:r>
      <w:r w:rsidRPr="00A06D0A">
        <w:rPr>
          <w:rFonts w:ascii="ITC Avant Garde" w:hAnsi="ITC Avant Garde"/>
          <w:bCs/>
          <w:lang w:eastAsia="es-MX"/>
        </w:rPr>
        <w:t xml:space="preserve">, la Unidad de Competencia Económica, emitió la opinión en materia de competencia económica con respecto a la Solicitud de </w:t>
      </w:r>
      <w:r w:rsidR="008026B1" w:rsidRPr="00A06D0A">
        <w:rPr>
          <w:rFonts w:ascii="ITC Avant Garde" w:hAnsi="ITC Avant Garde"/>
          <w:bCs/>
          <w:lang w:eastAsia="es-MX"/>
        </w:rPr>
        <w:t>Enajenación</w:t>
      </w:r>
      <w:r w:rsidR="00637B22">
        <w:rPr>
          <w:rFonts w:ascii="ITC Avant Garde" w:hAnsi="ITC Avant Garde"/>
          <w:bCs/>
          <w:lang w:eastAsia="es-MX"/>
        </w:rPr>
        <w:t xml:space="preserve"> y Suscripción</w:t>
      </w:r>
      <w:r w:rsidR="008026B1" w:rsidRPr="00A06D0A">
        <w:rPr>
          <w:rFonts w:ascii="ITC Avant Garde" w:hAnsi="ITC Avant Garde"/>
          <w:bCs/>
          <w:lang w:eastAsia="es-MX"/>
        </w:rPr>
        <w:t xml:space="preserve"> de Acciones</w:t>
      </w:r>
      <w:r w:rsidRPr="00A06D0A">
        <w:rPr>
          <w:rFonts w:ascii="ITC Avant Garde" w:hAnsi="ITC Avant Garde"/>
          <w:bCs/>
          <w:lang w:eastAsia="es-MX"/>
        </w:rPr>
        <w:t>.</w:t>
      </w:r>
    </w:p>
    <w:p w14:paraId="449FC059" w14:textId="77777777" w:rsidR="00B048BA" w:rsidRPr="00A06D0A" w:rsidRDefault="00B048BA" w:rsidP="00A16B88">
      <w:pPr>
        <w:spacing w:before="240" w:after="0" w:line="240" w:lineRule="auto"/>
        <w:jc w:val="both"/>
        <w:rPr>
          <w:rFonts w:ascii="ITC Avant Garde" w:hAnsi="ITC Avant Garde"/>
          <w:bCs/>
          <w:lang w:eastAsia="es-MX"/>
        </w:rPr>
      </w:pPr>
      <w:r w:rsidRPr="00A06D0A">
        <w:rPr>
          <w:rFonts w:ascii="ITC Avant Garde" w:hAnsi="ITC Avant Garde"/>
          <w:bCs/>
          <w:lang w:eastAsia="es-MX"/>
        </w:rPr>
        <w:t>En virtud de los Antecedentes referidos y,</w:t>
      </w:r>
    </w:p>
    <w:p w14:paraId="52143AD6" w14:textId="77777777" w:rsidR="00393242" w:rsidRPr="00A06D0A" w:rsidRDefault="00393242" w:rsidP="0022041E">
      <w:pPr>
        <w:autoSpaceDE w:val="0"/>
        <w:autoSpaceDN w:val="0"/>
        <w:adjustRightInd w:val="0"/>
        <w:spacing w:after="0" w:line="240" w:lineRule="auto"/>
        <w:jc w:val="center"/>
        <w:rPr>
          <w:rFonts w:ascii="ITC Avant Garde" w:hAnsi="ITC Avant Garde"/>
          <w:b/>
          <w:bCs/>
        </w:rPr>
      </w:pPr>
    </w:p>
    <w:p w14:paraId="69EFEDA0" w14:textId="77777777" w:rsidR="00D64817" w:rsidRPr="0001105B" w:rsidRDefault="00B048BA" w:rsidP="0001105B">
      <w:pPr>
        <w:pStyle w:val="Ttulo2"/>
        <w:jc w:val="center"/>
        <w:rPr>
          <w:rFonts w:ascii="ITC Avant Garde" w:hAnsi="ITC Avant Garde"/>
          <w:b/>
          <w:bCs/>
          <w:color w:val="auto"/>
          <w:sz w:val="22"/>
          <w:szCs w:val="22"/>
        </w:rPr>
      </w:pPr>
      <w:r w:rsidRPr="0001105B">
        <w:rPr>
          <w:rFonts w:ascii="ITC Avant Garde" w:hAnsi="ITC Avant Garde"/>
          <w:b/>
          <w:bCs/>
          <w:color w:val="auto"/>
          <w:sz w:val="22"/>
          <w:szCs w:val="22"/>
        </w:rPr>
        <w:t>CONSIDERANDO</w:t>
      </w:r>
    </w:p>
    <w:p w14:paraId="347C1341" w14:textId="77777777" w:rsidR="00D04074" w:rsidRPr="00A06D0A" w:rsidRDefault="00B048BA" w:rsidP="00A16B88">
      <w:pPr>
        <w:autoSpaceDE w:val="0"/>
        <w:autoSpaceDN w:val="0"/>
        <w:adjustRightInd w:val="0"/>
        <w:spacing w:before="240" w:after="0" w:line="240" w:lineRule="auto"/>
        <w:jc w:val="both"/>
        <w:rPr>
          <w:rFonts w:ascii="ITC Avant Garde" w:hAnsi="ITC Avant Garde"/>
          <w:bCs/>
          <w:lang w:eastAsia="es-MX"/>
        </w:rPr>
      </w:pPr>
      <w:r w:rsidRPr="00A06D0A">
        <w:rPr>
          <w:rFonts w:ascii="ITC Avant Garde" w:hAnsi="ITC Avant Garde"/>
          <w:b/>
          <w:bCs/>
        </w:rPr>
        <w:t>Primero.-</w:t>
      </w:r>
      <w:r w:rsidRPr="00A06D0A">
        <w:rPr>
          <w:rFonts w:ascii="ITC Avant Garde" w:hAnsi="ITC Avant Garde"/>
          <w:bCs/>
        </w:rPr>
        <w:t xml:space="preserve"> </w:t>
      </w:r>
      <w:r w:rsidRPr="00A06D0A">
        <w:rPr>
          <w:rFonts w:ascii="ITC Avant Garde" w:hAnsi="ITC Avant Garde"/>
          <w:b/>
          <w:bCs/>
        </w:rPr>
        <w:t>Competencia.</w:t>
      </w:r>
      <w:r w:rsidRPr="00A06D0A">
        <w:rPr>
          <w:rFonts w:ascii="ITC Avant Garde" w:hAnsi="ITC Avant Garde"/>
          <w:bCs/>
        </w:rPr>
        <w:t xml:space="preserve"> </w:t>
      </w:r>
      <w:r w:rsidR="00D04074" w:rsidRPr="00A06D0A">
        <w:rPr>
          <w:rFonts w:ascii="ITC Avant Garde" w:hAnsi="ITC Avant Garde"/>
          <w:bCs/>
          <w:lang w:eastAsia="es-MX"/>
        </w:rPr>
        <w:t xml:space="preserve">Conforme lo dispone el artículo 28 párrafo décimo </w:t>
      </w:r>
      <w:r w:rsidR="003A59B8" w:rsidRPr="00A06D0A">
        <w:rPr>
          <w:rFonts w:ascii="ITC Avant Garde" w:hAnsi="ITC Avant Garde"/>
          <w:bCs/>
          <w:lang w:eastAsia="es-MX"/>
        </w:rPr>
        <w:t>séptimo</w:t>
      </w:r>
      <w:r w:rsidR="00D04074" w:rsidRPr="00A06D0A">
        <w:rPr>
          <w:rFonts w:ascii="ITC Avant Garde" w:hAnsi="ITC Avant Garde"/>
          <w:bCs/>
          <w:lang w:eastAsia="es-MX"/>
        </w:rPr>
        <w:t xml:space="preserve"> de la Constitución, </w:t>
      </w:r>
      <w:r w:rsidR="00626EF3" w:rsidRPr="00A06D0A">
        <w:rPr>
          <w:rFonts w:ascii="ITC Avant Garde" w:hAnsi="ITC Avant Garde"/>
          <w:bCs/>
          <w:lang w:eastAsia="es-MX"/>
        </w:rPr>
        <w:t>c</w:t>
      </w:r>
      <w:r w:rsidR="00F571C6" w:rsidRPr="00A06D0A">
        <w:rPr>
          <w:rFonts w:ascii="ITC Avant Garde" w:hAnsi="ITC Avant Garde"/>
          <w:bCs/>
          <w:lang w:eastAsia="es-MX"/>
        </w:rPr>
        <w:t>orresponde al Instituto</w:t>
      </w:r>
      <w:r w:rsidR="007F33CB" w:rsidRPr="00A06D0A">
        <w:rPr>
          <w:rFonts w:ascii="ITC Avant Garde" w:hAnsi="ITC Avant Garde"/>
          <w:bCs/>
          <w:lang w:eastAsia="es-MX"/>
        </w:rPr>
        <w:t xml:space="preserve"> el otorgamiento, la revocación, así como la autorización de cesiones o cambios de control accionario, titularidad u operación de sociedades relacionadas con concesiones en materia de radiodifusión y telecomunicaciones</w:t>
      </w:r>
      <w:r w:rsidR="00D04074" w:rsidRPr="00A06D0A">
        <w:rPr>
          <w:rFonts w:ascii="ITC Avant Garde" w:hAnsi="ITC Avant Garde"/>
          <w:bCs/>
          <w:lang w:eastAsia="es-MX"/>
        </w:rPr>
        <w:t>.</w:t>
      </w:r>
    </w:p>
    <w:p w14:paraId="16FB6F52" w14:textId="6F8B370D" w:rsidR="00A62AEA" w:rsidRPr="00A06D0A" w:rsidRDefault="00A62AEA" w:rsidP="00A16B88">
      <w:pPr>
        <w:autoSpaceDE w:val="0"/>
        <w:autoSpaceDN w:val="0"/>
        <w:adjustRightInd w:val="0"/>
        <w:spacing w:before="240" w:after="0" w:line="240" w:lineRule="auto"/>
        <w:jc w:val="both"/>
        <w:rPr>
          <w:rFonts w:ascii="ITC Avant Garde" w:hAnsi="ITC Avant Garde"/>
          <w:bCs/>
        </w:rPr>
      </w:pPr>
      <w:r w:rsidRPr="00A06D0A">
        <w:rPr>
          <w:rFonts w:ascii="ITC Avant Garde" w:hAnsi="ITC Avant Garde"/>
          <w:bCs/>
          <w:lang w:eastAsia="es-MX"/>
        </w:rPr>
        <w:t>Asimismo,</w:t>
      </w:r>
      <w:r w:rsidR="006376CC" w:rsidRPr="00A06D0A">
        <w:rPr>
          <w:rFonts w:ascii="ITC Avant Garde" w:hAnsi="ITC Avant Garde"/>
          <w:bCs/>
          <w:lang w:eastAsia="es-MX"/>
        </w:rPr>
        <w:t xml:space="preserve"> de conformidad con el párrafo</w:t>
      </w:r>
      <w:r w:rsidR="006376CC" w:rsidRPr="00A06D0A">
        <w:rPr>
          <w:rFonts w:ascii="ITC Avant Garde" w:hAnsi="ITC Avant Garde"/>
          <w:bCs/>
        </w:rPr>
        <w:t xml:space="preserve"> décimo sexto del citado artículo,</w:t>
      </w:r>
      <w:r w:rsidRPr="00A06D0A">
        <w:rPr>
          <w:rFonts w:ascii="ITC Avant Garde" w:hAnsi="ITC Avant Garde"/>
          <w:bCs/>
        </w:rPr>
        <w:t xml:space="preserve"> el Instituto es la autoridad en materia de competencia económica </w:t>
      </w:r>
      <w:r w:rsidR="00F571C6" w:rsidRPr="00A06D0A">
        <w:rPr>
          <w:rFonts w:ascii="ITC Avant Garde" w:hAnsi="ITC Avant Garde"/>
          <w:bCs/>
        </w:rPr>
        <w:t>de</w:t>
      </w:r>
      <w:r w:rsidRPr="00A06D0A">
        <w:rPr>
          <w:rFonts w:ascii="ITC Avant Garde" w:hAnsi="ITC Avant Garde"/>
          <w:bCs/>
        </w:rPr>
        <w:t xml:space="preserve"> los sectores de </w:t>
      </w:r>
      <w:r w:rsidRPr="00A06D0A">
        <w:rPr>
          <w:rFonts w:ascii="ITC Avant Garde" w:hAnsi="ITC Avant Garde"/>
          <w:bCs/>
          <w:lang w:eastAsia="es-MX"/>
        </w:rPr>
        <w:t>radiodifusión</w:t>
      </w:r>
      <w:r w:rsidRPr="00A06D0A">
        <w:rPr>
          <w:rFonts w:ascii="ITC Avant Garde" w:hAnsi="ITC Avant Garde"/>
          <w:bCs/>
        </w:rPr>
        <w:t xml:space="preserve"> y telecomunicaciones, por lo que entre otros aspectos, regulará de forma asimétrica a los participantes en estos mercados con el objeto de eliminar eficazmente las barreras a la competencia y la libre </w:t>
      </w:r>
      <w:r w:rsidR="00F571C6" w:rsidRPr="00A06D0A">
        <w:rPr>
          <w:rFonts w:ascii="ITC Avant Garde" w:hAnsi="ITC Avant Garde"/>
          <w:bCs/>
        </w:rPr>
        <w:t>concurrencia</w:t>
      </w:r>
      <w:r w:rsidRPr="00A06D0A">
        <w:rPr>
          <w:rFonts w:ascii="ITC Avant Garde" w:hAnsi="ITC Avant Garde"/>
          <w:bCs/>
        </w:rPr>
        <w:t>;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53460AE8" w14:textId="412438FE" w:rsidR="00D04074" w:rsidRPr="00A06D0A" w:rsidRDefault="00D06882" w:rsidP="00A16B88">
      <w:pPr>
        <w:autoSpaceDE w:val="0"/>
        <w:autoSpaceDN w:val="0"/>
        <w:adjustRightInd w:val="0"/>
        <w:spacing w:before="240" w:after="0" w:line="240" w:lineRule="auto"/>
        <w:jc w:val="both"/>
        <w:rPr>
          <w:rFonts w:ascii="ITC Avant Garde" w:hAnsi="ITC Avant Garde"/>
          <w:bCs/>
          <w:lang w:eastAsia="es-MX"/>
        </w:rPr>
      </w:pPr>
      <w:r w:rsidRPr="00A06D0A">
        <w:rPr>
          <w:rFonts w:ascii="ITC Avant Garde" w:hAnsi="ITC Avant Garde"/>
          <w:bCs/>
          <w:lang w:eastAsia="es-MX"/>
        </w:rPr>
        <w:t>De igual manera</w:t>
      </w:r>
      <w:r w:rsidR="00BA5A10" w:rsidRPr="00A06D0A">
        <w:rPr>
          <w:rFonts w:ascii="ITC Avant Garde" w:hAnsi="ITC Avant Garde"/>
          <w:bCs/>
          <w:lang w:eastAsia="es-MX"/>
        </w:rPr>
        <w:t xml:space="preserve">, corresponde al Pleno del Instituto conforme a lo establecido en los artículos 15 fracción IV y 17 </w:t>
      </w:r>
      <w:proofErr w:type="gramStart"/>
      <w:r w:rsidR="00BA5A10" w:rsidRPr="00A06D0A">
        <w:rPr>
          <w:rFonts w:ascii="ITC Avant Garde" w:hAnsi="ITC Avant Garde"/>
          <w:bCs/>
          <w:lang w:eastAsia="es-MX"/>
        </w:rPr>
        <w:t>fracción I de la Ley Federal de Telecomunicaciones y Radiodifusión (la “Ley</w:t>
      </w:r>
      <w:proofErr w:type="gramEnd"/>
      <w:r w:rsidR="00BA5A10" w:rsidRPr="00A06D0A">
        <w:rPr>
          <w:rFonts w:ascii="ITC Avant Garde" w:hAnsi="ITC Avant Garde"/>
          <w:bCs/>
          <w:lang w:eastAsia="es-MX"/>
        </w:rPr>
        <w:t>”) y 6 del Estatuto Orgánico, la facultad de autorizar cesiones o cambios de control accionario, titularidad u operación de sociedades relacionadas con concesiones</w:t>
      </w:r>
      <w:r w:rsidR="00D04074" w:rsidRPr="00A06D0A">
        <w:rPr>
          <w:rFonts w:ascii="ITC Avant Garde" w:hAnsi="ITC Avant Garde"/>
          <w:bCs/>
          <w:lang w:eastAsia="es-MX"/>
        </w:rPr>
        <w:t>.</w:t>
      </w:r>
    </w:p>
    <w:p w14:paraId="411D46DD" w14:textId="77777777" w:rsidR="00D04074" w:rsidRDefault="006E2D8C" w:rsidP="00A16B88">
      <w:pPr>
        <w:autoSpaceDE w:val="0"/>
        <w:autoSpaceDN w:val="0"/>
        <w:adjustRightInd w:val="0"/>
        <w:spacing w:before="240" w:after="0" w:line="240" w:lineRule="auto"/>
        <w:jc w:val="both"/>
        <w:rPr>
          <w:rFonts w:ascii="ITC Avant Garde" w:hAnsi="ITC Avant Garde"/>
          <w:bCs/>
          <w:lang w:eastAsia="es-MX"/>
        </w:rPr>
      </w:pPr>
      <w:r w:rsidRPr="00A06D0A">
        <w:rPr>
          <w:rFonts w:ascii="ITC Avant Garde" w:hAnsi="ITC Avant Garde"/>
          <w:bCs/>
          <w:lang w:eastAsia="es-MX"/>
        </w:rPr>
        <w:t>En este sentido</w:t>
      </w:r>
      <w:r w:rsidR="00D04074" w:rsidRPr="00A06D0A">
        <w:rPr>
          <w:rFonts w:ascii="ITC Avant Garde" w:hAnsi="ITC Avant Garde"/>
          <w:bCs/>
          <w:lang w:eastAsia="es-MX"/>
        </w:rPr>
        <w:t xml:space="preserve">, conforme al artículo 33 fracción </w:t>
      </w:r>
      <w:r w:rsidR="003B2407" w:rsidRPr="00A06D0A">
        <w:rPr>
          <w:rFonts w:ascii="ITC Avant Garde" w:hAnsi="ITC Avant Garde"/>
          <w:bCs/>
          <w:lang w:eastAsia="es-MX"/>
        </w:rPr>
        <w:t>IV</w:t>
      </w:r>
      <w:r w:rsidR="00D04074" w:rsidRPr="00A06D0A">
        <w:rPr>
          <w:rFonts w:ascii="ITC Avant Garde" w:hAnsi="ITC Avant Garde"/>
          <w:bCs/>
          <w:lang w:eastAsia="es-MX"/>
        </w:rPr>
        <w:t xml:space="preserve"> del Estatuto Orgánico</w:t>
      </w:r>
      <w:r w:rsidR="003B2407" w:rsidRPr="00A06D0A">
        <w:rPr>
          <w:rFonts w:ascii="ITC Avant Garde" w:hAnsi="ITC Avant Garde"/>
          <w:bCs/>
          <w:lang w:eastAsia="es-MX"/>
        </w:rPr>
        <w:t xml:space="preserve"> </w:t>
      </w:r>
      <w:r w:rsidR="00D04074" w:rsidRPr="00A06D0A">
        <w:rPr>
          <w:rFonts w:ascii="ITC Avant Garde" w:hAnsi="ITC Avant Garde"/>
          <w:bCs/>
          <w:lang w:eastAsia="es-MX"/>
        </w:rPr>
        <w:t xml:space="preserve">corresponde a la Dirección General de Concesiones de Telecomunicaciones, adscrita a la Unidad de Concesiones y Servicios, </w:t>
      </w:r>
      <w:r w:rsidR="008D4107" w:rsidRPr="00A06D0A">
        <w:rPr>
          <w:rFonts w:ascii="ITC Avant Garde" w:hAnsi="ITC Avant Garde"/>
          <w:bCs/>
          <w:lang w:eastAsia="es-MX"/>
        </w:rPr>
        <w:t>tramitar y evaluar las solicitudes de cambios de control accionario, titularidad u operación de sociedades relacionadas con las concesiones en materia de telecomunicaciones para someterlas a consideración del Pleno</w:t>
      </w:r>
      <w:r w:rsidR="00D04074" w:rsidRPr="00A06D0A">
        <w:rPr>
          <w:rFonts w:ascii="ITC Avant Garde" w:hAnsi="ITC Avant Garde"/>
          <w:bCs/>
          <w:lang w:eastAsia="es-MX"/>
        </w:rPr>
        <w:t>.</w:t>
      </w:r>
    </w:p>
    <w:p w14:paraId="1B346B4C" w14:textId="6B76A5F9" w:rsidR="006E2D8C" w:rsidRPr="00A06D0A" w:rsidRDefault="006E2D8C" w:rsidP="00A16B88">
      <w:pPr>
        <w:autoSpaceDE w:val="0"/>
        <w:autoSpaceDN w:val="0"/>
        <w:adjustRightInd w:val="0"/>
        <w:spacing w:before="240" w:after="0" w:line="240" w:lineRule="auto"/>
        <w:jc w:val="both"/>
        <w:rPr>
          <w:rFonts w:ascii="ITC Avant Garde" w:hAnsi="ITC Avant Garde"/>
          <w:bCs/>
          <w:lang w:eastAsia="es-MX"/>
        </w:rPr>
      </w:pPr>
      <w:r w:rsidRPr="00A06D0A">
        <w:rPr>
          <w:rFonts w:ascii="ITC Avant Garde" w:hAnsi="ITC Avant Garde"/>
          <w:bCs/>
          <w:lang w:eastAsia="es-MX"/>
        </w:rPr>
        <w:lastRenderedPageBreak/>
        <w:t>En este orden de ideas,</w:t>
      </w:r>
      <w:r w:rsidR="00EA63A8" w:rsidRPr="00A06D0A">
        <w:rPr>
          <w:rFonts w:ascii="ITC Avant Garde" w:hAnsi="ITC Avant Garde"/>
          <w:bCs/>
          <w:lang w:eastAsia="es-MX"/>
        </w:rPr>
        <w:t xml:space="preserve"> y considerando que</w:t>
      </w:r>
      <w:r w:rsidRPr="00A06D0A">
        <w:rPr>
          <w:rFonts w:ascii="ITC Avant Garde" w:hAnsi="ITC Avant Garde"/>
          <w:bCs/>
          <w:lang w:eastAsia="es-MX"/>
        </w:rPr>
        <w:t xml:space="preserve"> el Instituto tiene a su cargo la regulación, promoción y supervisión de las telecomunicaciones, así como la facultad de autorizar cesiones o cambios de control accionario, titularidad u operación de sociedades relacionadas con concesiones</w:t>
      </w:r>
      <w:r w:rsidR="00EA63A8" w:rsidRPr="00A06D0A">
        <w:rPr>
          <w:rFonts w:ascii="ITC Avant Garde" w:hAnsi="ITC Avant Garde"/>
          <w:bCs/>
          <w:lang w:eastAsia="es-MX"/>
        </w:rPr>
        <w:t>;</w:t>
      </w:r>
      <w:r w:rsidR="00141FE7" w:rsidRPr="00A06D0A">
        <w:rPr>
          <w:rFonts w:ascii="ITC Avant Garde" w:hAnsi="ITC Avant Garde"/>
          <w:bCs/>
          <w:lang w:eastAsia="es-MX"/>
        </w:rPr>
        <w:t xml:space="preserve"> el Pleno</w:t>
      </w:r>
      <w:r w:rsidR="006A65F2" w:rsidRPr="00A06D0A">
        <w:rPr>
          <w:rFonts w:ascii="ITC Avant Garde" w:hAnsi="ITC Avant Garde"/>
          <w:bCs/>
          <w:lang w:eastAsia="es-MX"/>
        </w:rPr>
        <w:t>,</w:t>
      </w:r>
      <w:r w:rsidRPr="00A06D0A">
        <w:rPr>
          <w:rFonts w:ascii="ITC Avant Garde" w:hAnsi="ITC Avant Garde"/>
          <w:bCs/>
          <w:lang w:eastAsia="es-MX"/>
        </w:rPr>
        <w:t xml:space="preserve"> como órgano máximo de gobierno</w:t>
      </w:r>
      <w:r w:rsidR="006A65F2" w:rsidRPr="00A06D0A">
        <w:rPr>
          <w:rFonts w:ascii="ITC Avant Garde" w:hAnsi="ITC Avant Garde"/>
          <w:bCs/>
          <w:lang w:eastAsia="es-MX"/>
        </w:rPr>
        <w:t xml:space="preserve"> y decisión</w:t>
      </w:r>
      <w:r w:rsidRPr="00A06D0A">
        <w:rPr>
          <w:rFonts w:ascii="ITC Avant Garde" w:hAnsi="ITC Avant Garde"/>
          <w:bCs/>
          <w:lang w:eastAsia="es-MX"/>
        </w:rPr>
        <w:t xml:space="preserve"> del Instituto, se encuentra plenamente facultado para resolver la Solic</w:t>
      </w:r>
      <w:r w:rsidR="00D353F2" w:rsidRPr="00A06D0A">
        <w:rPr>
          <w:rFonts w:ascii="ITC Avant Garde" w:hAnsi="ITC Avant Garde"/>
          <w:bCs/>
          <w:lang w:eastAsia="es-MX"/>
        </w:rPr>
        <w:t xml:space="preserve">itud de Enajenación </w:t>
      </w:r>
      <w:r w:rsidR="00637B22">
        <w:rPr>
          <w:rFonts w:ascii="ITC Avant Garde" w:hAnsi="ITC Avant Garde"/>
          <w:bCs/>
          <w:lang w:eastAsia="es-MX"/>
        </w:rPr>
        <w:t xml:space="preserve">y Suscripción </w:t>
      </w:r>
      <w:r w:rsidR="00D353F2" w:rsidRPr="00A06D0A">
        <w:rPr>
          <w:rFonts w:ascii="ITC Avant Garde" w:hAnsi="ITC Avant Garde"/>
          <w:bCs/>
          <w:lang w:eastAsia="es-MX"/>
        </w:rPr>
        <w:t>de Acciones.</w:t>
      </w:r>
    </w:p>
    <w:p w14:paraId="45050260" w14:textId="0773C013" w:rsidR="00D04074" w:rsidRPr="00A06D0A" w:rsidRDefault="00D04074" w:rsidP="00A16B88">
      <w:pPr>
        <w:autoSpaceDE w:val="0"/>
        <w:autoSpaceDN w:val="0"/>
        <w:adjustRightInd w:val="0"/>
        <w:spacing w:before="240" w:after="0" w:line="240" w:lineRule="auto"/>
        <w:jc w:val="both"/>
        <w:rPr>
          <w:rFonts w:ascii="ITC Avant Garde" w:hAnsi="ITC Avant Garde"/>
          <w:bCs/>
          <w:lang w:eastAsia="es-MX"/>
        </w:rPr>
      </w:pPr>
      <w:r w:rsidRPr="00A06D0A">
        <w:rPr>
          <w:rFonts w:ascii="ITC Avant Garde" w:hAnsi="ITC Avant Garde"/>
          <w:b/>
          <w:bCs/>
        </w:rPr>
        <w:t>Segundo.-</w:t>
      </w:r>
      <w:r w:rsidRPr="00A06D0A">
        <w:rPr>
          <w:rFonts w:ascii="ITC Avant Garde" w:hAnsi="ITC Avant Garde"/>
          <w:bCs/>
        </w:rPr>
        <w:t xml:space="preserve"> </w:t>
      </w:r>
      <w:r w:rsidRPr="00A06D0A">
        <w:rPr>
          <w:rFonts w:ascii="ITC Avant Garde" w:hAnsi="ITC Avant Garde"/>
          <w:b/>
          <w:bCs/>
        </w:rPr>
        <w:t xml:space="preserve">Marco legal aplicable a la </w:t>
      </w:r>
      <w:r w:rsidR="00ED674B" w:rsidRPr="00A06D0A">
        <w:rPr>
          <w:rFonts w:ascii="ITC Avant Garde" w:hAnsi="ITC Avant Garde"/>
          <w:b/>
          <w:bCs/>
        </w:rPr>
        <w:t>Solicitud de Enajenación</w:t>
      </w:r>
      <w:r w:rsidR="00637B22">
        <w:rPr>
          <w:rFonts w:ascii="ITC Avant Garde" w:hAnsi="ITC Avant Garde"/>
          <w:b/>
          <w:bCs/>
        </w:rPr>
        <w:t xml:space="preserve"> y Suscripción</w:t>
      </w:r>
      <w:r w:rsidR="00ED674B" w:rsidRPr="00A06D0A">
        <w:rPr>
          <w:rFonts w:ascii="ITC Avant Garde" w:hAnsi="ITC Avant Garde"/>
          <w:b/>
          <w:bCs/>
        </w:rPr>
        <w:t xml:space="preserve"> de Acciones</w:t>
      </w:r>
      <w:r w:rsidRPr="00A06D0A">
        <w:rPr>
          <w:rFonts w:ascii="ITC Avant Garde" w:hAnsi="ITC Avant Garde"/>
          <w:b/>
          <w:bCs/>
        </w:rPr>
        <w:t>.</w:t>
      </w:r>
      <w:r w:rsidRPr="00A06D0A">
        <w:rPr>
          <w:rFonts w:ascii="ITC Avant Garde" w:hAnsi="ITC Avant Garde"/>
          <w:bCs/>
        </w:rPr>
        <w:t xml:space="preserve"> </w:t>
      </w:r>
      <w:r w:rsidR="00AC415C" w:rsidRPr="00A06D0A">
        <w:rPr>
          <w:rFonts w:ascii="ITC Avant Garde" w:hAnsi="ITC Avant Garde"/>
          <w:bCs/>
        </w:rPr>
        <w:t xml:space="preserve">De </w:t>
      </w:r>
      <w:r w:rsidR="00AC415C" w:rsidRPr="00A06D0A">
        <w:rPr>
          <w:rFonts w:ascii="ITC Avant Garde" w:hAnsi="ITC Avant Garde"/>
          <w:bCs/>
          <w:lang w:eastAsia="es-MX"/>
        </w:rPr>
        <w:t>conformidad con lo antes</w:t>
      </w:r>
      <w:r w:rsidR="00623B3E" w:rsidRPr="00A06D0A">
        <w:rPr>
          <w:rFonts w:ascii="ITC Avant Garde" w:hAnsi="ITC Avant Garde"/>
          <w:bCs/>
          <w:lang w:eastAsia="es-MX"/>
        </w:rPr>
        <w:t xml:space="preserve"> señalado</w:t>
      </w:r>
      <w:r w:rsidR="00AC415C" w:rsidRPr="00A06D0A">
        <w:rPr>
          <w:rFonts w:ascii="ITC Avant Garde" w:hAnsi="ITC Avant Garde"/>
          <w:bCs/>
          <w:lang w:eastAsia="es-MX"/>
        </w:rPr>
        <w:t>,</w:t>
      </w:r>
      <w:r w:rsidR="00623B3E" w:rsidRPr="00A06D0A">
        <w:rPr>
          <w:rFonts w:ascii="ITC Avant Garde" w:hAnsi="ITC Avant Garde"/>
          <w:bCs/>
          <w:lang w:eastAsia="es-MX"/>
        </w:rPr>
        <w:t xml:space="preserve"> la normatividad aplicable que establece los requisitos de procedencia para solicitar la autorización para llevar a cabo la enajenación de acciones o partes sociales del capital, se encuentra contenida en </w:t>
      </w:r>
      <w:r w:rsidR="00B22A79" w:rsidRPr="00A06D0A">
        <w:rPr>
          <w:rFonts w:ascii="ITC Avant Garde" w:hAnsi="ITC Avant Garde"/>
          <w:bCs/>
          <w:lang w:eastAsia="es-MX"/>
        </w:rPr>
        <w:t xml:space="preserve">el artículo 112 de </w:t>
      </w:r>
      <w:r w:rsidR="00AC415C" w:rsidRPr="00A06D0A">
        <w:rPr>
          <w:rFonts w:ascii="ITC Avant Garde" w:hAnsi="ITC Avant Garde"/>
          <w:bCs/>
          <w:lang w:eastAsia="es-MX"/>
        </w:rPr>
        <w:t>la Ley</w:t>
      </w:r>
      <w:r w:rsidR="00B22A79" w:rsidRPr="00A06D0A">
        <w:rPr>
          <w:rFonts w:ascii="ITC Avant Garde" w:hAnsi="ITC Avant Garde"/>
          <w:bCs/>
          <w:lang w:eastAsia="es-MX"/>
        </w:rPr>
        <w:t>, el cual establece lo siguiente:</w:t>
      </w:r>
    </w:p>
    <w:p w14:paraId="2BF7EF43" w14:textId="648F172C" w:rsidR="00701B8C" w:rsidRPr="00A06D0A" w:rsidRDefault="00281886" w:rsidP="00A16B88">
      <w:pPr>
        <w:spacing w:before="240" w:after="0" w:line="240" w:lineRule="auto"/>
        <w:ind w:left="1134" w:right="616"/>
        <w:jc w:val="both"/>
        <w:rPr>
          <w:rFonts w:ascii="ITC Avant Garde" w:hAnsi="ITC Avant Garde"/>
          <w:bCs/>
          <w:i/>
          <w:sz w:val="18"/>
          <w:szCs w:val="18"/>
          <w:lang w:eastAsia="es-MX"/>
        </w:rPr>
      </w:pPr>
      <w:r w:rsidRPr="00A06D0A">
        <w:rPr>
          <w:rFonts w:ascii="ITC Avant Garde" w:hAnsi="ITC Avant Garde"/>
          <w:sz w:val="18"/>
          <w:szCs w:val="18"/>
        </w:rPr>
        <w:t>“</w:t>
      </w:r>
      <w:r w:rsidR="00701B8C" w:rsidRPr="00A06D0A">
        <w:rPr>
          <w:rFonts w:ascii="ITC Avant Garde" w:hAnsi="ITC Avant Garde"/>
          <w:b/>
          <w:bCs/>
          <w:i/>
          <w:sz w:val="18"/>
          <w:szCs w:val="18"/>
          <w:lang w:eastAsia="es-MX"/>
        </w:rPr>
        <w:t>Artículo 112.</w:t>
      </w:r>
      <w:r w:rsidR="00701B8C" w:rsidRPr="00A06D0A">
        <w:rPr>
          <w:rFonts w:ascii="ITC Avant Garde" w:hAnsi="ITC Avant Garde"/>
          <w:bCs/>
          <w:i/>
          <w:sz w:val="18"/>
          <w:szCs w:val="18"/>
          <w:lang w:eastAsia="es-MX"/>
        </w:rPr>
        <w:t xml:space="preserve"> El concesionario, cuando sea una persona moral, presentará al Instituto, a más tardar el treinta de junio de cada año, su estructura accionaria o de partes sociales de que se trate, con sus respectivos porcentajes de participación, acompañando además una relación de los accionistas que sean titulares del cinco por ciento o más del capital social de la empresa, así como el nombre de las personas físicas que participen directa o indirectamente con el diez por ciento o más del capital social de la empresa, sus principales accionistas y sus respectivos porcentajes de participación, a la que acompañará la información en el formato que determine el Instituto.</w:t>
      </w:r>
    </w:p>
    <w:p w14:paraId="7C743762" w14:textId="502B5056" w:rsidR="00701B8C" w:rsidRPr="00A06D0A" w:rsidRDefault="00701B8C" w:rsidP="00A16B88">
      <w:pPr>
        <w:spacing w:before="240" w:after="0" w:line="240" w:lineRule="auto"/>
        <w:ind w:left="1134" w:right="616"/>
        <w:jc w:val="both"/>
        <w:rPr>
          <w:rFonts w:ascii="ITC Avant Garde" w:hAnsi="ITC Avant Garde"/>
          <w:bCs/>
          <w:i/>
          <w:sz w:val="18"/>
          <w:szCs w:val="18"/>
          <w:lang w:eastAsia="es-MX"/>
        </w:rPr>
      </w:pPr>
      <w:r w:rsidRPr="00A06D0A">
        <w:rPr>
          <w:rFonts w:ascii="ITC Avant Garde" w:hAnsi="ITC Avant Garde"/>
          <w:bCs/>
          <w:i/>
          <w:sz w:val="18"/>
          <w:szCs w:val="18"/>
          <w:lang w:eastAsia="es-MX"/>
        </w:rPr>
        <w:t>En cualquier supuesto de suscripción o enajenación de acciones o partes sociales en un acto o sucesión de actos, que represente el diez por ciento o más del monto de su capital social, y siempre que no se actualice la obligación de notificar la operación conforme a lo previsto en la Ley Federal de Competencia Económica, el concesionario estará obligado a observar el régimen siguiente:</w:t>
      </w:r>
    </w:p>
    <w:p w14:paraId="3BA3CB25" w14:textId="4E048684" w:rsidR="00701B8C" w:rsidRPr="00A06D0A" w:rsidRDefault="00701B8C" w:rsidP="00A16B88">
      <w:pPr>
        <w:pStyle w:val="Prrafodelista"/>
        <w:numPr>
          <w:ilvl w:val="0"/>
          <w:numId w:val="8"/>
        </w:numPr>
        <w:spacing w:before="240"/>
        <w:ind w:right="616"/>
        <w:jc w:val="both"/>
        <w:rPr>
          <w:rFonts w:ascii="ITC Avant Garde" w:hAnsi="ITC Avant Garde"/>
          <w:bCs/>
          <w:i/>
          <w:sz w:val="18"/>
          <w:szCs w:val="18"/>
          <w:lang w:eastAsia="es-MX"/>
        </w:rPr>
      </w:pPr>
      <w:r w:rsidRPr="00A06D0A">
        <w:rPr>
          <w:rFonts w:ascii="ITC Avant Garde" w:hAnsi="ITC Avant Garde"/>
          <w:bCs/>
          <w:i/>
          <w:sz w:val="18"/>
          <w:szCs w:val="18"/>
          <w:lang w:eastAsia="es-MX"/>
        </w:rPr>
        <w:t>El concesionario deberá dar aviso al Instituto de la intención de los interesados en realizar la suscripción o enajenación de las acciones o partes sociales, ya sea directa o indirectamente, debiendo acompañar el aviso con la información detallada de las personas interesadas en adquirir las acciones o partes sociales;</w:t>
      </w:r>
    </w:p>
    <w:p w14:paraId="631805F4" w14:textId="54EE1B7D" w:rsidR="00701B8C" w:rsidRPr="00A06D0A" w:rsidRDefault="00701B8C" w:rsidP="00A16B88">
      <w:pPr>
        <w:pStyle w:val="Prrafodelista"/>
        <w:numPr>
          <w:ilvl w:val="0"/>
          <w:numId w:val="8"/>
        </w:numPr>
        <w:spacing w:before="240"/>
        <w:ind w:right="616"/>
        <w:jc w:val="both"/>
        <w:rPr>
          <w:rFonts w:ascii="ITC Avant Garde" w:hAnsi="ITC Avant Garde"/>
          <w:bCs/>
          <w:i/>
          <w:sz w:val="18"/>
          <w:szCs w:val="18"/>
          <w:lang w:eastAsia="es-MX"/>
        </w:rPr>
      </w:pPr>
      <w:r w:rsidRPr="00A06D0A">
        <w:rPr>
          <w:rFonts w:ascii="ITC Avant Garde" w:hAnsi="ITC Avant Garde"/>
          <w:bCs/>
          <w:i/>
          <w:sz w:val="18"/>
          <w:szCs w:val="18"/>
          <w:lang w:eastAsia="es-MX"/>
        </w:rPr>
        <w:t>El Instituto tendrá un plazo de diez días hábiles contados a partir de la presentación del aviso, para solicitar la opinión de la Secretaría;</w:t>
      </w:r>
    </w:p>
    <w:p w14:paraId="2BA93D94" w14:textId="33D74ADB" w:rsidR="00701B8C" w:rsidRPr="00A06D0A" w:rsidRDefault="00701B8C" w:rsidP="00A16B88">
      <w:pPr>
        <w:pStyle w:val="Prrafodelista"/>
        <w:numPr>
          <w:ilvl w:val="0"/>
          <w:numId w:val="8"/>
        </w:numPr>
        <w:spacing w:before="240"/>
        <w:ind w:right="616"/>
        <w:jc w:val="both"/>
        <w:rPr>
          <w:rFonts w:ascii="ITC Avant Garde" w:hAnsi="ITC Avant Garde"/>
          <w:bCs/>
          <w:i/>
          <w:sz w:val="18"/>
          <w:szCs w:val="18"/>
          <w:lang w:eastAsia="es-MX"/>
        </w:rPr>
      </w:pPr>
      <w:r w:rsidRPr="00A06D0A">
        <w:rPr>
          <w:rFonts w:ascii="ITC Avant Garde" w:hAnsi="ITC Avant Garde"/>
          <w:bCs/>
          <w:i/>
          <w:sz w:val="18"/>
          <w:szCs w:val="18"/>
          <w:lang w:eastAsia="es-MX"/>
        </w:rPr>
        <w:t>La Secretaría tendrá un plazo de treinta días naturales para emitir opinión, y</w:t>
      </w:r>
    </w:p>
    <w:p w14:paraId="0C3C65C8" w14:textId="12B27EC4" w:rsidR="00670C4E" w:rsidRPr="00A06D0A" w:rsidRDefault="00701B8C" w:rsidP="00A16B88">
      <w:pPr>
        <w:spacing w:before="240" w:after="0" w:line="240" w:lineRule="auto"/>
        <w:ind w:left="2124" w:right="616" w:hanging="696"/>
        <w:jc w:val="both"/>
        <w:rPr>
          <w:rFonts w:ascii="ITC Avant Garde" w:hAnsi="ITC Avant Garde"/>
          <w:bCs/>
          <w:i/>
          <w:sz w:val="18"/>
          <w:szCs w:val="18"/>
          <w:lang w:eastAsia="es-MX"/>
        </w:rPr>
      </w:pPr>
      <w:r w:rsidRPr="00A06D0A">
        <w:rPr>
          <w:rFonts w:ascii="ITC Avant Garde" w:hAnsi="ITC Avant Garde"/>
          <w:bCs/>
          <w:i/>
          <w:sz w:val="18"/>
          <w:szCs w:val="18"/>
          <w:lang w:eastAsia="es-MX"/>
        </w:rPr>
        <w:t xml:space="preserve">IV. </w:t>
      </w:r>
      <w:r w:rsidR="00281886" w:rsidRPr="00A06D0A">
        <w:rPr>
          <w:rFonts w:ascii="ITC Avant Garde" w:hAnsi="ITC Avant Garde"/>
          <w:bCs/>
          <w:i/>
          <w:sz w:val="18"/>
          <w:szCs w:val="18"/>
          <w:lang w:eastAsia="es-MX"/>
        </w:rPr>
        <w:tab/>
      </w:r>
      <w:r w:rsidRPr="00A06D0A">
        <w:rPr>
          <w:rFonts w:ascii="ITC Avant Garde" w:hAnsi="ITC Avant Garde"/>
          <w:bCs/>
          <w:i/>
          <w:sz w:val="18"/>
          <w:szCs w:val="18"/>
          <w:lang w:eastAsia="es-MX"/>
        </w:rPr>
        <w:t>El Instituto tendrá un plazo de quince días hábiles contados a partir de que reciba la opinión de la Secretaría o en caso que no se hubiere emitido opinión, a partir de que fenezca el plazo referido en la fracción que antecede, para objetar con causa justificada la operación de que se trate. Transcurrido dicho plazo sin que la operación hubiere sido objetada por el Instituto, se tendrá por autorizada.</w:t>
      </w:r>
    </w:p>
    <w:p w14:paraId="05F1A39D" w14:textId="1645D136" w:rsidR="00701B8C" w:rsidRPr="00A06D0A" w:rsidRDefault="00701B8C" w:rsidP="00A16B88">
      <w:pPr>
        <w:spacing w:before="240" w:after="0" w:line="240" w:lineRule="auto"/>
        <w:ind w:left="1134" w:right="616"/>
        <w:jc w:val="both"/>
        <w:rPr>
          <w:rFonts w:ascii="ITC Avant Garde" w:hAnsi="ITC Avant Garde"/>
          <w:bCs/>
          <w:i/>
          <w:sz w:val="18"/>
          <w:szCs w:val="18"/>
          <w:lang w:eastAsia="es-MX"/>
        </w:rPr>
      </w:pPr>
      <w:r w:rsidRPr="00A06D0A">
        <w:rPr>
          <w:rFonts w:ascii="ITC Avant Garde" w:hAnsi="ITC Avant Garde"/>
          <w:bCs/>
          <w:i/>
          <w:sz w:val="18"/>
          <w:szCs w:val="18"/>
          <w:lang w:eastAsia="es-MX"/>
        </w:rPr>
        <w:t>Las operaciones que no hubieren sido objetadas por el Instituto deberán inscribirse en el libro de registro de accionistas o socios de la persona moral, sin perjuicio de las autorizaciones que se requieran de otras autoridades conforme a las disposiciones legales, reglamentarias y administrativas aplicables.</w:t>
      </w:r>
    </w:p>
    <w:p w14:paraId="036E792D" w14:textId="38FF20A3" w:rsidR="00701B8C" w:rsidRPr="00A06D0A" w:rsidRDefault="005D60EC" w:rsidP="00A16B88">
      <w:pPr>
        <w:spacing w:before="240" w:after="0" w:line="240" w:lineRule="auto"/>
        <w:ind w:left="1134" w:right="616"/>
        <w:jc w:val="both"/>
        <w:rPr>
          <w:rFonts w:ascii="ITC Avant Garde" w:hAnsi="ITC Avant Garde"/>
          <w:bCs/>
          <w:i/>
          <w:sz w:val="18"/>
          <w:szCs w:val="18"/>
          <w:lang w:eastAsia="es-MX"/>
        </w:rPr>
      </w:pPr>
      <w:r w:rsidRPr="00A06D0A">
        <w:rPr>
          <w:rFonts w:ascii="ITC Avant Garde" w:hAnsi="ITC Avant Garde"/>
          <w:bCs/>
          <w:i/>
          <w:sz w:val="18"/>
          <w:szCs w:val="18"/>
          <w:lang w:eastAsia="es-MX"/>
        </w:rPr>
        <w:lastRenderedPageBreak/>
        <w:t>[</w:t>
      </w:r>
      <w:r w:rsidR="00281886" w:rsidRPr="00A06D0A">
        <w:rPr>
          <w:rFonts w:ascii="ITC Avant Garde" w:hAnsi="ITC Avant Garde"/>
          <w:bCs/>
          <w:i/>
          <w:sz w:val="18"/>
          <w:szCs w:val="18"/>
          <w:lang w:eastAsia="es-MX"/>
        </w:rPr>
        <w:t>…</w:t>
      </w:r>
      <w:r w:rsidRPr="00A06D0A">
        <w:rPr>
          <w:rFonts w:ascii="ITC Avant Garde" w:hAnsi="ITC Avant Garde"/>
          <w:bCs/>
          <w:i/>
          <w:sz w:val="18"/>
          <w:szCs w:val="18"/>
          <w:lang w:eastAsia="es-MX"/>
        </w:rPr>
        <w:t>]</w:t>
      </w:r>
    </w:p>
    <w:p w14:paraId="5E092AA4" w14:textId="64B5E5A4" w:rsidR="00701B8C" w:rsidRPr="00A06D0A" w:rsidRDefault="00701B8C" w:rsidP="00A16B88">
      <w:pPr>
        <w:spacing w:before="240" w:after="0" w:line="240" w:lineRule="auto"/>
        <w:ind w:left="1134" w:right="616"/>
        <w:jc w:val="both"/>
        <w:rPr>
          <w:rFonts w:ascii="ITC Avant Garde" w:hAnsi="ITC Avant Garde"/>
          <w:bCs/>
          <w:i/>
          <w:sz w:val="18"/>
          <w:szCs w:val="18"/>
          <w:lang w:eastAsia="es-MX"/>
        </w:rPr>
      </w:pPr>
      <w:r w:rsidRPr="00A06D0A">
        <w:rPr>
          <w:rFonts w:ascii="ITC Avant Garde" w:hAnsi="ITC Avant Garde"/>
          <w:bCs/>
          <w:i/>
          <w:sz w:val="18"/>
          <w:szCs w:val="18"/>
          <w:lang w:eastAsia="es-MX"/>
        </w:rPr>
        <w:t>En caso de que el interesado en suscribir o adquirir acciones o partes sociales sea una persona moral, en el aviso al que se refiere la fracción I de este artículo, deberá presentar la información necesaria para que el Instituto conozca la identidad de las personas físicas que tengan intereses patrimoniales mayores al diez por ciento del capital de dicha persona moral.</w:t>
      </w:r>
    </w:p>
    <w:p w14:paraId="4E9A7FDD" w14:textId="0D3BDA03" w:rsidR="00C517B5" w:rsidRPr="00A06D0A" w:rsidRDefault="00C517B5" w:rsidP="00A16B88">
      <w:pPr>
        <w:spacing w:before="240" w:after="0" w:line="240" w:lineRule="auto"/>
        <w:ind w:left="1134" w:right="616"/>
        <w:jc w:val="both"/>
        <w:rPr>
          <w:rFonts w:ascii="ITC Avant Garde" w:hAnsi="ITC Avant Garde"/>
          <w:bCs/>
          <w:i/>
          <w:sz w:val="18"/>
          <w:szCs w:val="18"/>
          <w:lang w:eastAsia="es-MX"/>
        </w:rPr>
      </w:pPr>
      <w:r w:rsidRPr="00A06D0A">
        <w:rPr>
          <w:rFonts w:ascii="ITC Avant Garde" w:hAnsi="ITC Avant Garde"/>
          <w:bCs/>
          <w:i/>
          <w:sz w:val="18"/>
          <w:szCs w:val="18"/>
          <w:lang w:eastAsia="es-MX"/>
        </w:rPr>
        <w:t>En caso de que se actualice la obligación de notificar una concentración conforme a lo previsto en la Ley Federal de Competencia Económica, el Instituto dará trámite a la solicitud conforme a lo previsto para dicho procedimiento en la ley de la materia, considerando además los criterios establecidos en esta Ley</w:t>
      </w:r>
      <w:r w:rsidR="00441755" w:rsidRPr="00A06D0A">
        <w:rPr>
          <w:rFonts w:ascii="ITC Avant Garde" w:hAnsi="ITC Avant Garde"/>
          <w:bCs/>
          <w:i/>
          <w:sz w:val="18"/>
          <w:szCs w:val="18"/>
          <w:lang w:eastAsia="es-MX"/>
        </w:rPr>
        <w:t>.</w:t>
      </w:r>
    </w:p>
    <w:p w14:paraId="6FEFC4EF" w14:textId="650D89FC" w:rsidR="00AC415C" w:rsidRPr="00A06D0A" w:rsidRDefault="00441755" w:rsidP="00A16B88">
      <w:pPr>
        <w:spacing w:before="240" w:after="0" w:line="240" w:lineRule="auto"/>
        <w:ind w:left="1134" w:right="616"/>
        <w:rPr>
          <w:rFonts w:ascii="ITC Avant Garde" w:hAnsi="ITC Avant Garde"/>
          <w:bCs/>
          <w:i/>
          <w:sz w:val="18"/>
          <w:szCs w:val="18"/>
          <w:lang w:eastAsia="es-MX"/>
        </w:rPr>
      </w:pPr>
      <w:r w:rsidRPr="00A06D0A">
        <w:rPr>
          <w:rFonts w:ascii="ITC Avant Garde" w:hAnsi="ITC Avant Garde"/>
          <w:bCs/>
          <w:i/>
          <w:sz w:val="18"/>
          <w:szCs w:val="18"/>
          <w:lang w:eastAsia="es-MX"/>
        </w:rPr>
        <w:t>[</w:t>
      </w:r>
      <w:r w:rsidR="00281886" w:rsidRPr="00A06D0A">
        <w:rPr>
          <w:rFonts w:ascii="ITC Avant Garde" w:hAnsi="ITC Avant Garde"/>
          <w:bCs/>
          <w:i/>
          <w:sz w:val="18"/>
          <w:szCs w:val="18"/>
          <w:lang w:eastAsia="es-MX"/>
        </w:rPr>
        <w:t>…</w:t>
      </w:r>
      <w:r w:rsidRPr="00A06D0A">
        <w:rPr>
          <w:rFonts w:ascii="ITC Avant Garde" w:hAnsi="ITC Avant Garde"/>
          <w:bCs/>
          <w:i/>
          <w:sz w:val="18"/>
          <w:szCs w:val="18"/>
          <w:lang w:eastAsia="es-MX"/>
        </w:rPr>
        <w:t>]</w:t>
      </w:r>
      <w:r w:rsidR="00281886" w:rsidRPr="00A06D0A">
        <w:rPr>
          <w:rFonts w:ascii="ITC Avant Garde" w:hAnsi="ITC Avant Garde"/>
          <w:bCs/>
          <w:i/>
          <w:sz w:val="18"/>
          <w:szCs w:val="18"/>
          <w:lang w:eastAsia="es-MX"/>
        </w:rPr>
        <w:t>”</w:t>
      </w:r>
    </w:p>
    <w:p w14:paraId="5911E61A" w14:textId="50EC30B8" w:rsidR="00B27CA4" w:rsidRPr="00A06D0A" w:rsidRDefault="00B27CA4" w:rsidP="00A16B88">
      <w:pPr>
        <w:autoSpaceDE w:val="0"/>
        <w:autoSpaceDN w:val="0"/>
        <w:adjustRightInd w:val="0"/>
        <w:spacing w:before="240" w:after="0" w:line="240" w:lineRule="auto"/>
        <w:jc w:val="both"/>
        <w:rPr>
          <w:rFonts w:ascii="ITC Avant Garde" w:hAnsi="ITC Avant Garde"/>
          <w:bCs/>
          <w:lang w:eastAsia="es-MX"/>
        </w:rPr>
      </w:pPr>
      <w:r w:rsidRPr="00A06D0A">
        <w:rPr>
          <w:rFonts w:ascii="ITC Avant Garde" w:hAnsi="ITC Avant Garde"/>
          <w:bCs/>
          <w:lang w:eastAsia="es-MX"/>
        </w:rPr>
        <w:t xml:space="preserve">Ahora bien, cabe destacar que para este tipo de solicitudes debe acatarse el requisito de procedencia </w:t>
      </w:r>
      <w:r w:rsidR="006E13FD">
        <w:rPr>
          <w:rFonts w:ascii="ITC Avant Garde" w:hAnsi="ITC Avant Garde"/>
          <w:bCs/>
          <w:lang w:eastAsia="es-MX"/>
        </w:rPr>
        <w:t xml:space="preserve">establecido en el artículo 174-C fracción VII de la Ley Federal de Derechos, que establece la obligación de pagar los derechos por el trámite </w:t>
      </w:r>
      <w:r w:rsidRPr="00A06D0A">
        <w:rPr>
          <w:rFonts w:ascii="ITC Avant Garde" w:hAnsi="ITC Avant Garde"/>
          <w:bCs/>
          <w:lang w:eastAsia="es-MX"/>
        </w:rPr>
        <w:t>relativo a</w:t>
      </w:r>
      <w:r w:rsidR="00BB2383" w:rsidRPr="00A06D0A">
        <w:rPr>
          <w:rFonts w:ascii="ITC Avant Garde" w:hAnsi="ITC Avant Garde"/>
          <w:bCs/>
          <w:lang w:eastAsia="es-MX"/>
        </w:rPr>
        <w:t xml:space="preserve"> la suscripción o enajenación de acciones o partes sociales</w:t>
      </w:r>
      <w:r w:rsidRPr="00A06D0A">
        <w:rPr>
          <w:rFonts w:ascii="ITC Avant Garde" w:hAnsi="ITC Avant Garde"/>
          <w:bCs/>
          <w:lang w:eastAsia="es-MX"/>
        </w:rPr>
        <w:t xml:space="preserve"> </w:t>
      </w:r>
      <w:r w:rsidR="00265997">
        <w:rPr>
          <w:rFonts w:ascii="ITC Avant Garde" w:hAnsi="ITC Avant Garde"/>
          <w:bCs/>
          <w:lang w:eastAsia="es-MX"/>
        </w:rPr>
        <w:t>que requiera</w:t>
      </w:r>
      <w:r w:rsidR="00984D44">
        <w:rPr>
          <w:rFonts w:ascii="ITC Avant Garde" w:hAnsi="ITC Avant Garde"/>
          <w:bCs/>
          <w:lang w:eastAsia="es-MX"/>
        </w:rPr>
        <w:t>n</w:t>
      </w:r>
      <w:r w:rsidR="00265997">
        <w:rPr>
          <w:rFonts w:ascii="ITC Avant Garde" w:hAnsi="ITC Avant Garde"/>
          <w:bCs/>
          <w:lang w:eastAsia="es-MX"/>
        </w:rPr>
        <w:t xml:space="preserve"> autorización en términos de la Ley</w:t>
      </w:r>
      <w:r w:rsidRPr="00A06D0A">
        <w:rPr>
          <w:rFonts w:ascii="ITC Avant Garde" w:hAnsi="ITC Avant Garde"/>
          <w:bCs/>
          <w:lang w:eastAsia="es-MX"/>
        </w:rPr>
        <w:t xml:space="preserve">, </w:t>
      </w:r>
      <w:r w:rsidR="00265997">
        <w:rPr>
          <w:rFonts w:ascii="ITC Avant Garde" w:hAnsi="ITC Avant Garde"/>
          <w:bCs/>
          <w:lang w:eastAsia="es-MX"/>
        </w:rPr>
        <w:t>como es el caso que nos ocupa</w:t>
      </w:r>
      <w:r w:rsidRPr="00A06D0A">
        <w:rPr>
          <w:rFonts w:ascii="ITC Avant Garde" w:hAnsi="ITC Avant Garde"/>
          <w:bCs/>
          <w:lang w:eastAsia="es-MX"/>
        </w:rPr>
        <w:t>.</w:t>
      </w:r>
    </w:p>
    <w:p w14:paraId="08C34E8E" w14:textId="697F8BEC" w:rsidR="000A1E6A" w:rsidRPr="00A06D0A" w:rsidRDefault="000A1E6A" w:rsidP="00A16B88">
      <w:pPr>
        <w:autoSpaceDE w:val="0"/>
        <w:autoSpaceDN w:val="0"/>
        <w:adjustRightInd w:val="0"/>
        <w:spacing w:before="240" w:after="0" w:line="240" w:lineRule="auto"/>
        <w:jc w:val="both"/>
        <w:rPr>
          <w:rFonts w:ascii="ITC Avant Garde" w:hAnsi="ITC Avant Garde"/>
          <w:bCs/>
          <w:lang w:eastAsia="es-MX"/>
        </w:rPr>
      </w:pPr>
      <w:r w:rsidRPr="00A06D0A">
        <w:rPr>
          <w:rFonts w:ascii="ITC Avant Garde" w:hAnsi="ITC Avant Garde"/>
          <w:b/>
          <w:bCs/>
        </w:rPr>
        <w:t>Tercero.- Concentración.</w:t>
      </w:r>
      <w:r w:rsidRPr="00A06D0A">
        <w:rPr>
          <w:rFonts w:ascii="ITC Avant Garde" w:hAnsi="ITC Avant Garde"/>
          <w:bCs/>
        </w:rPr>
        <w:t xml:space="preserve"> </w:t>
      </w:r>
      <w:r w:rsidRPr="00A06D0A">
        <w:rPr>
          <w:rFonts w:ascii="ITC Avant Garde" w:hAnsi="ITC Avant Garde"/>
          <w:bCs/>
          <w:lang w:eastAsia="es-MX"/>
        </w:rPr>
        <w:t>Como se señaló en el Considerando Primero de la presente Resolución, el Instituto es la autoridad en materia de competencia económica en los sectores de radiodifusión y telecomunicaciones, por lo que en estos ejercerá en forma exclusiva las facultades que este artículo y las leyes establecen para la Comisión Federal de Competencia Económica y regulará de forma asimétrica a los participantes en estos mercados con el objeto de eliminar eficazmente las barreras a la competencia y la libre concurrencia, garantizando lo dispuesto en los artículos 6o. y 7o. de la Constitución.</w:t>
      </w:r>
    </w:p>
    <w:p w14:paraId="47A960CC" w14:textId="46BE8760" w:rsidR="000A1E6A" w:rsidRPr="00A06D0A" w:rsidRDefault="000A1E6A" w:rsidP="00A16B88">
      <w:pPr>
        <w:autoSpaceDE w:val="0"/>
        <w:autoSpaceDN w:val="0"/>
        <w:adjustRightInd w:val="0"/>
        <w:spacing w:before="240" w:after="0" w:line="240" w:lineRule="auto"/>
        <w:jc w:val="both"/>
        <w:rPr>
          <w:rFonts w:ascii="ITC Avant Garde" w:hAnsi="ITC Avant Garde"/>
          <w:bCs/>
          <w:lang w:eastAsia="es-MX"/>
        </w:rPr>
      </w:pPr>
      <w:r w:rsidRPr="00A06D0A">
        <w:rPr>
          <w:rFonts w:ascii="ITC Avant Garde" w:hAnsi="ITC Avant Garde"/>
          <w:bCs/>
          <w:lang w:eastAsia="es-MX"/>
        </w:rPr>
        <w:t>En este sentido, la Ley en el artículo 112 establece como regla general la obligación que tienen a su cargo todos los concesionarios de telecomunicaciones y radiodifusión de observar el régimen para cualquier supuesto de suscripción o enajenación de acciones o partes sociales en un acto o sucesión de actos, que represente el diez por ciento o más del monto de su capital social; siempre y cuando no se actualice la obligación del concesionario de notificar al Instituto una concentración conforme a lo previsto en la Ley Federal de Competencia Económica (la “Ley de Competencia”).</w:t>
      </w:r>
    </w:p>
    <w:p w14:paraId="4699E532" w14:textId="5F1D987D" w:rsidR="00FA1BA8" w:rsidRPr="00A06D0A" w:rsidRDefault="00FA1BA8" w:rsidP="00A16B88">
      <w:pPr>
        <w:autoSpaceDE w:val="0"/>
        <w:autoSpaceDN w:val="0"/>
        <w:adjustRightInd w:val="0"/>
        <w:spacing w:before="240" w:after="0" w:line="240" w:lineRule="auto"/>
        <w:jc w:val="both"/>
        <w:rPr>
          <w:rFonts w:ascii="ITC Avant Garde" w:hAnsi="ITC Avant Garde"/>
          <w:bCs/>
          <w:lang w:eastAsia="es-MX"/>
        </w:rPr>
      </w:pPr>
      <w:r w:rsidRPr="00A06D0A">
        <w:rPr>
          <w:rFonts w:ascii="ITC Avant Garde" w:hAnsi="ITC Avant Garde"/>
          <w:bCs/>
          <w:lang w:eastAsia="es-MX"/>
        </w:rPr>
        <w:t>Asimismo, el artículo 61 d</w:t>
      </w:r>
      <w:r w:rsidR="00585784" w:rsidRPr="00A06D0A">
        <w:rPr>
          <w:rFonts w:ascii="ITC Avant Garde" w:hAnsi="ITC Avant Garde"/>
          <w:bCs/>
          <w:lang w:eastAsia="es-MX"/>
        </w:rPr>
        <w:t xml:space="preserve">e la Ley </w:t>
      </w:r>
      <w:r w:rsidR="007A2B10" w:rsidRPr="00A06D0A">
        <w:rPr>
          <w:rFonts w:ascii="ITC Avant Garde" w:hAnsi="ITC Avant Garde"/>
          <w:bCs/>
          <w:lang w:eastAsia="es-MX"/>
        </w:rPr>
        <w:t xml:space="preserve">de </w:t>
      </w:r>
      <w:r w:rsidR="00585784" w:rsidRPr="00A06D0A">
        <w:rPr>
          <w:rFonts w:ascii="ITC Avant Garde" w:hAnsi="ITC Avant Garde"/>
          <w:bCs/>
          <w:lang w:eastAsia="es-MX"/>
        </w:rPr>
        <w:t>Competencia, señala qué</w:t>
      </w:r>
      <w:r w:rsidRPr="00A06D0A">
        <w:rPr>
          <w:rFonts w:ascii="ITC Avant Garde" w:hAnsi="ITC Avant Garde"/>
          <w:bCs/>
          <w:lang w:eastAsia="es-MX"/>
        </w:rPr>
        <w:t xml:space="preserve"> se entiende por Concentración: la fusión, adquisición del control o cualquier acto por virtud del cual se unan sociedades, asociaciones, acciones, partes sociales, fideicomisos o activos en general que se realice entre competidores, proveedores, clientes o cualesquiera otros agentes económicos.</w:t>
      </w:r>
    </w:p>
    <w:p w14:paraId="18FA8AE1" w14:textId="77777777" w:rsidR="00FA1BA8" w:rsidRPr="00A06D0A" w:rsidRDefault="00FA1BA8" w:rsidP="00A16B88">
      <w:pPr>
        <w:autoSpaceDE w:val="0"/>
        <w:autoSpaceDN w:val="0"/>
        <w:adjustRightInd w:val="0"/>
        <w:spacing w:before="240" w:after="0" w:line="240" w:lineRule="auto"/>
        <w:jc w:val="both"/>
        <w:rPr>
          <w:rFonts w:ascii="ITC Avant Garde" w:hAnsi="ITC Avant Garde"/>
          <w:bCs/>
          <w:lang w:eastAsia="es-MX"/>
        </w:rPr>
      </w:pPr>
      <w:r w:rsidRPr="00A06D0A">
        <w:rPr>
          <w:rFonts w:ascii="ITC Avant Garde" w:hAnsi="ITC Avant Garde"/>
          <w:bCs/>
          <w:lang w:eastAsia="es-MX"/>
        </w:rPr>
        <w:t>En este tenor, el artículo 86 de la Ley de Competencia ordena textualmente lo siguiente:</w:t>
      </w:r>
    </w:p>
    <w:p w14:paraId="5EAE99CD" w14:textId="77777777" w:rsidR="00FA1BA8" w:rsidRPr="00A06D0A" w:rsidRDefault="00FA1BA8" w:rsidP="00A16B88">
      <w:pPr>
        <w:autoSpaceDE w:val="0"/>
        <w:autoSpaceDN w:val="0"/>
        <w:adjustRightInd w:val="0"/>
        <w:spacing w:before="240" w:after="0" w:line="240" w:lineRule="auto"/>
        <w:ind w:left="426" w:right="332"/>
        <w:jc w:val="both"/>
        <w:rPr>
          <w:rFonts w:ascii="ITC Avant Garde" w:hAnsi="ITC Avant Garde"/>
          <w:bCs/>
          <w:i/>
          <w:sz w:val="18"/>
          <w:szCs w:val="18"/>
        </w:rPr>
      </w:pPr>
      <w:r w:rsidRPr="00A06D0A">
        <w:rPr>
          <w:rFonts w:ascii="ITC Avant Garde" w:hAnsi="ITC Avant Garde"/>
          <w:bCs/>
          <w:i/>
          <w:sz w:val="18"/>
          <w:szCs w:val="18"/>
        </w:rPr>
        <w:t>“</w:t>
      </w:r>
      <w:r w:rsidRPr="00A06D0A">
        <w:rPr>
          <w:rFonts w:ascii="ITC Avant Garde" w:hAnsi="ITC Avant Garde"/>
          <w:b/>
          <w:bCs/>
          <w:i/>
          <w:sz w:val="18"/>
          <w:szCs w:val="18"/>
        </w:rPr>
        <w:t>Artículo 86.</w:t>
      </w:r>
      <w:r w:rsidRPr="00A06D0A">
        <w:rPr>
          <w:rFonts w:ascii="ITC Avant Garde" w:hAnsi="ITC Avant Garde"/>
          <w:bCs/>
          <w:i/>
          <w:sz w:val="18"/>
          <w:szCs w:val="18"/>
        </w:rPr>
        <w:t xml:space="preserve"> Las siguientes concentraciones deberán ser autorizadas por la Comisión antes de que se lleven a cabo:</w:t>
      </w:r>
    </w:p>
    <w:p w14:paraId="6B4F32EC" w14:textId="77777777" w:rsidR="00FA1BA8" w:rsidRPr="00A06D0A" w:rsidRDefault="00FA1BA8" w:rsidP="00A16B88">
      <w:pPr>
        <w:pStyle w:val="Prrafodelista"/>
        <w:numPr>
          <w:ilvl w:val="0"/>
          <w:numId w:val="9"/>
        </w:numPr>
        <w:autoSpaceDE w:val="0"/>
        <w:autoSpaceDN w:val="0"/>
        <w:adjustRightInd w:val="0"/>
        <w:spacing w:before="240"/>
        <w:ind w:right="615" w:hanging="11"/>
        <w:jc w:val="both"/>
        <w:rPr>
          <w:rFonts w:ascii="ITC Avant Garde" w:hAnsi="ITC Avant Garde"/>
          <w:bCs/>
          <w:i/>
          <w:sz w:val="18"/>
          <w:szCs w:val="18"/>
        </w:rPr>
      </w:pPr>
      <w:r w:rsidRPr="00A06D0A">
        <w:rPr>
          <w:rFonts w:ascii="ITC Avant Garde" w:hAnsi="ITC Avant Garde"/>
          <w:bCs/>
          <w:i/>
          <w:sz w:val="18"/>
          <w:szCs w:val="18"/>
        </w:rPr>
        <w:lastRenderedPageBreak/>
        <w:t xml:space="preserve"> Cuando el acto o sucesión de actos que les den origen, independientemente del lugar de su celebración, importen en el territorio nacional, directa o indirectamente, un monto superior al equivalente a dieciocho millones de veces el salario mínimo general diario vigente para el Distrito Federal;</w:t>
      </w:r>
    </w:p>
    <w:p w14:paraId="586185B0" w14:textId="77777777" w:rsidR="00FA1BA8" w:rsidRPr="00A06D0A" w:rsidRDefault="00FA1BA8" w:rsidP="00A16B88">
      <w:pPr>
        <w:pStyle w:val="Prrafodelista"/>
        <w:numPr>
          <w:ilvl w:val="0"/>
          <w:numId w:val="9"/>
        </w:numPr>
        <w:autoSpaceDE w:val="0"/>
        <w:autoSpaceDN w:val="0"/>
        <w:adjustRightInd w:val="0"/>
        <w:spacing w:before="240"/>
        <w:ind w:right="615" w:hanging="11"/>
        <w:jc w:val="both"/>
        <w:rPr>
          <w:rFonts w:ascii="ITC Avant Garde" w:hAnsi="ITC Avant Garde"/>
          <w:bCs/>
          <w:i/>
          <w:sz w:val="18"/>
          <w:szCs w:val="18"/>
        </w:rPr>
      </w:pPr>
      <w:r w:rsidRPr="00A06D0A">
        <w:rPr>
          <w:rFonts w:ascii="ITC Avant Garde" w:hAnsi="ITC Avant Garde"/>
          <w:bCs/>
          <w:i/>
          <w:sz w:val="18"/>
          <w:szCs w:val="18"/>
        </w:rPr>
        <w:t xml:space="preserve"> Cuando el acto o sucesión de actos que les den origen, impliquen la acumulación del treinta y cinco por ciento o más de los activos o acciones de un Agente Económico, cuyas ventas anuales originadas en el territorio nacional o activos en el territorio nacional importen más del equivalente a dieciocho millones de veces el salario mínimo general diario vigente para el Distrito Federal, o</w:t>
      </w:r>
    </w:p>
    <w:p w14:paraId="305297D1" w14:textId="77777777" w:rsidR="00FA1BA8" w:rsidRPr="00A06D0A" w:rsidRDefault="00FA1BA8" w:rsidP="00A16B88">
      <w:pPr>
        <w:numPr>
          <w:ilvl w:val="0"/>
          <w:numId w:val="9"/>
        </w:numPr>
        <w:autoSpaceDE w:val="0"/>
        <w:autoSpaceDN w:val="0"/>
        <w:adjustRightInd w:val="0"/>
        <w:spacing w:before="240" w:after="0" w:line="240" w:lineRule="auto"/>
        <w:ind w:right="615" w:hanging="11"/>
        <w:jc w:val="both"/>
        <w:rPr>
          <w:rFonts w:ascii="ITC Avant Garde" w:hAnsi="ITC Avant Garde"/>
          <w:bCs/>
          <w:i/>
          <w:sz w:val="18"/>
          <w:szCs w:val="18"/>
          <w:lang w:val="es-ES"/>
        </w:rPr>
      </w:pPr>
      <w:r w:rsidRPr="00A06D0A">
        <w:rPr>
          <w:rFonts w:ascii="ITC Avant Garde" w:hAnsi="ITC Avant Garde"/>
          <w:bCs/>
          <w:i/>
          <w:sz w:val="18"/>
          <w:szCs w:val="18"/>
          <w:lang w:val="es-ES"/>
        </w:rPr>
        <w:t xml:space="preserve"> Cuando el acto o sucesión de actos que les den origen impliquen una acumulación en el territorio nacional de activos o capital social superior al equivalente a ocho millones cuatrocientas mil veces el salario mínimo general diario vigente para el Distrito Federal y en la concentración participen dos o más Agentes Económicos cuyas ventas anuales originadas en el territorio nacional o activos en el territorio nacional conjunta o separadamente, importen más de cuarenta y ocho millones de veces el salario mínimo general diario vigente para el Distrito Federal.</w:t>
      </w:r>
    </w:p>
    <w:p w14:paraId="6B96EF76" w14:textId="77777777" w:rsidR="00FA1BA8" w:rsidRPr="00A06D0A" w:rsidRDefault="00FA1BA8" w:rsidP="00A16B88">
      <w:pPr>
        <w:autoSpaceDE w:val="0"/>
        <w:autoSpaceDN w:val="0"/>
        <w:adjustRightInd w:val="0"/>
        <w:spacing w:before="240" w:after="0" w:line="240" w:lineRule="auto"/>
        <w:ind w:left="426" w:right="332"/>
        <w:jc w:val="both"/>
        <w:rPr>
          <w:rFonts w:ascii="ITC Avant Garde" w:hAnsi="ITC Avant Garde"/>
          <w:bCs/>
          <w:i/>
          <w:sz w:val="18"/>
          <w:szCs w:val="18"/>
        </w:rPr>
      </w:pPr>
      <w:r w:rsidRPr="00A06D0A">
        <w:rPr>
          <w:rFonts w:ascii="ITC Avant Garde" w:hAnsi="ITC Avant Garde"/>
          <w:bCs/>
          <w:i/>
          <w:sz w:val="18"/>
          <w:szCs w:val="18"/>
        </w:rPr>
        <w:t>Los actos realizados en contravención a este artículo no producirán efectos jurídicos, sin perjuicio de la responsabilidad administrativa, civil o penal de los Agentes Económicos y de las personas que ordenaron o coadyuvaron en la ejecución, así como de los fedatarios públicos que hayan intervenido en los mismos.</w:t>
      </w:r>
    </w:p>
    <w:p w14:paraId="186D6719" w14:textId="77777777" w:rsidR="00FA1BA8" w:rsidRPr="00A06D0A" w:rsidRDefault="00FA1BA8" w:rsidP="00A16B88">
      <w:pPr>
        <w:autoSpaceDE w:val="0"/>
        <w:autoSpaceDN w:val="0"/>
        <w:adjustRightInd w:val="0"/>
        <w:spacing w:before="240" w:after="0" w:line="240" w:lineRule="auto"/>
        <w:ind w:left="426" w:right="332"/>
        <w:jc w:val="both"/>
        <w:rPr>
          <w:rFonts w:ascii="ITC Avant Garde" w:hAnsi="ITC Avant Garde"/>
          <w:bCs/>
          <w:i/>
          <w:sz w:val="18"/>
          <w:szCs w:val="18"/>
        </w:rPr>
      </w:pPr>
      <w:r w:rsidRPr="00A06D0A">
        <w:rPr>
          <w:rFonts w:ascii="ITC Avant Garde" w:hAnsi="ITC Avant Garde"/>
          <w:bCs/>
          <w:i/>
          <w:sz w:val="18"/>
          <w:szCs w:val="18"/>
        </w:rPr>
        <w:t>Los actos relativos a una concentración no podrán registrarse en los libros corporativos, formalizarse en instrumento público ni inscribirse en el Registro Público de Comercio hasta que se obtenga la autorización favorable de la Comisión o haya transcurrido el plazo a que se refiere el artículo 90, fracción V, sin que el Pleno haya emitido resolución.</w:t>
      </w:r>
    </w:p>
    <w:p w14:paraId="3818ECD8" w14:textId="77777777" w:rsidR="00FA1BA8" w:rsidRPr="00A06D0A" w:rsidRDefault="00FA1BA8" w:rsidP="00A16B88">
      <w:pPr>
        <w:autoSpaceDE w:val="0"/>
        <w:autoSpaceDN w:val="0"/>
        <w:adjustRightInd w:val="0"/>
        <w:spacing w:before="240" w:after="0" w:line="240" w:lineRule="auto"/>
        <w:ind w:left="426" w:right="332"/>
        <w:jc w:val="both"/>
        <w:rPr>
          <w:rFonts w:ascii="ITC Avant Garde" w:hAnsi="ITC Avant Garde"/>
          <w:bCs/>
          <w:i/>
          <w:sz w:val="18"/>
          <w:szCs w:val="18"/>
        </w:rPr>
      </w:pPr>
      <w:r w:rsidRPr="00A06D0A">
        <w:rPr>
          <w:rFonts w:ascii="ITC Avant Garde" w:hAnsi="ITC Avant Garde"/>
          <w:bCs/>
          <w:i/>
          <w:sz w:val="18"/>
          <w:szCs w:val="18"/>
        </w:rPr>
        <w:t xml:space="preserve">Los Agentes Económicos involucrados que no se encuentren en los supuestos establecidos en las fracciones I, II y III de este artículo podrán notificarla voluntariamente a la Comisión.” </w:t>
      </w:r>
    </w:p>
    <w:p w14:paraId="0BD637A9" w14:textId="2775AA71" w:rsidR="003B51E6" w:rsidRDefault="00FA1BA8" w:rsidP="00A16B88">
      <w:pPr>
        <w:autoSpaceDE w:val="0"/>
        <w:autoSpaceDN w:val="0"/>
        <w:adjustRightInd w:val="0"/>
        <w:spacing w:before="240" w:after="0" w:line="240" w:lineRule="auto"/>
        <w:jc w:val="both"/>
        <w:rPr>
          <w:rFonts w:ascii="ITC Avant Garde" w:hAnsi="ITC Avant Garde"/>
          <w:bCs/>
        </w:rPr>
      </w:pPr>
      <w:r w:rsidRPr="00A06D0A">
        <w:rPr>
          <w:rFonts w:ascii="ITC Avant Garde" w:hAnsi="ITC Avant Garde"/>
          <w:bCs/>
        </w:rPr>
        <w:t>Como se desprende del citado precepto, únicamente los casos que encuadren en los supuestos normativos indicados en las fracciones I, II y III del mismo, deberán ser autorizados previamente por este Instituto en términos del artículo 87 de la Ley de Competencia; y de igual forma, los Agentes Económicos que participen directamente en la concentración de que se trate están obligados a notificarla a este Instituto, tal y como lo dispone el artículo 88 de la Ley de Competencia.</w:t>
      </w:r>
    </w:p>
    <w:p w14:paraId="716673A4" w14:textId="52DD1348" w:rsidR="00DE5B40" w:rsidRPr="00A06D0A" w:rsidRDefault="00DE5B40" w:rsidP="00A16B88">
      <w:pPr>
        <w:autoSpaceDE w:val="0"/>
        <w:autoSpaceDN w:val="0"/>
        <w:adjustRightInd w:val="0"/>
        <w:spacing w:before="240" w:after="0" w:line="240" w:lineRule="auto"/>
        <w:jc w:val="both"/>
        <w:rPr>
          <w:rFonts w:ascii="ITC Avant Garde" w:hAnsi="ITC Avant Garde"/>
          <w:bCs/>
        </w:rPr>
      </w:pPr>
      <w:r>
        <w:rPr>
          <w:rFonts w:ascii="ITC Avant Garde" w:hAnsi="ITC Avant Garde"/>
          <w:bCs/>
        </w:rPr>
        <w:t>Derivado de la información remitida por GSAT COMUNICACIONES, S.A. de C.V. con motivo de la Solicitud de Enajenación</w:t>
      </w:r>
      <w:r w:rsidR="00D864B7">
        <w:rPr>
          <w:rFonts w:ascii="ITC Avant Garde" w:hAnsi="ITC Avant Garde"/>
          <w:bCs/>
        </w:rPr>
        <w:t xml:space="preserve"> y Suscripción</w:t>
      </w:r>
      <w:r>
        <w:rPr>
          <w:rFonts w:ascii="ITC Avant Garde" w:hAnsi="ITC Avant Garde"/>
          <w:bCs/>
        </w:rPr>
        <w:t xml:space="preserve"> de Acciones</w:t>
      </w:r>
      <w:r w:rsidR="00414F53">
        <w:rPr>
          <w:rFonts w:ascii="ITC Avant Garde" w:hAnsi="ITC Avant Garde"/>
          <w:bCs/>
        </w:rPr>
        <w:t xml:space="preserve"> en cumplimiento a lo establecido en el artículo 112 de Ley</w:t>
      </w:r>
      <w:r>
        <w:rPr>
          <w:rFonts w:ascii="ITC Avant Garde" w:hAnsi="ITC Avant Garde"/>
          <w:bCs/>
        </w:rPr>
        <w:t>, no se advierte que el trámite de referencia encuadre en alguno de los supuestos normativos a que se refiere el señalado en el artículo 86 de la Ley de Competencia.</w:t>
      </w:r>
    </w:p>
    <w:p w14:paraId="54ABBCE4" w14:textId="355FAC82" w:rsidR="002512DD" w:rsidRPr="00A06D0A" w:rsidRDefault="00126DEC" w:rsidP="00A16B88">
      <w:pPr>
        <w:autoSpaceDE w:val="0"/>
        <w:autoSpaceDN w:val="0"/>
        <w:adjustRightInd w:val="0"/>
        <w:spacing w:before="240" w:after="0" w:line="240" w:lineRule="auto"/>
        <w:jc w:val="both"/>
        <w:rPr>
          <w:rFonts w:ascii="ITC Avant Garde" w:hAnsi="ITC Avant Garde"/>
          <w:bCs/>
        </w:rPr>
      </w:pPr>
      <w:r w:rsidRPr="00A06D0A">
        <w:rPr>
          <w:rFonts w:ascii="ITC Avant Garde" w:hAnsi="ITC Avant Garde"/>
          <w:b/>
          <w:bCs/>
        </w:rPr>
        <w:t>Cuarto</w:t>
      </w:r>
      <w:r w:rsidR="00D04074" w:rsidRPr="00A06D0A">
        <w:rPr>
          <w:rFonts w:ascii="ITC Avant Garde" w:hAnsi="ITC Avant Garde"/>
          <w:b/>
          <w:bCs/>
        </w:rPr>
        <w:t xml:space="preserve">.- </w:t>
      </w:r>
      <w:r w:rsidR="003172FD" w:rsidRPr="00A06D0A">
        <w:rPr>
          <w:rFonts w:ascii="ITC Avant Garde" w:hAnsi="ITC Avant Garde"/>
          <w:b/>
          <w:bCs/>
        </w:rPr>
        <w:t>Análisis de la Solicitu</w:t>
      </w:r>
      <w:r w:rsidR="00726BA0" w:rsidRPr="00A06D0A">
        <w:rPr>
          <w:rFonts w:ascii="ITC Avant Garde" w:hAnsi="ITC Avant Garde"/>
          <w:b/>
          <w:bCs/>
        </w:rPr>
        <w:t xml:space="preserve">d de Enajenación </w:t>
      </w:r>
      <w:r w:rsidR="00D864B7">
        <w:rPr>
          <w:rFonts w:ascii="ITC Avant Garde" w:hAnsi="ITC Avant Garde"/>
          <w:b/>
          <w:bCs/>
        </w:rPr>
        <w:t xml:space="preserve">y Suscripción </w:t>
      </w:r>
      <w:r w:rsidR="00726BA0" w:rsidRPr="00A06D0A">
        <w:rPr>
          <w:rFonts w:ascii="ITC Avant Garde" w:hAnsi="ITC Avant Garde"/>
          <w:b/>
          <w:bCs/>
        </w:rPr>
        <w:t>de Acciones</w:t>
      </w:r>
      <w:r w:rsidR="003172FD" w:rsidRPr="00A06D0A">
        <w:rPr>
          <w:rFonts w:ascii="ITC Avant Garde" w:hAnsi="ITC Avant Garde"/>
          <w:b/>
          <w:bCs/>
        </w:rPr>
        <w:t>.</w:t>
      </w:r>
      <w:r w:rsidR="003172FD" w:rsidRPr="00A06D0A">
        <w:rPr>
          <w:rFonts w:ascii="ITC Avant Garde" w:hAnsi="ITC Avant Garde"/>
          <w:bCs/>
        </w:rPr>
        <w:t xml:space="preserve"> </w:t>
      </w:r>
      <w:r w:rsidR="002512DD" w:rsidRPr="00A06D0A">
        <w:rPr>
          <w:rFonts w:ascii="ITC Avant Garde" w:hAnsi="ITC Avant Garde"/>
          <w:bCs/>
        </w:rPr>
        <w:t xml:space="preserve">De la revisión al marco legal aplicable, </w:t>
      </w:r>
      <w:r w:rsidR="005F6492" w:rsidRPr="00A06D0A">
        <w:rPr>
          <w:rFonts w:ascii="ITC Avant Garde" w:hAnsi="ITC Avant Garde"/>
          <w:bCs/>
        </w:rPr>
        <w:t>se concluye</w:t>
      </w:r>
      <w:r w:rsidR="002512DD" w:rsidRPr="00A06D0A">
        <w:rPr>
          <w:rFonts w:ascii="ITC Avant Garde" w:hAnsi="ITC Avant Garde"/>
          <w:bCs/>
        </w:rPr>
        <w:t xml:space="preserve"> que los requisitos de procedencia que debe cumplir </w:t>
      </w:r>
      <w:r w:rsidR="008E46F0" w:rsidRPr="00A06D0A">
        <w:rPr>
          <w:rFonts w:ascii="ITC Avant Garde" w:hAnsi="ITC Avant Garde"/>
          <w:bCs/>
        </w:rPr>
        <w:t>el c</w:t>
      </w:r>
      <w:r w:rsidR="002512DD" w:rsidRPr="00A06D0A">
        <w:rPr>
          <w:rFonts w:ascii="ITC Avant Garde" w:hAnsi="ITC Avant Garde"/>
          <w:bCs/>
        </w:rPr>
        <w:t>oncesionario que solicite autorización para llevar a cabo la suscripción o enajenación de acciones</w:t>
      </w:r>
      <w:r w:rsidR="008E46F0" w:rsidRPr="00A06D0A">
        <w:rPr>
          <w:rFonts w:ascii="ITC Avant Garde" w:hAnsi="ITC Avant Garde"/>
          <w:bCs/>
        </w:rPr>
        <w:t xml:space="preserve"> o partes sociales del capital</w:t>
      </w:r>
      <w:r w:rsidR="009F74AB" w:rsidRPr="00A06D0A">
        <w:rPr>
          <w:rFonts w:ascii="ITC Avant Garde" w:hAnsi="ITC Avant Garde"/>
          <w:bCs/>
        </w:rPr>
        <w:t>,</w:t>
      </w:r>
      <w:r w:rsidR="008E46F0" w:rsidRPr="00A06D0A">
        <w:rPr>
          <w:rFonts w:ascii="ITC Avant Garde" w:hAnsi="ITC Avant Garde"/>
          <w:bCs/>
        </w:rPr>
        <w:t xml:space="preserve"> </w:t>
      </w:r>
      <w:r w:rsidR="002512DD" w:rsidRPr="00A06D0A">
        <w:rPr>
          <w:rFonts w:ascii="ITC Avant Garde" w:hAnsi="ITC Avant Garde"/>
          <w:bCs/>
        </w:rPr>
        <w:t>son:</w:t>
      </w:r>
    </w:p>
    <w:p w14:paraId="5B7A6B1E" w14:textId="31CD49EC" w:rsidR="002512DD" w:rsidRPr="00A06D0A" w:rsidRDefault="002512DD" w:rsidP="00A16B88">
      <w:pPr>
        <w:pStyle w:val="Prrafodelista"/>
        <w:numPr>
          <w:ilvl w:val="0"/>
          <w:numId w:val="7"/>
        </w:numPr>
        <w:spacing w:before="240"/>
        <w:ind w:left="1077" w:hanging="357"/>
        <w:jc w:val="both"/>
        <w:rPr>
          <w:rFonts w:ascii="ITC Avant Garde" w:eastAsia="Calibri" w:hAnsi="ITC Avant Garde"/>
          <w:bCs/>
          <w:sz w:val="22"/>
          <w:szCs w:val="22"/>
          <w:lang w:val="es-MX" w:eastAsia="en-US"/>
        </w:rPr>
      </w:pPr>
      <w:r w:rsidRPr="00A06D0A">
        <w:rPr>
          <w:rFonts w:ascii="ITC Avant Garde" w:eastAsia="Calibri" w:hAnsi="ITC Avant Garde"/>
          <w:bCs/>
          <w:sz w:val="22"/>
          <w:szCs w:val="22"/>
          <w:lang w:val="es-MX" w:eastAsia="en-US"/>
        </w:rPr>
        <w:lastRenderedPageBreak/>
        <w:t xml:space="preserve">Que el titular de la concesión dé aviso al Instituto por escrito que pretende llevar a cabo una enajenación de acciones, </w:t>
      </w:r>
      <w:r w:rsidR="000A1861" w:rsidRPr="00A06D0A">
        <w:rPr>
          <w:rFonts w:ascii="ITC Avant Garde" w:eastAsia="Calibri" w:hAnsi="ITC Avant Garde"/>
          <w:bCs/>
          <w:sz w:val="22"/>
          <w:szCs w:val="22"/>
          <w:lang w:val="es-MX" w:eastAsia="en-US"/>
        </w:rPr>
        <w:t>debiendo acompañar el aviso con la información detallada de las personas interesadas en adquirir las acciones o partes sociales</w:t>
      </w:r>
      <w:r w:rsidRPr="00A06D0A">
        <w:rPr>
          <w:rFonts w:ascii="ITC Avant Garde" w:eastAsia="Calibri" w:hAnsi="ITC Avant Garde"/>
          <w:bCs/>
          <w:sz w:val="22"/>
          <w:szCs w:val="22"/>
          <w:lang w:val="es-MX" w:eastAsia="en-US"/>
        </w:rPr>
        <w:t>.</w:t>
      </w:r>
    </w:p>
    <w:p w14:paraId="026C3425" w14:textId="2113BE58" w:rsidR="002512DD" w:rsidRPr="00A06D0A" w:rsidRDefault="002512DD" w:rsidP="00A16B88">
      <w:pPr>
        <w:pStyle w:val="Prrafodelista"/>
        <w:numPr>
          <w:ilvl w:val="0"/>
          <w:numId w:val="7"/>
        </w:numPr>
        <w:autoSpaceDE w:val="0"/>
        <w:autoSpaceDN w:val="0"/>
        <w:adjustRightInd w:val="0"/>
        <w:spacing w:before="240"/>
        <w:jc w:val="both"/>
        <w:rPr>
          <w:rFonts w:ascii="ITC Avant Garde" w:hAnsi="ITC Avant Garde"/>
          <w:bCs/>
          <w:sz w:val="22"/>
          <w:szCs w:val="22"/>
        </w:rPr>
      </w:pPr>
      <w:r w:rsidRPr="00A06D0A">
        <w:rPr>
          <w:rFonts w:ascii="ITC Avant Garde" w:eastAsia="Calibri" w:hAnsi="ITC Avant Garde"/>
          <w:bCs/>
          <w:sz w:val="22"/>
          <w:szCs w:val="22"/>
        </w:rPr>
        <w:t>Que el concesionario exhiba comprobante de pago de derechos establecido en la Ley Federal de Derechos.</w:t>
      </w:r>
    </w:p>
    <w:p w14:paraId="19372906" w14:textId="6C127F8C" w:rsidR="00B84158" w:rsidRPr="00EC07C1" w:rsidRDefault="002512DD" w:rsidP="00A16B88">
      <w:pPr>
        <w:autoSpaceDE w:val="0"/>
        <w:autoSpaceDN w:val="0"/>
        <w:adjustRightInd w:val="0"/>
        <w:spacing w:before="240" w:after="0" w:line="240" w:lineRule="auto"/>
        <w:jc w:val="both"/>
        <w:rPr>
          <w:rFonts w:ascii="ITC Avant Garde" w:hAnsi="ITC Avant Garde"/>
          <w:bCs/>
          <w:lang w:eastAsia="es-MX"/>
        </w:rPr>
      </w:pPr>
      <w:r w:rsidRPr="00EC07C1">
        <w:rPr>
          <w:rFonts w:ascii="ITC Avant Garde" w:hAnsi="ITC Avant Garde"/>
          <w:bCs/>
          <w:lang w:val="es-ES" w:eastAsia="es-ES"/>
        </w:rPr>
        <w:t>En primera instancia, destaca</w:t>
      </w:r>
      <w:r w:rsidR="003172FD" w:rsidRPr="00EC07C1">
        <w:rPr>
          <w:rFonts w:ascii="ITC Avant Garde" w:hAnsi="ITC Avant Garde"/>
          <w:bCs/>
          <w:lang w:val="es-ES" w:eastAsia="es-ES"/>
        </w:rPr>
        <w:t xml:space="preserve"> que en el e</w:t>
      </w:r>
      <w:r w:rsidR="004D3822" w:rsidRPr="00EC07C1">
        <w:rPr>
          <w:rFonts w:ascii="ITC Avant Garde" w:hAnsi="ITC Avant Garde"/>
          <w:bCs/>
          <w:lang w:val="es-ES" w:eastAsia="es-ES"/>
        </w:rPr>
        <w:t>xpediente administrativo consta</w:t>
      </w:r>
      <w:r w:rsidR="006E6056" w:rsidRPr="00EC07C1">
        <w:rPr>
          <w:rFonts w:ascii="ITC Avant Garde" w:hAnsi="ITC Avant Garde"/>
          <w:bCs/>
          <w:lang w:val="es-ES" w:eastAsia="es-ES"/>
        </w:rPr>
        <w:t>n</w:t>
      </w:r>
      <w:r w:rsidR="003172FD" w:rsidRPr="00EC07C1">
        <w:rPr>
          <w:rFonts w:ascii="ITC Avant Garde" w:hAnsi="ITC Avant Garde"/>
          <w:bCs/>
          <w:lang w:val="es-ES" w:eastAsia="es-ES"/>
        </w:rPr>
        <w:t xml:space="preserve"> </w:t>
      </w:r>
      <w:r w:rsidR="00553828" w:rsidRPr="00EC07C1">
        <w:rPr>
          <w:rFonts w:ascii="ITC Avant Garde" w:hAnsi="ITC Avant Garde"/>
          <w:bCs/>
          <w:lang w:val="es-ES" w:eastAsia="es-ES"/>
        </w:rPr>
        <w:t>l</w:t>
      </w:r>
      <w:r w:rsidR="006E6056" w:rsidRPr="00EC07C1">
        <w:rPr>
          <w:rFonts w:ascii="ITC Avant Garde" w:hAnsi="ITC Avant Garde"/>
          <w:bCs/>
          <w:lang w:val="es-ES" w:eastAsia="es-ES"/>
        </w:rPr>
        <w:t>os</w:t>
      </w:r>
      <w:r w:rsidR="00553828" w:rsidRPr="00EC07C1">
        <w:rPr>
          <w:rFonts w:ascii="ITC Avant Garde" w:hAnsi="ITC Avant Garde"/>
          <w:bCs/>
          <w:lang w:val="es-ES" w:eastAsia="es-ES"/>
        </w:rPr>
        <w:t xml:space="preserve"> escrito</w:t>
      </w:r>
      <w:r w:rsidR="006E6056" w:rsidRPr="00EC07C1">
        <w:rPr>
          <w:rFonts w:ascii="ITC Avant Garde" w:hAnsi="ITC Avant Garde"/>
          <w:bCs/>
          <w:lang w:val="es-ES" w:eastAsia="es-ES"/>
        </w:rPr>
        <w:t>s</w:t>
      </w:r>
      <w:r w:rsidR="004D3822" w:rsidRPr="00EC07C1">
        <w:rPr>
          <w:rFonts w:ascii="ITC Avant Garde" w:hAnsi="ITC Avant Garde"/>
          <w:bCs/>
          <w:lang w:val="es-ES" w:eastAsia="es-ES"/>
        </w:rPr>
        <w:t xml:space="preserve"> </w:t>
      </w:r>
      <w:r w:rsidR="00331BF9" w:rsidRPr="00EC07C1">
        <w:rPr>
          <w:rFonts w:ascii="ITC Avant Garde" w:hAnsi="ITC Avant Garde"/>
          <w:bCs/>
          <w:lang w:val="es-ES" w:eastAsia="es-ES"/>
        </w:rPr>
        <w:t>presentado</w:t>
      </w:r>
      <w:r w:rsidR="006E6056" w:rsidRPr="00EC07C1">
        <w:rPr>
          <w:rFonts w:ascii="ITC Avant Garde" w:hAnsi="ITC Avant Garde"/>
          <w:bCs/>
          <w:lang w:val="es-ES" w:eastAsia="es-ES"/>
        </w:rPr>
        <w:t>s</w:t>
      </w:r>
      <w:r w:rsidR="006A53AA" w:rsidRPr="00EC07C1">
        <w:rPr>
          <w:rFonts w:ascii="ITC Avant Garde" w:hAnsi="ITC Avant Garde"/>
          <w:bCs/>
          <w:lang w:val="es-ES" w:eastAsia="es-ES"/>
        </w:rPr>
        <w:t xml:space="preserve"> ante este Instituto </w:t>
      </w:r>
      <w:r w:rsidR="002F047E" w:rsidRPr="00EC07C1">
        <w:rPr>
          <w:rFonts w:ascii="ITC Avant Garde" w:hAnsi="ITC Avant Garde"/>
          <w:bCs/>
          <w:lang w:val="es-ES" w:eastAsia="es-ES"/>
        </w:rPr>
        <w:t>e</w:t>
      </w:r>
      <w:r w:rsidR="00331BF9" w:rsidRPr="00EC07C1">
        <w:rPr>
          <w:rFonts w:ascii="ITC Avant Garde" w:hAnsi="ITC Avant Garde"/>
          <w:bCs/>
          <w:lang w:val="es-ES" w:eastAsia="es-ES"/>
        </w:rPr>
        <w:t>l</w:t>
      </w:r>
      <w:r w:rsidR="006A53AA" w:rsidRPr="00EC07C1">
        <w:rPr>
          <w:rFonts w:ascii="ITC Avant Garde" w:hAnsi="ITC Avant Garde"/>
          <w:bCs/>
          <w:lang w:val="es-ES" w:eastAsia="es-ES"/>
        </w:rPr>
        <w:t xml:space="preserve"> </w:t>
      </w:r>
      <w:r w:rsidR="00B84158" w:rsidRPr="00EC07C1">
        <w:rPr>
          <w:rFonts w:ascii="ITC Avant Garde" w:hAnsi="ITC Avant Garde"/>
          <w:bCs/>
          <w:lang w:val="es-ES" w:eastAsia="es-ES"/>
        </w:rPr>
        <w:t xml:space="preserve">24 </w:t>
      </w:r>
      <w:r w:rsidR="006F0187" w:rsidRPr="00EC07C1">
        <w:rPr>
          <w:rFonts w:ascii="ITC Avant Garde" w:hAnsi="ITC Avant Garde"/>
          <w:bCs/>
          <w:lang w:val="es-ES" w:eastAsia="es-ES"/>
        </w:rPr>
        <w:t xml:space="preserve">de </w:t>
      </w:r>
      <w:r w:rsidR="00B84158" w:rsidRPr="00EC07C1">
        <w:rPr>
          <w:rFonts w:ascii="ITC Avant Garde" w:hAnsi="ITC Avant Garde"/>
          <w:bCs/>
          <w:lang w:val="es-ES" w:eastAsia="es-ES"/>
        </w:rPr>
        <w:t xml:space="preserve">febrero y 18 de marzo </w:t>
      </w:r>
      <w:r w:rsidR="004D3822" w:rsidRPr="00EC07C1">
        <w:rPr>
          <w:rFonts w:ascii="ITC Avant Garde" w:hAnsi="ITC Avant Garde"/>
          <w:bCs/>
          <w:lang w:val="es-ES" w:eastAsia="es-ES"/>
        </w:rPr>
        <w:t>de 201</w:t>
      </w:r>
      <w:r w:rsidR="00B84158" w:rsidRPr="00EC07C1">
        <w:rPr>
          <w:rFonts w:ascii="ITC Avant Garde" w:hAnsi="ITC Avant Garde"/>
          <w:bCs/>
          <w:lang w:val="es-ES" w:eastAsia="es-ES"/>
        </w:rPr>
        <w:t>6</w:t>
      </w:r>
      <w:r w:rsidR="004D3822" w:rsidRPr="00EC07C1">
        <w:rPr>
          <w:rFonts w:ascii="ITC Avant Garde" w:hAnsi="ITC Avant Garde"/>
          <w:bCs/>
          <w:lang w:val="es-ES" w:eastAsia="es-ES"/>
        </w:rPr>
        <w:t xml:space="preserve">, </w:t>
      </w:r>
      <w:r w:rsidR="003172FD" w:rsidRPr="00EC07C1">
        <w:rPr>
          <w:rFonts w:ascii="ITC Avant Garde" w:hAnsi="ITC Avant Garde"/>
          <w:bCs/>
          <w:lang w:val="es-ES" w:eastAsia="es-ES"/>
        </w:rPr>
        <w:t xml:space="preserve">mediante </w:t>
      </w:r>
      <w:r w:rsidR="006E6056" w:rsidRPr="00EC07C1">
        <w:rPr>
          <w:rFonts w:ascii="ITC Avant Garde" w:hAnsi="ITC Avant Garde"/>
          <w:bCs/>
          <w:lang w:val="es-ES" w:eastAsia="es-ES"/>
        </w:rPr>
        <w:t xml:space="preserve">los </w:t>
      </w:r>
      <w:r w:rsidR="003172FD" w:rsidRPr="00EC07C1">
        <w:rPr>
          <w:rFonts w:ascii="ITC Avant Garde" w:hAnsi="ITC Avant Garde"/>
          <w:bCs/>
          <w:lang w:val="es-ES" w:eastAsia="es-ES"/>
        </w:rPr>
        <w:t>c</w:t>
      </w:r>
      <w:r w:rsidR="004D3822" w:rsidRPr="00EC07C1">
        <w:rPr>
          <w:rFonts w:ascii="ITC Avant Garde" w:hAnsi="ITC Avant Garde"/>
          <w:bCs/>
          <w:lang w:val="es-ES" w:eastAsia="es-ES"/>
        </w:rPr>
        <w:t>ual</w:t>
      </w:r>
      <w:r w:rsidR="006E6056" w:rsidRPr="00EC07C1">
        <w:rPr>
          <w:rFonts w:ascii="ITC Avant Garde" w:hAnsi="ITC Avant Garde"/>
          <w:bCs/>
          <w:lang w:val="es-ES" w:eastAsia="es-ES"/>
        </w:rPr>
        <w:t>es</w:t>
      </w:r>
      <w:r w:rsidR="003172FD" w:rsidRPr="00EC07C1">
        <w:rPr>
          <w:rFonts w:ascii="ITC Avant Garde" w:hAnsi="ITC Avant Garde"/>
          <w:bCs/>
          <w:lang w:val="es-ES" w:eastAsia="es-ES"/>
        </w:rPr>
        <w:t xml:space="preserve"> </w:t>
      </w:r>
      <w:r w:rsidR="00B84158" w:rsidRPr="00EC07C1">
        <w:rPr>
          <w:rFonts w:ascii="ITC Avant Garde" w:hAnsi="ITC Avant Garde"/>
          <w:bCs/>
          <w:lang w:val="es-ES" w:eastAsia="es-ES"/>
        </w:rPr>
        <w:t>GSAT COMUNICACIONES, S.A. de C.V.</w:t>
      </w:r>
      <w:r w:rsidR="003818A7" w:rsidRPr="00EC07C1">
        <w:rPr>
          <w:rFonts w:ascii="ITC Avant Garde" w:hAnsi="ITC Avant Garde"/>
          <w:bCs/>
          <w:lang w:val="es-ES" w:eastAsia="es-ES"/>
        </w:rPr>
        <w:t>,</w:t>
      </w:r>
      <w:r w:rsidR="00380710" w:rsidRPr="00EC07C1">
        <w:rPr>
          <w:rFonts w:ascii="ITC Avant Garde" w:hAnsi="ITC Avant Garde"/>
          <w:bCs/>
          <w:lang w:val="es-ES" w:eastAsia="es-ES"/>
        </w:rPr>
        <w:t xml:space="preserve"> </w:t>
      </w:r>
      <w:r w:rsidR="003172FD" w:rsidRPr="00EC07C1">
        <w:rPr>
          <w:rFonts w:ascii="ITC Avant Garde" w:hAnsi="ITC Avant Garde"/>
          <w:bCs/>
          <w:lang w:val="es-ES" w:eastAsia="es-ES"/>
        </w:rPr>
        <w:t>solicitó a través de su</w:t>
      </w:r>
      <w:r w:rsidR="00380710" w:rsidRPr="00EC07C1">
        <w:rPr>
          <w:rFonts w:ascii="ITC Avant Garde" w:hAnsi="ITC Avant Garde"/>
          <w:bCs/>
          <w:lang w:val="es-ES" w:eastAsia="es-ES"/>
        </w:rPr>
        <w:t xml:space="preserve"> </w:t>
      </w:r>
      <w:r w:rsidR="00B84158" w:rsidRPr="00EC07C1">
        <w:rPr>
          <w:rFonts w:ascii="ITC Avant Garde" w:hAnsi="ITC Avant Garde"/>
          <w:bCs/>
          <w:lang w:val="es-ES" w:eastAsia="es-ES"/>
        </w:rPr>
        <w:t>r</w:t>
      </w:r>
      <w:r w:rsidR="00380710" w:rsidRPr="00EC07C1">
        <w:rPr>
          <w:rFonts w:ascii="ITC Avant Garde" w:hAnsi="ITC Avant Garde"/>
          <w:bCs/>
          <w:lang w:val="es-ES" w:eastAsia="es-ES"/>
        </w:rPr>
        <w:t>epresentante</w:t>
      </w:r>
      <w:r w:rsidR="003172FD" w:rsidRPr="00EC07C1">
        <w:rPr>
          <w:rFonts w:ascii="ITC Avant Garde" w:hAnsi="ITC Avant Garde"/>
          <w:bCs/>
          <w:lang w:val="es-ES" w:eastAsia="es-ES"/>
        </w:rPr>
        <w:t xml:space="preserve"> legal autorización</w:t>
      </w:r>
      <w:r w:rsidR="00D82CF7">
        <w:rPr>
          <w:rFonts w:ascii="ITC Avant Garde" w:hAnsi="ITC Avant Garde"/>
          <w:bCs/>
          <w:lang w:val="es-ES" w:eastAsia="es-ES"/>
        </w:rPr>
        <w:t xml:space="preserve"> </w:t>
      </w:r>
      <w:r w:rsidR="00910F22">
        <w:rPr>
          <w:rFonts w:ascii="ITC Avant Garde" w:hAnsi="ITC Avant Garde"/>
          <w:bCs/>
          <w:lang w:val="es-ES" w:eastAsia="es-ES"/>
        </w:rPr>
        <w:t>para realizar las siguientes operaciones</w:t>
      </w:r>
      <w:r w:rsidR="00D82CF7">
        <w:rPr>
          <w:rFonts w:ascii="ITC Avant Garde" w:hAnsi="ITC Avant Garde"/>
          <w:bCs/>
          <w:lang w:eastAsia="es-MX"/>
        </w:rPr>
        <w:t xml:space="preserve">: i) el aumento del capital social de la empresa, mediante la emisión de 55,616 (cincuenta y cinco mil seiscientos dieciséis) acciones </w:t>
      </w:r>
      <w:r w:rsidR="00566419" w:rsidRPr="00A02715">
        <w:rPr>
          <w:rFonts w:ascii="ITC Avant Garde" w:eastAsia="Times New Roman" w:hAnsi="ITC Avant Garde"/>
          <w:b/>
          <w:bCs/>
          <w:color w:val="0000CC"/>
          <w:sz w:val="20"/>
          <w:szCs w:val="20"/>
          <w:lang w:eastAsia="es-MX"/>
        </w:rPr>
        <w:t>RESERVADO POR LEY</w:t>
      </w:r>
      <w:r w:rsidR="00D82CF7">
        <w:rPr>
          <w:rFonts w:ascii="ITC Avant Garde" w:hAnsi="ITC Avant Garde"/>
          <w:bCs/>
          <w:lang w:eastAsia="es-MX"/>
        </w:rPr>
        <w:t xml:space="preserve">, que serán suscritas por </w:t>
      </w:r>
      <w:r w:rsidR="00D82CF7" w:rsidRPr="007D50F7">
        <w:rPr>
          <w:rFonts w:ascii="ITC Avant Garde" w:hAnsi="ITC Avant Garde"/>
          <w:bCs/>
          <w:lang w:eastAsia="es-MX"/>
        </w:rPr>
        <w:t>DATA COMUNICACIONES DE MÉXICO, S.A. de C.V.</w:t>
      </w:r>
      <w:r w:rsidR="00D82CF7">
        <w:rPr>
          <w:rFonts w:ascii="ITC Avant Garde" w:hAnsi="ITC Avant Garde"/>
          <w:bCs/>
          <w:lang w:eastAsia="es-MX"/>
        </w:rPr>
        <w:t xml:space="preserve">, y ii) la enajenación de 1 (una) acción de </w:t>
      </w:r>
      <w:r w:rsidR="00D82CF7" w:rsidRPr="007D50F7">
        <w:rPr>
          <w:rFonts w:ascii="ITC Avant Garde" w:eastAsia="Times New Roman" w:hAnsi="ITC Avant Garde"/>
          <w:bCs/>
          <w:lang w:val="es-ES" w:eastAsia="es-MX"/>
        </w:rPr>
        <w:t>GSAT COMUNICACIONES, S.A. de C.V.</w:t>
      </w:r>
      <w:r w:rsidR="00D82CF7">
        <w:rPr>
          <w:rFonts w:ascii="ITC Avant Garde" w:hAnsi="ITC Avant Garde"/>
          <w:bCs/>
          <w:lang w:eastAsia="es-MX"/>
        </w:rPr>
        <w:t xml:space="preserve"> de la cual es titular el C. Ramón Rómulo Ceballos</w:t>
      </w:r>
      <w:r w:rsidR="00910F22">
        <w:rPr>
          <w:rFonts w:ascii="ITC Avant Garde" w:hAnsi="ITC Avant Garde"/>
          <w:bCs/>
          <w:lang w:eastAsia="es-MX"/>
        </w:rPr>
        <w:t xml:space="preserve"> de Cima</w:t>
      </w:r>
      <w:r w:rsidR="00D82CF7">
        <w:rPr>
          <w:rFonts w:ascii="ITC Avant Garde" w:hAnsi="ITC Avant Garde"/>
          <w:bCs/>
          <w:lang w:eastAsia="es-MX"/>
        </w:rPr>
        <w:t xml:space="preserve">, en favor de </w:t>
      </w:r>
      <w:r w:rsidR="00D82CF7" w:rsidRPr="007D50F7">
        <w:rPr>
          <w:rFonts w:ascii="ITC Avant Garde" w:hAnsi="ITC Avant Garde"/>
          <w:bCs/>
          <w:lang w:eastAsia="es-MX"/>
        </w:rPr>
        <w:t>DATA COMUNICACIONES DE MÉXICO, S.A. de C.V.</w:t>
      </w:r>
      <w:r w:rsidR="003172FD" w:rsidRPr="00EC07C1">
        <w:rPr>
          <w:rFonts w:ascii="ITC Avant Garde" w:hAnsi="ITC Avant Garde"/>
          <w:bCs/>
          <w:lang w:val="es-ES" w:eastAsia="es-ES"/>
        </w:rPr>
        <w:t xml:space="preserve"> </w:t>
      </w:r>
    </w:p>
    <w:p w14:paraId="5872561D" w14:textId="1DF918AE" w:rsidR="00B722A7" w:rsidRPr="00A06D0A" w:rsidRDefault="00DA6169" w:rsidP="00A16B88">
      <w:pPr>
        <w:autoSpaceDE w:val="0"/>
        <w:autoSpaceDN w:val="0"/>
        <w:adjustRightInd w:val="0"/>
        <w:spacing w:before="240" w:line="240" w:lineRule="auto"/>
        <w:jc w:val="both"/>
        <w:rPr>
          <w:rFonts w:ascii="ITC Avant Garde" w:hAnsi="ITC Avant Garde"/>
          <w:bCs/>
        </w:rPr>
      </w:pPr>
      <w:r w:rsidRPr="00A06D0A">
        <w:rPr>
          <w:rFonts w:ascii="ITC Avant Garde" w:hAnsi="ITC Avant Garde"/>
          <w:bCs/>
        </w:rPr>
        <w:t>De esta manera</w:t>
      </w:r>
      <w:r w:rsidR="00B722A7" w:rsidRPr="00A06D0A">
        <w:rPr>
          <w:rFonts w:ascii="ITC Avant Garde" w:hAnsi="ITC Avant Garde"/>
          <w:bCs/>
        </w:rPr>
        <w:t xml:space="preserve">, la estructura accionaria actual de </w:t>
      </w:r>
      <w:r w:rsidR="009A758E" w:rsidRPr="00A06D0A">
        <w:rPr>
          <w:rFonts w:ascii="ITC Avant Garde" w:hAnsi="ITC Avant Garde"/>
          <w:bCs/>
          <w:lang w:val="es-ES" w:eastAsia="es-ES"/>
        </w:rPr>
        <w:t>GSAT COMUNICACIONES, S.A. de C.V.</w:t>
      </w:r>
      <w:r w:rsidR="003E3F7C" w:rsidRPr="00A06D0A">
        <w:rPr>
          <w:rFonts w:ascii="ITC Avant Garde" w:hAnsi="ITC Avant Garde"/>
          <w:bCs/>
        </w:rPr>
        <w:t>, previa</w:t>
      </w:r>
      <w:r w:rsidR="00CB20DF" w:rsidRPr="00A06D0A">
        <w:rPr>
          <w:rFonts w:ascii="ITC Avant Garde" w:hAnsi="ITC Avant Garde"/>
          <w:bCs/>
        </w:rPr>
        <w:t xml:space="preserve"> a la operación</w:t>
      </w:r>
      <w:r w:rsidR="00380710" w:rsidRPr="00A06D0A">
        <w:rPr>
          <w:rFonts w:ascii="ITC Avant Garde" w:hAnsi="ITC Avant Garde"/>
          <w:bCs/>
        </w:rPr>
        <w:t xml:space="preserve"> </w:t>
      </w:r>
      <w:r w:rsidR="00B722A7" w:rsidRPr="00A06D0A">
        <w:rPr>
          <w:rFonts w:ascii="ITC Avant Garde" w:hAnsi="ITC Avant Garde"/>
          <w:bCs/>
        </w:rPr>
        <w:t xml:space="preserve">se encuentra integrada de la siguiente </w:t>
      </w:r>
      <w:r w:rsidR="00910B3F">
        <w:rPr>
          <w:rFonts w:ascii="ITC Avant Garde" w:hAnsi="ITC Avant Garde"/>
          <w:bCs/>
        </w:rPr>
        <w:t>forma</w:t>
      </w:r>
      <w:r w:rsidR="00B722A7" w:rsidRPr="00A06D0A">
        <w:rPr>
          <w:rFonts w:ascii="ITC Avant Garde" w:hAnsi="ITC Avant Garde"/>
          <w:bCs/>
        </w:rPr>
        <w:t>:</w:t>
      </w:r>
    </w:p>
    <w:tbl>
      <w:tblPr>
        <w:tblStyle w:val="Tablaconcuadrcula"/>
        <w:tblW w:w="9525" w:type="dxa"/>
        <w:jc w:val="center"/>
        <w:tblLayout w:type="fixed"/>
        <w:tblLook w:val="0000" w:firstRow="0" w:lastRow="0" w:firstColumn="0" w:lastColumn="0" w:noHBand="0" w:noVBand="0"/>
        <w:tblCaption w:val="Tabla de Estructura Accionaria actual de GSAT Comunicaciones, S.A. de C.V."/>
        <w:tblDescription w:val="Es una tabla de 4 columnas en la que indica lo siguiente:&#10;1.- Accionista Soluciones Satelitales Integradas, S.A. de C.V., con Capital Fijo en Acciones de 49 y participación del 98%.&#10;2.- Accionista Ramón Rómulo Cevallos de Cima, con Capital Fijo en Acciones 01 y con una participación del 2%.&#10;(El Capital Fijo en importe es RESERVADO POR LEY)&#10;"/>
      </w:tblPr>
      <w:tblGrid>
        <w:gridCol w:w="2641"/>
        <w:gridCol w:w="2316"/>
        <w:gridCol w:w="2348"/>
        <w:gridCol w:w="2220"/>
      </w:tblGrid>
      <w:tr w:rsidR="00566419" w:rsidRPr="00910B3F" w14:paraId="0C3EBFB3" w14:textId="16A463E4" w:rsidTr="0093666A">
        <w:trPr>
          <w:trHeight w:val="748"/>
          <w:tblHeader/>
          <w:jc w:val="center"/>
        </w:trPr>
        <w:tc>
          <w:tcPr>
            <w:tcW w:w="2641" w:type="dxa"/>
            <w:shd w:val="clear" w:color="auto" w:fill="BFBFBF" w:themeFill="background1" w:themeFillShade="BF"/>
            <w:noWrap/>
            <w:vAlign w:val="center"/>
          </w:tcPr>
          <w:p w14:paraId="51ECC0B6" w14:textId="77777777" w:rsidR="00566419" w:rsidRPr="00910B3F" w:rsidRDefault="00566419" w:rsidP="001B2763">
            <w:pPr>
              <w:autoSpaceDE w:val="0"/>
              <w:autoSpaceDN w:val="0"/>
              <w:adjustRightInd w:val="0"/>
              <w:spacing w:after="0" w:line="240" w:lineRule="auto"/>
              <w:jc w:val="center"/>
              <w:rPr>
                <w:rFonts w:ascii="ITC Avant Garde" w:hAnsi="ITC Avant Garde"/>
                <w:b/>
                <w:bCs/>
                <w:sz w:val="18"/>
                <w:szCs w:val="18"/>
              </w:rPr>
            </w:pPr>
            <w:r w:rsidRPr="00910B3F">
              <w:rPr>
                <w:rFonts w:ascii="ITC Avant Garde" w:hAnsi="ITC Avant Garde"/>
                <w:b/>
                <w:bCs/>
                <w:sz w:val="18"/>
                <w:szCs w:val="18"/>
              </w:rPr>
              <w:t>ACCIONISTA</w:t>
            </w:r>
          </w:p>
        </w:tc>
        <w:tc>
          <w:tcPr>
            <w:tcW w:w="2316" w:type="dxa"/>
            <w:shd w:val="clear" w:color="auto" w:fill="BFBFBF" w:themeFill="background1" w:themeFillShade="BF"/>
            <w:vAlign w:val="center"/>
          </w:tcPr>
          <w:p w14:paraId="5E68FB66" w14:textId="77777777" w:rsidR="00566419" w:rsidRPr="00910B3F" w:rsidRDefault="00566419" w:rsidP="00727387">
            <w:pPr>
              <w:autoSpaceDE w:val="0"/>
              <w:autoSpaceDN w:val="0"/>
              <w:adjustRightInd w:val="0"/>
              <w:spacing w:after="0" w:line="240" w:lineRule="auto"/>
              <w:jc w:val="center"/>
              <w:rPr>
                <w:rFonts w:ascii="ITC Avant Garde" w:hAnsi="ITC Avant Garde"/>
                <w:b/>
                <w:bCs/>
                <w:sz w:val="18"/>
                <w:szCs w:val="18"/>
              </w:rPr>
            </w:pPr>
            <w:r w:rsidRPr="00910B3F">
              <w:rPr>
                <w:rFonts w:ascii="ITC Avant Garde" w:hAnsi="ITC Avant Garde"/>
                <w:b/>
                <w:bCs/>
                <w:sz w:val="18"/>
                <w:szCs w:val="18"/>
              </w:rPr>
              <w:t xml:space="preserve">CAPITAL FIJO </w:t>
            </w:r>
          </w:p>
        </w:tc>
        <w:tc>
          <w:tcPr>
            <w:tcW w:w="2348" w:type="dxa"/>
            <w:shd w:val="clear" w:color="auto" w:fill="BFBFBF" w:themeFill="background1" w:themeFillShade="BF"/>
            <w:vAlign w:val="center"/>
          </w:tcPr>
          <w:p w14:paraId="7AF4611E" w14:textId="0C8C4EA1" w:rsidR="00566419" w:rsidRPr="00910B3F" w:rsidRDefault="00566419" w:rsidP="00727387">
            <w:pPr>
              <w:autoSpaceDE w:val="0"/>
              <w:autoSpaceDN w:val="0"/>
              <w:adjustRightInd w:val="0"/>
              <w:spacing w:after="0" w:line="240" w:lineRule="auto"/>
              <w:jc w:val="center"/>
              <w:rPr>
                <w:rFonts w:ascii="ITC Avant Garde" w:hAnsi="ITC Avant Garde"/>
                <w:b/>
                <w:bCs/>
                <w:sz w:val="18"/>
                <w:szCs w:val="18"/>
              </w:rPr>
            </w:pPr>
            <w:r w:rsidRPr="00910B3F">
              <w:rPr>
                <w:rFonts w:ascii="ITC Avant Garde" w:hAnsi="ITC Avant Garde"/>
                <w:b/>
                <w:bCs/>
                <w:sz w:val="18"/>
                <w:szCs w:val="18"/>
              </w:rPr>
              <w:t>CAPITAL FIJO</w:t>
            </w:r>
          </w:p>
        </w:tc>
        <w:tc>
          <w:tcPr>
            <w:tcW w:w="2220" w:type="dxa"/>
            <w:shd w:val="clear" w:color="auto" w:fill="BFBFBF" w:themeFill="background1" w:themeFillShade="BF"/>
            <w:vAlign w:val="center"/>
          </w:tcPr>
          <w:p w14:paraId="3B98CDD0" w14:textId="0476E054" w:rsidR="00566419" w:rsidRPr="00910B3F" w:rsidRDefault="00566419" w:rsidP="00727387">
            <w:pPr>
              <w:autoSpaceDE w:val="0"/>
              <w:autoSpaceDN w:val="0"/>
              <w:adjustRightInd w:val="0"/>
              <w:spacing w:after="0" w:line="240" w:lineRule="auto"/>
              <w:jc w:val="center"/>
              <w:rPr>
                <w:rFonts w:ascii="ITC Avant Garde" w:hAnsi="ITC Avant Garde"/>
                <w:b/>
                <w:bCs/>
                <w:sz w:val="18"/>
                <w:szCs w:val="18"/>
              </w:rPr>
            </w:pPr>
            <w:r w:rsidRPr="00910B3F">
              <w:rPr>
                <w:rFonts w:ascii="ITC Avant Garde" w:hAnsi="ITC Avant Garde"/>
                <w:b/>
                <w:bCs/>
                <w:sz w:val="18"/>
                <w:szCs w:val="18"/>
              </w:rPr>
              <w:t>PARTICIPACIÓN (%)</w:t>
            </w:r>
          </w:p>
        </w:tc>
      </w:tr>
      <w:tr w:rsidR="00566419" w:rsidRPr="00910B3F" w14:paraId="492E88D7" w14:textId="701C6FF0" w:rsidTr="0093666A">
        <w:trPr>
          <w:trHeight w:val="363"/>
          <w:jc w:val="center"/>
        </w:trPr>
        <w:tc>
          <w:tcPr>
            <w:tcW w:w="2641" w:type="dxa"/>
            <w:noWrap/>
          </w:tcPr>
          <w:p w14:paraId="3846A22C" w14:textId="77777777" w:rsidR="00566419" w:rsidRPr="00910B3F" w:rsidRDefault="00566419" w:rsidP="001B2763">
            <w:pPr>
              <w:autoSpaceDE w:val="0"/>
              <w:autoSpaceDN w:val="0"/>
              <w:adjustRightInd w:val="0"/>
              <w:spacing w:after="0" w:line="240" w:lineRule="auto"/>
              <w:jc w:val="center"/>
              <w:rPr>
                <w:rFonts w:ascii="ITC Avant Garde" w:hAnsi="ITC Avant Garde"/>
                <w:b/>
                <w:bCs/>
                <w:sz w:val="18"/>
                <w:szCs w:val="18"/>
              </w:rPr>
            </w:pPr>
          </w:p>
        </w:tc>
        <w:tc>
          <w:tcPr>
            <w:tcW w:w="2316" w:type="dxa"/>
          </w:tcPr>
          <w:p w14:paraId="08C832F3" w14:textId="4F54D4DC" w:rsidR="00566419" w:rsidRPr="00910B3F" w:rsidRDefault="00566419" w:rsidP="00727387">
            <w:pPr>
              <w:autoSpaceDE w:val="0"/>
              <w:autoSpaceDN w:val="0"/>
              <w:adjustRightInd w:val="0"/>
              <w:spacing w:after="0" w:line="240" w:lineRule="auto"/>
              <w:jc w:val="center"/>
              <w:rPr>
                <w:rFonts w:ascii="ITC Avant Garde" w:hAnsi="ITC Avant Garde"/>
                <w:b/>
                <w:bCs/>
                <w:sz w:val="18"/>
                <w:szCs w:val="18"/>
              </w:rPr>
            </w:pPr>
            <w:r w:rsidRPr="00910B3F">
              <w:rPr>
                <w:rFonts w:ascii="ITC Avant Garde" w:hAnsi="ITC Avant Garde"/>
                <w:b/>
                <w:bCs/>
                <w:sz w:val="18"/>
                <w:szCs w:val="18"/>
              </w:rPr>
              <w:t>ACCIONES</w:t>
            </w:r>
          </w:p>
        </w:tc>
        <w:tc>
          <w:tcPr>
            <w:tcW w:w="2348" w:type="dxa"/>
          </w:tcPr>
          <w:p w14:paraId="03575A44" w14:textId="269879F2" w:rsidR="00566419" w:rsidRPr="00910B3F" w:rsidRDefault="00566419" w:rsidP="00276B73">
            <w:pPr>
              <w:autoSpaceDE w:val="0"/>
              <w:autoSpaceDN w:val="0"/>
              <w:adjustRightInd w:val="0"/>
              <w:spacing w:after="0" w:line="240" w:lineRule="auto"/>
              <w:jc w:val="center"/>
              <w:rPr>
                <w:rFonts w:ascii="ITC Avant Garde" w:hAnsi="ITC Avant Garde"/>
                <w:b/>
                <w:bCs/>
                <w:sz w:val="18"/>
                <w:szCs w:val="18"/>
              </w:rPr>
            </w:pPr>
            <w:r w:rsidRPr="00910B3F">
              <w:rPr>
                <w:rFonts w:ascii="ITC Avant Garde" w:hAnsi="ITC Avant Garde"/>
                <w:b/>
                <w:bCs/>
                <w:sz w:val="18"/>
                <w:szCs w:val="18"/>
              </w:rPr>
              <w:t>IMPORTE</w:t>
            </w:r>
          </w:p>
        </w:tc>
        <w:tc>
          <w:tcPr>
            <w:tcW w:w="2220" w:type="dxa"/>
          </w:tcPr>
          <w:p w14:paraId="0DFF400E" w14:textId="77777777" w:rsidR="00566419" w:rsidRPr="00910B3F" w:rsidRDefault="00566419" w:rsidP="00276B73">
            <w:pPr>
              <w:autoSpaceDE w:val="0"/>
              <w:autoSpaceDN w:val="0"/>
              <w:adjustRightInd w:val="0"/>
              <w:spacing w:after="0" w:line="240" w:lineRule="auto"/>
              <w:jc w:val="center"/>
              <w:rPr>
                <w:rFonts w:ascii="ITC Avant Garde" w:hAnsi="ITC Avant Garde"/>
                <w:b/>
                <w:bCs/>
                <w:sz w:val="18"/>
                <w:szCs w:val="18"/>
              </w:rPr>
            </w:pPr>
          </w:p>
        </w:tc>
      </w:tr>
      <w:tr w:rsidR="009E0596" w:rsidRPr="00910B3F" w14:paraId="530C93F4" w14:textId="144901ED" w:rsidTr="0093666A">
        <w:trPr>
          <w:trHeight w:val="486"/>
          <w:jc w:val="center"/>
        </w:trPr>
        <w:tc>
          <w:tcPr>
            <w:tcW w:w="2641" w:type="dxa"/>
          </w:tcPr>
          <w:p w14:paraId="5E4CFCFC" w14:textId="3B9D7BFA" w:rsidR="009E0596" w:rsidRPr="00910B3F" w:rsidRDefault="009E0596" w:rsidP="0022041E">
            <w:pPr>
              <w:autoSpaceDE w:val="0"/>
              <w:autoSpaceDN w:val="0"/>
              <w:adjustRightInd w:val="0"/>
              <w:spacing w:after="0" w:line="240" w:lineRule="auto"/>
              <w:jc w:val="center"/>
              <w:rPr>
                <w:rFonts w:ascii="ITC Avant Garde" w:hAnsi="ITC Avant Garde"/>
                <w:bCs/>
                <w:sz w:val="18"/>
                <w:szCs w:val="18"/>
              </w:rPr>
            </w:pPr>
            <w:r w:rsidRPr="00910B3F">
              <w:rPr>
                <w:rFonts w:ascii="ITC Avant Garde" w:hAnsi="ITC Avant Garde"/>
                <w:bCs/>
                <w:sz w:val="18"/>
                <w:szCs w:val="18"/>
              </w:rPr>
              <w:t>Soluciones Satelitales Integradas, S.A. de C.V.</w:t>
            </w:r>
          </w:p>
        </w:tc>
        <w:tc>
          <w:tcPr>
            <w:tcW w:w="2316" w:type="dxa"/>
          </w:tcPr>
          <w:p w14:paraId="4A9229E9" w14:textId="23A9EB5B" w:rsidR="009E0596" w:rsidRPr="00910B3F" w:rsidRDefault="009E0596">
            <w:pPr>
              <w:autoSpaceDE w:val="0"/>
              <w:autoSpaceDN w:val="0"/>
              <w:adjustRightInd w:val="0"/>
              <w:spacing w:after="0" w:line="240" w:lineRule="auto"/>
              <w:jc w:val="center"/>
              <w:rPr>
                <w:rFonts w:ascii="ITC Avant Garde" w:hAnsi="ITC Avant Garde"/>
                <w:bCs/>
                <w:sz w:val="18"/>
                <w:szCs w:val="18"/>
              </w:rPr>
            </w:pPr>
            <w:r w:rsidRPr="00910B3F">
              <w:rPr>
                <w:rFonts w:ascii="ITC Avant Garde" w:hAnsi="ITC Avant Garde"/>
                <w:bCs/>
                <w:sz w:val="18"/>
                <w:szCs w:val="18"/>
              </w:rPr>
              <w:t>49</w:t>
            </w:r>
          </w:p>
        </w:tc>
        <w:tc>
          <w:tcPr>
            <w:tcW w:w="2348" w:type="dxa"/>
          </w:tcPr>
          <w:p w14:paraId="1EEF07D7" w14:textId="4370EEE4" w:rsidR="009E0596" w:rsidRPr="00910B3F" w:rsidRDefault="00566419">
            <w:pPr>
              <w:autoSpaceDE w:val="0"/>
              <w:autoSpaceDN w:val="0"/>
              <w:adjustRightInd w:val="0"/>
              <w:spacing w:after="0" w:line="240" w:lineRule="auto"/>
              <w:jc w:val="center"/>
              <w:rPr>
                <w:rFonts w:ascii="ITC Avant Garde" w:hAnsi="ITC Avant Garde"/>
                <w:bCs/>
                <w:sz w:val="18"/>
                <w:szCs w:val="18"/>
              </w:rPr>
            </w:pPr>
            <w:r w:rsidRPr="00A02715">
              <w:rPr>
                <w:rFonts w:ascii="ITC Avant Garde" w:eastAsia="Times New Roman" w:hAnsi="ITC Avant Garde"/>
                <w:b/>
                <w:bCs/>
                <w:color w:val="0000CC"/>
                <w:sz w:val="20"/>
                <w:szCs w:val="20"/>
                <w:lang w:eastAsia="es-MX"/>
              </w:rPr>
              <w:t>RESERVADO POR LEY</w:t>
            </w:r>
          </w:p>
        </w:tc>
        <w:tc>
          <w:tcPr>
            <w:tcW w:w="2220" w:type="dxa"/>
          </w:tcPr>
          <w:p w14:paraId="4FDB9459" w14:textId="73D01083" w:rsidR="009E0596" w:rsidRPr="00910B3F" w:rsidRDefault="009E0596" w:rsidP="00C20DB5">
            <w:pPr>
              <w:autoSpaceDE w:val="0"/>
              <w:autoSpaceDN w:val="0"/>
              <w:adjustRightInd w:val="0"/>
              <w:spacing w:after="0" w:line="240" w:lineRule="auto"/>
              <w:jc w:val="center"/>
              <w:rPr>
                <w:rFonts w:ascii="ITC Avant Garde" w:hAnsi="ITC Avant Garde"/>
                <w:bCs/>
                <w:sz w:val="18"/>
                <w:szCs w:val="18"/>
              </w:rPr>
            </w:pPr>
            <w:r w:rsidRPr="00910B3F">
              <w:rPr>
                <w:rFonts w:ascii="ITC Avant Garde" w:hAnsi="ITC Avant Garde"/>
                <w:bCs/>
                <w:sz w:val="18"/>
                <w:szCs w:val="18"/>
              </w:rPr>
              <w:t>98.00</w:t>
            </w:r>
          </w:p>
        </w:tc>
      </w:tr>
      <w:tr w:rsidR="009E0596" w:rsidRPr="00910B3F" w14:paraId="31D79C59" w14:textId="35D6FD77" w:rsidTr="0093666A">
        <w:trPr>
          <w:trHeight w:val="539"/>
          <w:jc w:val="center"/>
        </w:trPr>
        <w:tc>
          <w:tcPr>
            <w:tcW w:w="2641" w:type="dxa"/>
          </w:tcPr>
          <w:p w14:paraId="2494D11B" w14:textId="279AF533" w:rsidR="009E0596" w:rsidRPr="00910B3F" w:rsidRDefault="009E0596" w:rsidP="0022041E">
            <w:pPr>
              <w:autoSpaceDE w:val="0"/>
              <w:autoSpaceDN w:val="0"/>
              <w:adjustRightInd w:val="0"/>
              <w:spacing w:after="0" w:line="240" w:lineRule="auto"/>
              <w:jc w:val="center"/>
              <w:rPr>
                <w:rFonts w:ascii="ITC Avant Garde" w:hAnsi="ITC Avant Garde"/>
                <w:bCs/>
                <w:sz w:val="18"/>
                <w:szCs w:val="18"/>
              </w:rPr>
            </w:pPr>
            <w:r w:rsidRPr="00910B3F">
              <w:rPr>
                <w:rFonts w:ascii="ITC Avant Garde" w:hAnsi="ITC Avant Garde"/>
                <w:bCs/>
                <w:sz w:val="18"/>
                <w:szCs w:val="18"/>
              </w:rPr>
              <w:t>Ramón Rómulo Cevallos de Cima</w:t>
            </w:r>
          </w:p>
        </w:tc>
        <w:tc>
          <w:tcPr>
            <w:tcW w:w="2316" w:type="dxa"/>
          </w:tcPr>
          <w:p w14:paraId="7C26CE00" w14:textId="7EBD5AF3" w:rsidR="009E0596" w:rsidRPr="00910B3F" w:rsidRDefault="009E0596">
            <w:pPr>
              <w:autoSpaceDE w:val="0"/>
              <w:autoSpaceDN w:val="0"/>
              <w:adjustRightInd w:val="0"/>
              <w:spacing w:after="0" w:line="240" w:lineRule="auto"/>
              <w:jc w:val="center"/>
              <w:rPr>
                <w:rFonts w:ascii="ITC Avant Garde" w:hAnsi="ITC Avant Garde"/>
                <w:bCs/>
                <w:sz w:val="18"/>
                <w:szCs w:val="18"/>
              </w:rPr>
            </w:pPr>
            <w:r w:rsidRPr="00910B3F">
              <w:rPr>
                <w:rFonts w:ascii="ITC Avant Garde" w:hAnsi="ITC Avant Garde"/>
                <w:bCs/>
                <w:sz w:val="18"/>
                <w:szCs w:val="18"/>
              </w:rPr>
              <w:t>01</w:t>
            </w:r>
          </w:p>
        </w:tc>
        <w:tc>
          <w:tcPr>
            <w:tcW w:w="2348" w:type="dxa"/>
          </w:tcPr>
          <w:p w14:paraId="2CA0D9FD" w14:textId="58B2C0A2" w:rsidR="009E0596" w:rsidRPr="00A16B88" w:rsidRDefault="00566419">
            <w:pPr>
              <w:autoSpaceDE w:val="0"/>
              <w:autoSpaceDN w:val="0"/>
              <w:adjustRightInd w:val="0"/>
              <w:spacing w:after="0" w:line="240" w:lineRule="auto"/>
              <w:jc w:val="center"/>
              <w:rPr>
                <w:rFonts w:ascii="ITC Avant Garde" w:hAnsi="ITC Avant Garde"/>
                <w:bCs/>
                <w:sz w:val="18"/>
                <w:szCs w:val="18"/>
                <w:highlight w:val="yellow"/>
              </w:rPr>
            </w:pPr>
            <w:r w:rsidRPr="00A02715">
              <w:rPr>
                <w:rFonts w:ascii="ITC Avant Garde" w:eastAsia="Times New Roman" w:hAnsi="ITC Avant Garde"/>
                <w:b/>
                <w:bCs/>
                <w:color w:val="0000CC"/>
                <w:sz w:val="20"/>
                <w:szCs w:val="20"/>
                <w:lang w:eastAsia="es-MX"/>
              </w:rPr>
              <w:t>RESERVADO POR LEY</w:t>
            </w:r>
          </w:p>
        </w:tc>
        <w:tc>
          <w:tcPr>
            <w:tcW w:w="2220" w:type="dxa"/>
          </w:tcPr>
          <w:p w14:paraId="13C67D9F" w14:textId="1016577F" w:rsidR="009E0596" w:rsidRPr="00910B3F" w:rsidRDefault="009E0596" w:rsidP="00C20DB5">
            <w:pPr>
              <w:autoSpaceDE w:val="0"/>
              <w:autoSpaceDN w:val="0"/>
              <w:adjustRightInd w:val="0"/>
              <w:spacing w:after="0" w:line="240" w:lineRule="auto"/>
              <w:jc w:val="center"/>
              <w:rPr>
                <w:rFonts w:ascii="ITC Avant Garde" w:hAnsi="ITC Avant Garde"/>
                <w:bCs/>
                <w:sz w:val="18"/>
                <w:szCs w:val="18"/>
              </w:rPr>
            </w:pPr>
            <w:r w:rsidRPr="00910B3F">
              <w:rPr>
                <w:rFonts w:ascii="ITC Avant Garde" w:hAnsi="ITC Avant Garde"/>
                <w:bCs/>
                <w:sz w:val="18"/>
                <w:szCs w:val="18"/>
              </w:rPr>
              <w:t>2.00</w:t>
            </w:r>
          </w:p>
        </w:tc>
      </w:tr>
      <w:tr w:rsidR="009E0596" w:rsidRPr="00910B3F" w14:paraId="7BCDEA43" w14:textId="40CE09DD" w:rsidTr="0093666A">
        <w:trPr>
          <w:trHeight w:val="441"/>
          <w:jc w:val="center"/>
        </w:trPr>
        <w:tc>
          <w:tcPr>
            <w:tcW w:w="2641" w:type="dxa"/>
          </w:tcPr>
          <w:p w14:paraId="3795C937" w14:textId="77777777" w:rsidR="009E0596" w:rsidRPr="00910B3F" w:rsidRDefault="009E0596" w:rsidP="001B2763">
            <w:pPr>
              <w:autoSpaceDE w:val="0"/>
              <w:autoSpaceDN w:val="0"/>
              <w:adjustRightInd w:val="0"/>
              <w:spacing w:after="0" w:line="240" w:lineRule="auto"/>
              <w:jc w:val="center"/>
              <w:rPr>
                <w:rFonts w:ascii="ITC Avant Garde" w:hAnsi="ITC Avant Garde"/>
                <w:b/>
                <w:bCs/>
                <w:sz w:val="18"/>
                <w:szCs w:val="18"/>
              </w:rPr>
            </w:pPr>
            <w:r w:rsidRPr="00910B3F">
              <w:rPr>
                <w:rFonts w:ascii="ITC Avant Garde" w:hAnsi="ITC Avant Garde"/>
                <w:b/>
                <w:bCs/>
                <w:sz w:val="18"/>
                <w:szCs w:val="18"/>
              </w:rPr>
              <w:t>Total</w:t>
            </w:r>
          </w:p>
        </w:tc>
        <w:tc>
          <w:tcPr>
            <w:tcW w:w="2316" w:type="dxa"/>
          </w:tcPr>
          <w:p w14:paraId="08551661" w14:textId="431AECD1" w:rsidR="009E0596" w:rsidRPr="00910B3F" w:rsidRDefault="009E0596">
            <w:pPr>
              <w:autoSpaceDE w:val="0"/>
              <w:autoSpaceDN w:val="0"/>
              <w:adjustRightInd w:val="0"/>
              <w:spacing w:after="0" w:line="240" w:lineRule="auto"/>
              <w:jc w:val="center"/>
              <w:rPr>
                <w:rFonts w:ascii="ITC Avant Garde" w:hAnsi="ITC Avant Garde"/>
                <w:b/>
                <w:bCs/>
                <w:sz w:val="18"/>
                <w:szCs w:val="18"/>
              </w:rPr>
            </w:pPr>
            <w:r w:rsidRPr="00910B3F">
              <w:rPr>
                <w:rFonts w:ascii="ITC Avant Garde" w:hAnsi="ITC Avant Garde"/>
                <w:b/>
                <w:bCs/>
                <w:sz w:val="18"/>
                <w:szCs w:val="18"/>
              </w:rPr>
              <w:t>50</w:t>
            </w:r>
          </w:p>
        </w:tc>
        <w:tc>
          <w:tcPr>
            <w:tcW w:w="2348" w:type="dxa"/>
          </w:tcPr>
          <w:p w14:paraId="45F5A529" w14:textId="56295BB9" w:rsidR="009E0596" w:rsidRPr="00A16B88" w:rsidRDefault="00566419" w:rsidP="009A758E">
            <w:pPr>
              <w:autoSpaceDE w:val="0"/>
              <w:autoSpaceDN w:val="0"/>
              <w:adjustRightInd w:val="0"/>
              <w:spacing w:after="0" w:line="240" w:lineRule="auto"/>
              <w:jc w:val="center"/>
              <w:rPr>
                <w:rFonts w:ascii="ITC Avant Garde" w:hAnsi="ITC Avant Garde"/>
                <w:b/>
                <w:bCs/>
                <w:sz w:val="18"/>
                <w:szCs w:val="18"/>
                <w:highlight w:val="yellow"/>
              </w:rPr>
            </w:pPr>
            <w:r w:rsidRPr="00A02715">
              <w:rPr>
                <w:rFonts w:ascii="ITC Avant Garde" w:eastAsia="Times New Roman" w:hAnsi="ITC Avant Garde"/>
                <w:b/>
                <w:bCs/>
                <w:color w:val="0000CC"/>
                <w:sz w:val="20"/>
                <w:szCs w:val="20"/>
                <w:lang w:eastAsia="es-MX"/>
              </w:rPr>
              <w:t>RESERVADO POR LEY</w:t>
            </w:r>
          </w:p>
        </w:tc>
        <w:tc>
          <w:tcPr>
            <w:tcW w:w="2220" w:type="dxa"/>
          </w:tcPr>
          <w:p w14:paraId="3B5D399A" w14:textId="442757D0" w:rsidR="009E0596" w:rsidRPr="00910B3F" w:rsidRDefault="009E0596" w:rsidP="00C20DB5">
            <w:pPr>
              <w:autoSpaceDE w:val="0"/>
              <w:autoSpaceDN w:val="0"/>
              <w:adjustRightInd w:val="0"/>
              <w:spacing w:after="0" w:line="240" w:lineRule="auto"/>
              <w:jc w:val="center"/>
              <w:rPr>
                <w:rFonts w:ascii="ITC Avant Garde" w:hAnsi="ITC Avant Garde"/>
                <w:b/>
                <w:bCs/>
                <w:sz w:val="18"/>
                <w:szCs w:val="18"/>
              </w:rPr>
            </w:pPr>
            <w:r w:rsidRPr="00910B3F">
              <w:rPr>
                <w:rFonts w:ascii="ITC Avant Garde" w:hAnsi="ITC Avant Garde"/>
                <w:b/>
                <w:bCs/>
                <w:sz w:val="18"/>
                <w:szCs w:val="18"/>
              </w:rPr>
              <w:t>100.00</w:t>
            </w:r>
          </w:p>
        </w:tc>
      </w:tr>
    </w:tbl>
    <w:p w14:paraId="40BDC3D9" w14:textId="4F88E7D6" w:rsidR="00404708" w:rsidRPr="00A06D0A" w:rsidRDefault="00404708" w:rsidP="00A16B88">
      <w:pPr>
        <w:autoSpaceDE w:val="0"/>
        <w:autoSpaceDN w:val="0"/>
        <w:adjustRightInd w:val="0"/>
        <w:spacing w:before="240" w:after="0" w:line="240" w:lineRule="auto"/>
        <w:jc w:val="both"/>
        <w:rPr>
          <w:rFonts w:ascii="ITC Avant Garde" w:hAnsi="ITC Avant Garde"/>
          <w:bCs/>
          <w:lang w:val="es-ES" w:eastAsia="es-ES"/>
        </w:rPr>
      </w:pPr>
      <w:r w:rsidRPr="00A06D0A">
        <w:rPr>
          <w:rFonts w:ascii="ITC Avant Garde" w:hAnsi="ITC Avant Garde"/>
          <w:bCs/>
        </w:rPr>
        <w:t xml:space="preserve">En seguimiento a lo anterior, </w:t>
      </w:r>
      <w:r w:rsidR="007E6022" w:rsidRPr="00A06D0A">
        <w:rPr>
          <w:rFonts w:ascii="ITC Avant Garde" w:hAnsi="ITC Avant Garde"/>
          <w:bCs/>
        </w:rPr>
        <w:t>de la Solicitud de Enajenación</w:t>
      </w:r>
      <w:r w:rsidR="00D864B7">
        <w:rPr>
          <w:rFonts w:ascii="ITC Avant Garde" w:hAnsi="ITC Avant Garde"/>
          <w:bCs/>
        </w:rPr>
        <w:t xml:space="preserve"> y Suscripción</w:t>
      </w:r>
      <w:r w:rsidR="007E6022" w:rsidRPr="00A06D0A">
        <w:rPr>
          <w:rFonts w:ascii="ITC Avant Garde" w:hAnsi="ITC Avant Garde"/>
          <w:bCs/>
        </w:rPr>
        <w:t xml:space="preserve"> de Acciones se desprende que </w:t>
      </w:r>
      <w:r w:rsidR="00C85A1E" w:rsidRPr="00A06D0A">
        <w:rPr>
          <w:rFonts w:ascii="ITC Avant Garde" w:hAnsi="ITC Avant Garde"/>
          <w:bCs/>
        </w:rPr>
        <w:t xml:space="preserve">DATA COMUNICACIONES DE MÉXICO, S.A. </w:t>
      </w:r>
      <w:r w:rsidR="00D85FB0">
        <w:rPr>
          <w:rFonts w:ascii="ITC Avant Garde" w:hAnsi="ITC Avant Garde"/>
          <w:bCs/>
        </w:rPr>
        <w:t>de</w:t>
      </w:r>
      <w:r w:rsidR="00C85A1E" w:rsidRPr="00A06D0A">
        <w:rPr>
          <w:rFonts w:ascii="ITC Avant Garde" w:hAnsi="ITC Avant Garde"/>
          <w:bCs/>
        </w:rPr>
        <w:t xml:space="preserve"> C.V.</w:t>
      </w:r>
      <w:r w:rsidR="00952D23" w:rsidRPr="00A06D0A">
        <w:rPr>
          <w:rFonts w:ascii="ITC Avant Garde" w:hAnsi="ITC Avant Garde"/>
          <w:bCs/>
        </w:rPr>
        <w:t>,</w:t>
      </w:r>
      <w:r w:rsidR="00952D23" w:rsidRPr="00A06D0A" w:rsidDel="00952D23">
        <w:rPr>
          <w:rFonts w:ascii="ITC Avant Garde" w:hAnsi="ITC Avant Garde"/>
          <w:bCs/>
          <w:lang w:val="es-ES" w:eastAsia="es-ES"/>
        </w:rPr>
        <w:t xml:space="preserve"> </w:t>
      </w:r>
      <w:r w:rsidR="002006D7" w:rsidRPr="00A06D0A">
        <w:rPr>
          <w:rFonts w:ascii="ITC Avant Garde" w:hAnsi="ITC Avant Garde"/>
          <w:bCs/>
          <w:lang w:val="es-ES" w:eastAsia="es-ES"/>
        </w:rPr>
        <w:t xml:space="preserve">realizará un aumento en el capital social de GSAT COMUNICACIONES, S.A. de C.V., participando </w:t>
      </w:r>
      <w:r w:rsidR="0058409A" w:rsidRPr="00A06D0A">
        <w:rPr>
          <w:rFonts w:ascii="ITC Avant Garde" w:hAnsi="ITC Avant Garde"/>
          <w:bCs/>
          <w:lang w:val="es-ES" w:eastAsia="es-ES"/>
        </w:rPr>
        <w:t xml:space="preserve">como accionista del </w:t>
      </w:r>
      <w:r w:rsidR="002006D7" w:rsidRPr="00A06D0A">
        <w:rPr>
          <w:rFonts w:ascii="ITC Avant Garde" w:hAnsi="ITC Avant Garde"/>
          <w:bCs/>
          <w:lang w:val="es-ES" w:eastAsia="es-ES"/>
        </w:rPr>
        <w:t>capital fijo y</w:t>
      </w:r>
      <w:r w:rsidR="0058409A" w:rsidRPr="00A06D0A">
        <w:rPr>
          <w:rFonts w:ascii="ITC Avant Garde" w:hAnsi="ITC Avant Garde"/>
          <w:bCs/>
          <w:lang w:val="es-ES" w:eastAsia="es-ES"/>
        </w:rPr>
        <w:t xml:space="preserve"> capital </w:t>
      </w:r>
      <w:r w:rsidR="002006D7" w:rsidRPr="00A06D0A">
        <w:rPr>
          <w:rFonts w:ascii="ITC Avant Garde" w:hAnsi="ITC Avant Garde"/>
          <w:bCs/>
          <w:lang w:val="es-ES" w:eastAsia="es-ES"/>
        </w:rPr>
        <w:t>variable</w:t>
      </w:r>
      <w:r w:rsidR="0058409A" w:rsidRPr="00A06D0A">
        <w:rPr>
          <w:rFonts w:ascii="ITC Avant Garde" w:hAnsi="ITC Avant Garde"/>
          <w:bCs/>
          <w:lang w:val="es-ES" w:eastAsia="es-ES"/>
        </w:rPr>
        <w:t xml:space="preserve"> de la sociedad</w:t>
      </w:r>
      <w:r w:rsidR="002006D7" w:rsidRPr="00A06D0A">
        <w:rPr>
          <w:rFonts w:ascii="ITC Avant Garde" w:hAnsi="ITC Avant Garde"/>
          <w:bCs/>
          <w:lang w:val="es-ES" w:eastAsia="es-ES"/>
        </w:rPr>
        <w:t xml:space="preserve">, con una participación </w:t>
      </w:r>
      <w:r w:rsidR="0058409A" w:rsidRPr="00A06D0A">
        <w:rPr>
          <w:rFonts w:ascii="ITC Avant Garde" w:hAnsi="ITC Avant Garde"/>
          <w:bCs/>
          <w:lang w:val="es-ES" w:eastAsia="es-ES"/>
        </w:rPr>
        <w:t xml:space="preserve">como accionista mayoritario en el capital </w:t>
      </w:r>
      <w:r w:rsidR="002006D7" w:rsidRPr="00A06D0A">
        <w:rPr>
          <w:rFonts w:ascii="ITC Avant Garde" w:hAnsi="ITC Avant Garde"/>
          <w:bCs/>
          <w:lang w:val="es-ES" w:eastAsia="es-ES"/>
        </w:rPr>
        <w:t>de la serie “B”</w:t>
      </w:r>
      <w:r w:rsidR="0058409A" w:rsidRPr="00A06D0A">
        <w:rPr>
          <w:rFonts w:ascii="ITC Avant Garde" w:hAnsi="ITC Avant Garde"/>
          <w:bCs/>
          <w:lang w:val="es-ES" w:eastAsia="es-ES"/>
        </w:rPr>
        <w:t>.</w:t>
      </w:r>
    </w:p>
    <w:p w14:paraId="63566131" w14:textId="77777777" w:rsidR="00874BF8" w:rsidRDefault="00E67F87" w:rsidP="00A16B88">
      <w:pPr>
        <w:autoSpaceDE w:val="0"/>
        <w:autoSpaceDN w:val="0"/>
        <w:adjustRightInd w:val="0"/>
        <w:spacing w:before="240" w:line="240" w:lineRule="auto"/>
        <w:jc w:val="both"/>
        <w:rPr>
          <w:rFonts w:ascii="ITC Avant Garde" w:hAnsi="ITC Avant Garde"/>
          <w:bCs/>
        </w:rPr>
        <w:sectPr w:rsidR="00874BF8" w:rsidSect="00566419">
          <w:footerReference w:type="default" r:id="rId11"/>
          <w:footerReference w:type="first" r:id="rId12"/>
          <w:pgSz w:w="12240" w:h="15840"/>
          <w:pgMar w:top="2127" w:right="1418" w:bottom="567" w:left="1418" w:header="709" w:footer="988" w:gutter="0"/>
          <w:pgNumType w:start="1"/>
          <w:cols w:space="708"/>
          <w:titlePg/>
          <w:docGrid w:linePitch="360"/>
        </w:sectPr>
      </w:pPr>
      <w:r w:rsidRPr="00A06D0A">
        <w:rPr>
          <w:rFonts w:ascii="ITC Avant Garde" w:hAnsi="ITC Avant Garde"/>
          <w:bCs/>
        </w:rPr>
        <w:t xml:space="preserve">En </w:t>
      </w:r>
      <w:r w:rsidR="00404708" w:rsidRPr="00A06D0A">
        <w:rPr>
          <w:rFonts w:ascii="ITC Avant Garde" w:hAnsi="ITC Avant Garde"/>
          <w:bCs/>
        </w:rPr>
        <w:t>tal virtud</w:t>
      </w:r>
      <w:r w:rsidR="00896FD7" w:rsidRPr="00A06D0A">
        <w:rPr>
          <w:rFonts w:ascii="ITC Avant Garde" w:hAnsi="ITC Avant Garde"/>
          <w:bCs/>
        </w:rPr>
        <w:t xml:space="preserve">, </w:t>
      </w:r>
      <w:r w:rsidR="004C3ABA" w:rsidRPr="00A06D0A">
        <w:rPr>
          <w:rFonts w:ascii="ITC Avant Garde" w:hAnsi="ITC Avant Garde"/>
          <w:bCs/>
        </w:rPr>
        <w:t>de autorizarse la S</w:t>
      </w:r>
      <w:r w:rsidR="00B651C4" w:rsidRPr="00A06D0A">
        <w:rPr>
          <w:rFonts w:ascii="ITC Avant Garde" w:hAnsi="ITC Avant Garde"/>
          <w:bCs/>
        </w:rPr>
        <w:t>olicitud de Enajenación</w:t>
      </w:r>
      <w:r w:rsidR="00D864B7">
        <w:rPr>
          <w:rFonts w:ascii="ITC Avant Garde" w:hAnsi="ITC Avant Garde"/>
          <w:bCs/>
        </w:rPr>
        <w:t xml:space="preserve"> y Suscripción</w:t>
      </w:r>
      <w:r w:rsidR="00B651C4" w:rsidRPr="00A06D0A">
        <w:rPr>
          <w:rFonts w:ascii="ITC Avant Garde" w:hAnsi="ITC Avant Garde"/>
          <w:bCs/>
        </w:rPr>
        <w:t xml:space="preserve"> de Acciones, el cuadro accionario </w:t>
      </w:r>
      <w:r w:rsidR="007961CB" w:rsidRPr="00A06D0A">
        <w:rPr>
          <w:rFonts w:ascii="ITC Avant Garde" w:hAnsi="ITC Avant Garde"/>
          <w:bCs/>
        </w:rPr>
        <w:t xml:space="preserve">de </w:t>
      </w:r>
      <w:r w:rsidR="0058409A" w:rsidRPr="00A06D0A">
        <w:rPr>
          <w:rFonts w:ascii="ITC Avant Garde" w:hAnsi="ITC Avant Garde"/>
          <w:bCs/>
        </w:rPr>
        <w:t>GSAT COMUNICACIONES, S.A. de C.V.</w:t>
      </w:r>
      <w:r w:rsidR="008E5282" w:rsidRPr="00A06D0A">
        <w:rPr>
          <w:rFonts w:ascii="ITC Avant Garde" w:hAnsi="ITC Avant Garde"/>
          <w:bCs/>
        </w:rPr>
        <w:t>,</w:t>
      </w:r>
      <w:r w:rsidR="007961CB" w:rsidRPr="00A06D0A">
        <w:rPr>
          <w:rFonts w:ascii="ITC Avant Garde" w:hAnsi="ITC Avant Garde"/>
          <w:bCs/>
        </w:rPr>
        <w:t xml:space="preserve"> </w:t>
      </w:r>
      <w:r w:rsidR="00B651C4" w:rsidRPr="00A06D0A">
        <w:rPr>
          <w:rFonts w:ascii="ITC Avant Garde" w:hAnsi="ITC Avant Garde"/>
          <w:bCs/>
        </w:rPr>
        <w:t>quedaría de la siguiente forma</w:t>
      </w:r>
      <w:r w:rsidR="003172FD" w:rsidRPr="00A06D0A">
        <w:rPr>
          <w:rFonts w:ascii="ITC Avant Garde" w:hAnsi="ITC Avant Garde"/>
          <w:bCs/>
        </w:rPr>
        <w:t>:</w:t>
      </w:r>
    </w:p>
    <w:p w14:paraId="113B9BF0" w14:textId="3CAD6708" w:rsidR="003172FD" w:rsidRPr="00A06D0A" w:rsidRDefault="003172FD" w:rsidP="00A16B88">
      <w:pPr>
        <w:autoSpaceDE w:val="0"/>
        <w:autoSpaceDN w:val="0"/>
        <w:adjustRightInd w:val="0"/>
        <w:spacing w:before="240" w:line="240" w:lineRule="auto"/>
        <w:jc w:val="both"/>
        <w:rPr>
          <w:rFonts w:ascii="ITC Avant Garde" w:hAnsi="ITC Avant Garde"/>
          <w:bCs/>
        </w:rPr>
      </w:pPr>
    </w:p>
    <w:tbl>
      <w:tblPr>
        <w:tblStyle w:val="Tablaconcuadrcula"/>
        <w:tblW w:w="9614" w:type="dxa"/>
        <w:jc w:val="center"/>
        <w:tblLayout w:type="fixed"/>
        <w:tblLook w:val="0000" w:firstRow="0" w:lastRow="0" w:firstColumn="0" w:lastColumn="0" w:noHBand="0" w:noVBand="0"/>
        <w:tblCaption w:val="Tabla de solicitud de Enajenación y Suscripción de Acciones."/>
        <w:tblDescription w:val="Es una tabla de 6 columnas en la que indica lo siguiente:&#10;1.- Accionista Soluciones Satelitales Integradas, S.A. de C.V., con Capital Fijo en Acciones de 49, Serie B 0 y participación del .09%.&#10;2.- Accionista Data Comunicaciones de México, S.A. de C.V, con Capital Fijo en Acciones 01, Serie B de 55.616 y con una participación del 99.91%.&#10;(El Capital Fijo en importe y Serie B con Importe son RESERVADO POR LEY)&#10;"/>
      </w:tblPr>
      <w:tblGrid>
        <w:gridCol w:w="2099"/>
        <w:gridCol w:w="1440"/>
        <w:gridCol w:w="1409"/>
        <w:gridCol w:w="1284"/>
        <w:gridCol w:w="1709"/>
        <w:gridCol w:w="1673"/>
      </w:tblGrid>
      <w:tr w:rsidR="00874BF8" w:rsidRPr="00C85A1E" w14:paraId="1F7AB67A" w14:textId="449247C0" w:rsidTr="00874BF8">
        <w:trPr>
          <w:trHeight w:val="549"/>
          <w:tblHeader/>
          <w:jc w:val="center"/>
        </w:trPr>
        <w:tc>
          <w:tcPr>
            <w:tcW w:w="2099" w:type="dxa"/>
            <w:shd w:val="clear" w:color="auto" w:fill="BFBFBF" w:themeFill="background1" w:themeFillShade="BF"/>
            <w:noWrap/>
            <w:vAlign w:val="center"/>
          </w:tcPr>
          <w:p w14:paraId="1E88755C" w14:textId="77777777"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r w:rsidRPr="00C85A1E">
              <w:rPr>
                <w:rFonts w:ascii="ITC Avant Garde" w:hAnsi="ITC Avant Garde"/>
                <w:b/>
                <w:bCs/>
                <w:sz w:val="18"/>
                <w:szCs w:val="18"/>
              </w:rPr>
              <w:t>ACCIONISTA</w:t>
            </w:r>
          </w:p>
        </w:tc>
        <w:tc>
          <w:tcPr>
            <w:tcW w:w="1440" w:type="dxa"/>
            <w:shd w:val="clear" w:color="auto" w:fill="BFBFBF" w:themeFill="background1" w:themeFillShade="BF"/>
            <w:vAlign w:val="center"/>
          </w:tcPr>
          <w:p w14:paraId="0119877E" w14:textId="77777777"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r w:rsidRPr="00C85A1E">
              <w:rPr>
                <w:rFonts w:ascii="ITC Avant Garde" w:hAnsi="ITC Avant Garde"/>
                <w:b/>
                <w:bCs/>
                <w:sz w:val="18"/>
                <w:szCs w:val="18"/>
              </w:rPr>
              <w:t xml:space="preserve">CAPITAL FIJO </w:t>
            </w:r>
          </w:p>
        </w:tc>
        <w:tc>
          <w:tcPr>
            <w:tcW w:w="1409" w:type="dxa"/>
            <w:shd w:val="clear" w:color="auto" w:fill="BFBFBF" w:themeFill="background1" w:themeFillShade="BF"/>
            <w:vAlign w:val="center"/>
          </w:tcPr>
          <w:p w14:paraId="2D653A4F" w14:textId="50573694"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r w:rsidRPr="00C85A1E">
              <w:rPr>
                <w:rFonts w:ascii="ITC Avant Garde" w:hAnsi="ITC Avant Garde"/>
                <w:b/>
                <w:bCs/>
                <w:sz w:val="18"/>
                <w:szCs w:val="18"/>
              </w:rPr>
              <w:t xml:space="preserve">CAPITAL FIJO </w:t>
            </w:r>
          </w:p>
        </w:tc>
        <w:tc>
          <w:tcPr>
            <w:tcW w:w="1284" w:type="dxa"/>
            <w:shd w:val="clear" w:color="auto" w:fill="BFBFBF" w:themeFill="background1" w:themeFillShade="BF"/>
            <w:vAlign w:val="center"/>
          </w:tcPr>
          <w:p w14:paraId="054E3512" w14:textId="77777777"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r w:rsidRPr="00C85A1E">
              <w:rPr>
                <w:rFonts w:ascii="ITC Avant Garde" w:hAnsi="ITC Avant Garde"/>
                <w:b/>
                <w:bCs/>
                <w:sz w:val="18"/>
                <w:szCs w:val="18"/>
              </w:rPr>
              <w:t>SERIE “B”</w:t>
            </w:r>
          </w:p>
        </w:tc>
        <w:tc>
          <w:tcPr>
            <w:tcW w:w="1709" w:type="dxa"/>
            <w:shd w:val="clear" w:color="auto" w:fill="BFBFBF" w:themeFill="background1" w:themeFillShade="BF"/>
            <w:vAlign w:val="center"/>
          </w:tcPr>
          <w:p w14:paraId="3F104277" w14:textId="6A30C923"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r w:rsidRPr="00C85A1E">
              <w:rPr>
                <w:rFonts w:ascii="ITC Avant Garde" w:hAnsi="ITC Avant Garde"/>
                <w:b/>
                <w:bCs/>
                <w:sz w:val="18"/>
                <w:szCs w:val="18"/>
              </w:rPr>
              <w:t>SERIE “B”</w:t>
            </w:r>
          </w:p>
        </w:tc>
        <w:tc>
          <w:tcPr>
            <w:tcW w:w="1673" w:type="dxa"/>
            <w:shd w:val="clear" w:color="auto" w:fill="BFBFBF" w:themeFill="background1" w:themeFillShade="BF"/>
            <w:vAlign w:val="center"/>
          </w:tcPr>
          <w:p w14:paraId="3AD75F20" w14:textId="4B6D4BDA"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r w:rsidRPr="00C85A1E">
              <w:rPr>
                <w:rFonts w:ascii="ITC Avant Garde" w:hAnsi="ITC Avant Garde"/>
                <w:b/>
                <w:bCs/>
                <w:sz w:val="18"/>
                <w:szCs w:val="18"/>
              </w:rPr>
              <w:t>PARTICIPACIÓN (%)</w:t>
            </w:r>
          </w:p>
        </w:tc>
      </w:tr>
      <w:tr w:rsidR="00874BF8" w:rsidRPr="00C85A1E" w14:paraId="1E854EDB" w14:textId="73692850" w:rsidTr="00874BF8">
        <w:trPr>
          <w:trHeight w:val="656"/>
          <w:jc w:val="center"/>
        </w:trPr>
        <w:tc>
          <w:tcPr>
            <w:tcW w:w="2099" w:type="dxa"/>
            <w:noWrap/>
          </w:tcPr>
          <w:p w14:paraId="41B72EA0" w14:textId="77777777"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p>
        </w:tc>
        <w:tc>
          <w:tcPr>
            <w:tcW w:w="1440" w:type="dxa"/>
          </w:tcPr>
          <w:p w14:paraId="12EB34F5" w14:textId="3B03CE13"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r w:rsidRPr="00C85A1E">
              <w:rPr>
                <w:rFonts w:ascii="ITC Avant Garde" w:hAnsi="ITC Avant Garde"/>
                <w:b/>
                <w:bCs/>
                <w:sz w:val="18"/>
                <w:szCs w:val="18"/>
              </w:rPr>
              <w:t>ACCIONES</w:t>
            </w:r>
          </w:p>
        </w:tc>
        <w:tc>
          <w:tcPr>
            <w:tcW w:w="1409" w:type="dxa"/>
          </w:tcPr>
          <w:p w14:paraId="645B52D3" w14:textId="77777777"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r w:rsidRPr="00C85A1E">
              <w:rPr>
                <w:rFonts w:ascii="ITC Avant Garde" w:hAnsi="ITC Avant Garde"/>
                <w:b/>
                <w:bCs/>
                <w:sz w:val="18"/>
                <w:szCs w:val="18"/>
              </w:rPr>
              <w:t>IMPORTE</w:t>
            </w:r>
          </w:p>
        </w:tc>
        <w:tc>
          <w:tcPr>
            <w:tcW w:w="1284" w:type="dxa"/>
          </w:tcPr>
          <w:p w14:paraId="450BF074" w14:textId="374D9806"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r w:rsidRPr="00C85A1E">
              <w:rPr>
                <w:rFonts w:ascii="ITC Avant Garde" w:hAnsi="ITC Avant Garde"/>
                <w:b/>
                <w:bCs/>
                <w:sz w:val="18"/>
                <w:szCs w:val="18"/>
              </w:rPr>
              <w:t>ACCIONES</w:t>
            </w:r>
          </w:p>
        </w:tc>
        <w:tc>
          <w:tcPr>
            <w:tcW w:w="1709" w:type="dxa"/>
          </w:tcPr>
          <w:p w14:paraId="76146C47" w14:textId="67C0EF13"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r w:rsidRPr="00C85A1E">
              <w:rPr>
                <w:rFonts w:ascii="ITC Avant Garde" w:hAnsi="ITC Avant Garde"/>
                <w:b/>
                <w:bCs/>
                <w:sz w:val="18"/>
                <w:szCs w:val="18"/>
              </w:rPr>
              <w:t>IMPORTE</w:t>
            </w:r>
          </w:p>
        </w:tc>
        <w:tc>
          <w:tcPr>
            <w:tcW w:w="1673" w:type="dxa"/>
          </w:tcPr>
          <w:p w14:paraId="243C6F2A" w14:textId="77777777"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p>
        </w:tc>
      </w:tr>
      <w:tr w:rsidR="00874BF8" w:rsidRPr="00C85A1E" w14:paraId="4D50D931" w14:textId="3D815987" w:rsidTr="00874BF8">
        <w:trPr>
          <w:trHeight w:val="609"/>
          <w:jc w:val="center"/>
        </w:trPr>
        <w:tc>
          <w:tcPr>
            <w:tcW w:w="2099" w:type="dxa"/>
          </w:tcPr>
          <w:p w14:paraId="7B2EF81A" w14:textId="77777777" w:rsidR="00874BF8" w:rsidRPr="00C85A1E" w:rsidRDefault="00874BF8" w:rsidP="00874BF8">
            <w:pPr>
              <w:autoSpaceDE w:val="0"/>
              <w:autoSpaceDN w:val="0"/>
              <w:adjustRightInd w:val="0"/>
              <w:spacing w:after="0" w:line="240" w:lineRule="auto"/>
              <w:jc w:val="center"/>
              <w:rPr>
                <w:rFonts w:ascii="ITC Avant Garde" w:hAnsi="ITC Avant Garde"/>
                <w:bCs/>
                <w:sz w:val="18"/>
                <w:szCs w:val="18"/>
              </w:rPr>
            </w:pPr>
            <w:r w:rsidRPr="00C85A1E">
              <w:rPr>
                <w:rFonts w:ascii="ITC Avant Garde" w:hAnsi="ITC Avant Garde"/>
                <w:bCs/>
                <w:sz w:val="18"/>
                <w:szCs w:val="18"/>
              </w:rPr>
              <w:t>Soluciones Satelitales Integradas, S.A. de C.V.</w:t>
            </w:r>
          </w:p>
        </w:tc>
        <w:tc>
          <w:tcPr>
            <w:tcW w:w="1440" w:type="dxa"/>
          </w:tcPr>
          <w:p w14:paraId="53F107C3" w14:textId="77777777" w:rsidR="00874BF8" w:rsidRPr="00C85A1E" w:rsidRDefault="00874BF8" w:rsidP="00874BF8">
            <w:pPr>
              <w:autoSpaceDE w:val="0"/>
              <w:autoSpaceDN w:val="0"/>
              <w:adjustRightInd w:val="0"/>
              <w:spacing w:after="0" w:line="240" w:lineRule="auto"/>
              <w:jc w:val="center"/>
              <w:rPr>
                <w:rFonts w:ascii="ITC Avant Garde" w:hAnsi="ITC Avant Garde"/>
                <w:bCs/>
                <w:sz w:val="18"/>
                <w:szCs w:val="18"/>
              </w:rPr>
            </w:pPr>
            <w:r w:rsidRPr="00C85A1E">
              <w:rPr>
                <w:rFonts w:ascii="ITC Avant Garde" w:hAnsi="ITC Avant Garde"/>
                <w:bCs/>
                <w:sz w:val="18"/>
                <w:szCs w:val="18"/>
              </w:rPr>
              <w:t>49</w:t>
            </w:r>
          </w:p>
        </w:tc>
        <w:tc>
          <w:tcPr>
            <w:tcW w:w="1409" w:type="dxa"/>
          </w:tcPr>
          <w:p w14:paraId="60C3A9AA" w14:textId="12DDD12E" w:rsidR="00874BF8" w:rsidRPr="00A16B88" w:rsidRDefault="00874BF8" w:rsidP="00874BF8">
            <w:pPr>
              <w:autoSpaceDE w:val="0"/>
              <w:autoSpaceDN w:val="0"/>
              <w:adjustRightInd w:val="0"/>
              <w:spacing w:after="0" w:line="240" w:lineRule="auto"/>
              <w:jc w:val="center"/>
              <w:rPr>
                <w:rFonts w:ascii="ITC Avant Garde" w:hAnsi="ITC Avant Garde"/>
                <w:bCs/>
                <w:sz w:val="18"/>
                <w:szCs w:val="18"/>
                <w:highlight w:val="yellow"/>
              </w:rPr>
            </w:pPr>
            <w:r w:rsidRPr="00A02715">
              <w:rPr>
                <w:rFonts w:ascii="ITC Avant Garde" w:eastAsia="Times New Roman" w:hAnsi="ITC Avant Garde"/>
                <w:b/>
                <w:bCs/>
                <w:color w:val="0000CC"/>
                <w:sz w:val="20"/>
                <w:szCs w:val="20"/>
                <w:lang w:eastAsia="es-MX"/>
              </w:rPr>
              <w:t>RESERVADO POR LEY</w:t>
            </w:r>
          </w:p>
        </w:tc>
        <w:tc>
          <w:tcPr>
            <w:tcW w:w="1284" w:type="dxa"/>
          </w:tcPr>
          <w:p w14:paraId="4FF44BA9" w14:textId="028E87ED" w:rsidR="00874BF8" w:rsidRPr="00C85A1E" w:rsidRDefault="00874BF8" w:rsidP="00874BF8">
            <w:pPr>
              <w:autoSpaceDE w:val="0"/>
              <w:autoSpaceDN w:val="0"/>
              <w:adjustRightInd w:val="0"/>
              <w:spacing w:after="0" w:line="240" w:lineRule="auto"/>
              <w:jc w:val="center"/>
              <w:rPr>
                <w:rFonts w:ascii="ITC Avant Garde" w:hAnsi="ITC Avant Garde"/>
                <w:bCs/>
                <w:sz w:val="18"/>
                <w:szCs w:val="18"/>
              </w:rPr>
            </w:pPr>
            <w:r w:rsidRPr="00C85A1E">
              <w:rPr>
                <w:rFonts w:ascii="ITC Avant Garde" w:hAnsi="ITC Avant Garde"/>
                <w:bCs/>
                <w:sz w:val="18"/>
                <w:szCs w:val="18"/>
              </w:rPr>
              <w:t>0</w:t>
            </w:r>
          </w:p>
        </w:tc>
        <w:tc>
          <w:tcPr>
            <w:tcW w:w="1709" w:type="dxa"/>
          </w:tcPr>
          <w:p w14:paraId="6A07700D" w14:textId="4DADF950" w:rsidR="00874BF8" w:rsidRPr="00A16B88" w:rsidRDefault="00874BF8" w:rsidP="00874BF8">
            <w:pPr>
              <w:autoSpaceDE w:val="0"/>
              <w:autoSpaceDN w:val="0"/>
              <w:adjustRightInd w:val="0"/>
              <w:spacing w:after="0" w:line="240" w:lineRule="auto"/>
              <w:jc w:val="center"/>
              <w:rPr>
                <w:rFonts w:ascii="ITC Avant Garde" w:hAnsi="ITC Avant Garde"/>
                <w:bCs/>
                <w:sz w:val="18"/>
                <w:szCs w:val="18"/>
                <w:highlight w:val="yellow"/>
              </w:rPr>
            </w:pPr>
            <w:r w:rsidRPr="00A02715">
              <w:rPr>
                <w:rFonts w:ascii="ITC Avant Garde" w:eastAsia="Times New Roman" w:hAnsi="ITC Avant Garde"/>
                <w:b/>
                <w:bCs/>
                <w:color w:val="0000CC"/>
                <w:sz w:val="20"/>
                <w:szCs w:val="20"/>
                <w:lang w:eastAsia="es-MX"/>
              </w:rPr>
              <w:t>RESERVADO POR LEY</w:t>
            </w:r>
          </w:p>
        </w:tc>
        <w:tc>
          <w:tcPr>
            <w:tcW w:w="1673" w:type="dxa"/>
          </w:tcPr>
          <w:p w14:paraId="26545D85" w14:textId="2D200CF1" w:rsidR="00874BF8" w:rsidRPr="00C85A1E" w:rsidRDefault="00874BF8" w:rsidP="00874BF8">
            <w:pPr>
              <w:autoSpaceDE w:val="0"/>
              <w:autoSpaceDN w:val="0"/>
              <w:adjustRightInd w:val="0"/>
              <w:spacing w:after="0" w:line="240" w:lineRule="auto"/>
              <w:jc w:val="center"/>
              <w:rPr>
                <w:rFonts w:ascii="ITC Avant Garde" w:hAnsi="ITC Avant Garde"/>
                <w:bCs/>
                <w:sz w:val="18"/>
                <w:szCs w:val="18"/>
              </w:rPr>
            </w:pPr>
            <w:r w:rsidRPr="00C85A1E">
              <w:rPr>
                <w:rFonts w:ascii="ITC Avant Garde" w:hAnsi="ITC Avant Garde"/>
                <w:bCs/>
                <w:sz w:val="18"/>
                <w:szCs w:val="18"/>
              </w:rPr>
              <w:t>0.09</w:t>
            </w:r>
          </w:p>
        </w:tc>
      </w:tr>
      <w:tr w:rsidR="00874BF8" w:rsidRPr="00C85A1E" w14:paraId="346E881F" w14:textId="0D948A1E" w:rsidTr="00874BF8">
        <w:trPr>
          <w:trHeight w:val="698"/>
          <w:jc w:val="center"/>
        </w:trPr>
        <w:tc>
          <w:tcPr>
            <w:tcW w:w="2099" w:type="dxa"/>
          </w:tcPr>
          <w:p w14:paraId="31A8FF00" w14:textId="54D7943E" w:rsidR="00874BF8" w:rsidRPr="00C85A1E" w:rsidRDefault="00874BF8" w:rsidP="00874BF8">
            <w:pPr>
              <w:autoSpaceDE w:val="0"/>
              <w:autoSpaceDN w:val="0"/>
              <w:adjustRightInd w:val="0"/>
              <w:spacing w:after="0" w:line="240" w:lineRule="auto"/>
              <w:jc w:val="center"/>
              <w:rPr>
                <w:rFonts w:ascii="ITC Avant Garde" w:hAnsi="ITC Avant Garde"/>
                <w:bCs/>
                <w:sz w:val="18"/>
                <w:szCs w:val="18"/>
              </w:rPr>
            </w:pPr>
            <w:r w:rsidRPr="00C85A1E">
              <w:rPr>
                <w:rFonts w:ascii="ITC Avant Garde" w:hAnsi="ITC Avant Garde"/>
                <w:bCs/>
                <w:sz w:val="18"/>
                <w:szCs w:val="18"/>
              </w:rPr>
              <w:t>Data Comunicaciones de México, S.A. de C.V.</w:t>
            </w:r>
          </w:p>
        </w:tc>
        <w:tc>
          <w:tcPr>
            <w:tcW w:w="1440" w:type="dxa"/>
          </w:tcPr>
          <w:p w14:paraId="3B4B6071" w14:textId="77777777" w:rsidR="00874BF8" w:rsidRPr="00C85A1E" w:rsidRDefault="00874BF8" w:rsidP="00874BF8">
            <w:pPr>
              <w:autoSpaceDE w:val="0"/>
              <w:autoSpaceDN w:val="0"/>
              <w:adjustRightInd w:val="0"/>
              <w:spacing w:after="0" w:line="240" w:lineRule="auto"/>
              <w:jc w:val="center"/>
              <w:rPr>
                <w:rFonts w:ascii="ITC Avant Garde" w:hAnsi="ITC Avant Garde"/>
                <w:bCs/>
                <w:sz w:val="18"/>
                <w:szCs w:val="18"/>
              </w:rPr>
            </w:pPr>
            <w:r w:rsidRPr="00C85A1E">
              <w:rPr>
                <w:rFonts w:ascii="ITC Avant Garde" w:hAnsi="ITC Avant Garde"/>
                <w:bCs/>
                <w:sz w:val="18"/>
                <w:szCs w:val="18"/>
              </w:rPr>
              <w:t>01</w:t>
            </w:r>
          </w:p>
        </w:tc>
        <w:tc>
          <w:tcPr>
            <w:tcW w:w="1409" w:type="dxa"/>
          </w:tcPr>
          <w:p w14:paraId="55BFA6CA" w14:textId="5DEA6094" w:rsidR="00874BF8" w:rsidRPr="00A16B88" w:rsidRDefault="00874BF8" w:rsidP="00874BF8">
            <w:pPr>
              <w:autoSpaceDE w:val="0"/>
              <w:autoSpaceDN w:val="0"/>
              <w:adjustRightInd w:val="0"/>
              <w:spacing w:after="0" w:line="240" w:lineRule="auto"/>
              <w:jc w:val="center"/>
              <w:rPr>
                <w:rFonts w:ascii="ITC Avant Garde" w:hAnsi="ITC Avant Garde"/>
                <w:bCs/>
                <w:sz w:val="18"/>
                <w:szCs w:val="18"/>
                <w:highlight w:val="yellow"/>
              </w:rPr>
            </w:pPr>
            <w:r w:rsidRPr="00A02715">
              <w:rPr>
                <w:rFonts w:ascii="ITC Avant Garde" w:eastAsia="Times New Roman" w:hAnsi="ITC Avant Garde"/>
                <w:b/>
                <w:bCs/>
                <w:color w:val="0000CC"/>
                <w:sz w:val="20"/>
                <w:szCs w:val="20"/>
                <w:lang w:eastAsia="es-MX"/>
              </w:rPr>
              <w:t>RESERVADO POR LEY</w:t>
            </w:r>
          </w:p>
        </w:tc>
        <w:tc>
          <w:tcPr>
            <w:tcW w:w="1284" w:type="dxa"/>
          </w:tcPr>
          <w:p w14:paraId="755BEC67" w14:textId="29FBA95E" w:rsidR="00874BF8" w:rsidRPr="00C85A1E" w:rsidRDefault="00874BF8" w:rsidP="00874BF8">
            <w:pPr>
              <w:autoSpaceDE w:val="0"/>
              <w:autoSpaceDN w:val="0"/>
              <w:adjustRightInd w:val="0"/>
              <w:spacing w:after="0" w:line="240" w:lineRule="auto"/>
              <w:jc w:val="center"/>
              <w:rPr>
                <w:rFonts w:ascii="ITC Avant Garde" w:hAnsi="ITC Avant Garde"/>
                <w:bCs/>
                <w:sz w:val="18"/>
                <w:szCs w:val="18"/>
              </w:rPr>
            </w:pPr>
            <w:r w:rsidRPr="00C85A1E">
              <w:rPr>
                <w:rFonts w:ascii="ITC Avant Garde" w:hAnsi="ITC Avant Garde"/>
                <w:bCs/>
                <w:sz w:val="18"/>
                <w:szCs w:val="18"/>
              </w:rPr>
              <w:t>55,616</w:t>
            </w:r>
          </w:p>
        </w:tc>
        <w:tc>
          <w:tcPr>
            <w:tcW w:w="1709" w:type="dxa"/>
          </w:tcPr>
          <w:p w14:paraId="6289331C" w14:textId="5B99E9BB" w:rsidR="00874BF8" w:rsidRPr="00A16B88" w:rsidRDefault="00874BF8" w:rsidP="00874BF8">
            <w:pPr>
              <w:autoSpaceDE w:val="0"/>
              <w:autoSpaceDN w:val="0"/>
              <w:adjustRightInd w:val="0"/>
              <w:spacing w:after="0" w:line="240" w:lineRule="auto"/>
              <w:jc w:val="center"/>
              <w:rPr>
                <w:rFonts w:ascii="ITC Avant Garde" w:hAnsi="ITC Avant Garde"/>
                <w:bCs/>
                <w:sz w:val="18"/>
                <w:szCs w:val="18"/>
                <w:highlight w:val="yellow"/>
              </w:rPr>
            </w:pPr>
            <w:r w:rsidRPr="00A02715">
              <w:rPr>
                <w:rFonts w:ascii="ITC Avant Garde" w:eastAsia="Times New Roman" w:hAnsi="ITC Avant Garde"/>
                <w:b/>
                <w:bCs/>
                <w:color w:val="0000CC"/>
                <w:sz w:val="20"/>
                <w:szCs w:val="20"/>
                <w:lang w:eastAsia="es-MX"/>
              </w:rPr>
              <w:t>RESERVADO POR LEY</w:t>
            </w:r>
          </w:p>
        </w:tc>
        <w:tc>
          <w:tcPr>
            <w:tcW w:w="1673" w:type="dxa"/>
          </w:tcPr>
          <w:p w14:paraId="1683495D" w14:textId="419D3831" w:rsidR="00874BF8" w:rsidRPr="00C85A1E" w:rsidRDefault="00874BF8" w:rsidP="00874BF8">
            <w:pPr>
              <w:autoSpaceDE w:val="0"/>
              <w:autoSpaceDN w:val="0"/>
              <w:adjustRightInd w:val="0"/>
              <w:spacing w:after="0" w:line="240" w:lineRule="auto"/>
              <w:jc w:val="center"/>
              <w:rPr>
                <w:rFonts w:ascii="ITC Avant Garde" w:hAnsi="ITC Avant Garde"/>
                <w:bCs/>
                <w:sz w:val="18"/>
                <w:szCs w:val="18"/>
              </w:rPr>
            </w:pPr>
            <w:r w:rsidRPr="00C85A1E">
              <w:rPr>
                <w:rFonts w:ascii="ITC Avant Garde" w:hAnsi="ITC Avant Garde"/>
                <w:bCs/>
                <w:sz w:val="18"/>
                <w:szCs w:val="18"/>
              </w:rPr>
              <w:t>99.91</w:t>
            </w:r>
          </w:p>
        </w:tc>
      </w:tr>
      <w:tr w:rsidR="00874BF8" w:rsidRPr="00C85A1E" w14:paraId="439B6EB4" w14:textId="45A22B8F" w:rsidTr="00874BF8">
        <w:trPr>
          <w:trHeight w:val="690"/>
          <w:jc w:val="center"/>
        </w:trPr>
        <w:tc>
          <w:tcPr>
            <w:tcW w:w="2099" w:type="dxa"/>
          </w:tcPr>
          <w:p w14:paraId="0F68E6F4" w14:textId="77777777"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r w:rsidRPr="00C85A1E">
              <w:rPr>
                <w:rFonts w:ascii="ITC Avant Garde" w:hAnsi="ITC Avant Garde"/>
                <w:b/>
                <w:bCs/>
                <w:sz w:val="18"/>
                <w:szCs w:val="18"/>
              </w:rPr>
              <w:t>Total</w:t>
            </w:r>
          </w:p>
        </w:tc>
        <w:tc>
          <w:tcPr>
            <w:tcW w:w="1440" w:type="dxa"/>
          </w:tcPr>
          <w:p w14:paraId="4670E260" w14:textId="77777777"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r w:rsidRPr="00C85A1E">
              <w:rPr>
                <w:rFonts w:ascii="ITC Avant Garde" w:hAnsi="ITC Avant Garde"/>
                <w:b/>
                <w:bCs/>
                <w:sz w:val="18"/>
                <w:szCs w:val="18"/>
              </w:rPr>
              <w:t>50</w:t>
            </w:r>
          </w:p>
        </w:tc>
        <w:tc>
          <w:tcPr>
            <w:tcW w:w="1409" w:type="dxa"/>
          </w:tcPr>
          <w:p w14:paraId="73A95E81" w14:textId="1436A429" w:rsidR="00874BF8" w:rsidRPr="00A16B88" w:rsidRDefault="00874BF8" w:rsidP="00874BF8">
            <w:pPr>
              <w:autoSpaceDE w:val="0"/>
              <w:autoSpaceDN w:val="0"/>
              <w:adjustRightInd w:val="0"/>
              <w:spacing w:after="0" w:line="240" w:lineRule="auto"/>
              <w:jc w:val="center"/>
              <w:rPr>
                <w:rFonts w:ascii="ITC Avant Garde" w:hAnsi="ITC Avant Garde"/>
                <w:b/>
                <w:bCs/>
                <w:sz w:val="18"/>
                <w:szCs w:val="18"/>
                <w:highlight w:val="yellow"/>
              </w:rPr>
            </w:pPr>
            <w:r w:rsidRPr="00A02715">
              <w:rPr>
                <w:rFonts w:ascii="ITC Avant Garde" w:eastAsia="Times New Roman" w:hAnsi="ITC Avant Garde"/>
                <w:b/>
                <w:bCs/>
                <w:color w:val="0000CC"/>
                <w:sz w:val="20"/>
                <w:szCs w:val="20"/>
                <w:lang w:eastAsia="es-MX"/>
              </w:rPr>
              <w:t>RESERVADO POR LEY</w:t>
            </w:r>
          </w:p>
        </w:tc>
        <w:tc>
          <w:tcPr>
            <w:tcW w:w="1284" w:type="dxa"/>
          </w:tcPr>
          <w:p w14:paraId="32E16CA7" w14:textId="3C0201BE"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r w:rsidRPr="00C85A1E">
              <w:rPr>
                <w:rFonts w:ascii="ITC Avant Garde" w:hAnsi="ITC Avant Garde"/>
                <w:b/>
                <w:bCs/>
                <w:sz w:val="18"/>
                <w:szCs w:val="18"/>
              </w:rPr>
              <w:t>55,616</w:t>
            </w:r>
          </w:p>
        </w:tc>
        <w:tc>
          <w:tcPr>
            <w:tcW w:w="1709" w:type="dxa"/>
          </w:tcPr>
          <w:p w14:paraId="0D120BE0" w14:textId="50545A32" w:rsidR="00874BF8" w:rsidRPr="00A16B88" w:rsidRDefault="00874BF8" w:rsidP="00874BF8">
            <w:pPr>
              <w:autoSpaceDE w:val="0"/>
              <w:autoSpaceDN w:val="0"/>
              <w:adjustRightInd w:val="0"/>
              <w:spacing w:after="0" w:line="240" w:lineRule="auto"/>
              <w:jc w:val="center"/>
              <w:rPr>
                <w:rFonts w:ascii="ITC Avant Garde" w:hAnsi="ITC Avant Garde"/>
                <w:b/>
                <w:bCs/>
                <w:sz w:val="18"/>
                <w:szCs w:val="18"/>
                <w:highlight w:val="yellow"/>
              </w:rPr>
            </w:pPr>
            <w:r w:rsidRPr="00A02715">
              <w:rPr>
                <w:rFonts w:ascii="ITC Avant Garde" w:eastAsia="Times New Roman" w:hAnsi="ITC Avant Garde"/>
                <w:b/>
                <w:bCs/>
                <w:color w:val="0000CC"/>
                <w:sz w:val="20"/>
                <w:szCs w:val="20"/>
                <w:lang w:eastAsia="es-MX"/>
              </w:rPr>
              <w:t>RESERVADO POR LEY</w:t>
            </w:r>
          </w:p>
        </w:tc>
        <w:tc>
          <w:tcPr>
            <w:tcW w:w="1673" w:type="dxa"/>
          </w:tcPr>
          <w:p w14:paraId="796DDE51" w14:textId="478183F2" w:rsidR="00874BF8" w:rsidRPr="00C85A1E" w:rsidRDefault="00874BF8" w:rsidP="00874BF8">
            <w:pPr>
              <w:autoSpaceDE w:val="0"/>
              <w:autoSpaceDN w:val="0"/>
              <w:adjustRightInd w:val="0"/>
              <w:spacing w:after="0" w:line="240" w:lineRule="auto"/>
              <w:jc w:val="center"/>
              <w:rPr>
                <w:rFonts w:ascii="ITC Avant Garde" w:hAnsi="ITC Avant Garde"/>
                <w:b/>
                <w:bCs/>
                <w:sz w:val="18"/>
                <w:szCs w:val="18"/>
              </w:rPr>
            </w:pPr>
            <w:r w:rsidRPr="00C85A1E">
              <w:rPr>
                <w:rFonts w:ascii="ITC Avant Garde" w:hAnsi="ITC Avant Garde"/>
                <w:b/>
                <w:bCs/>
                <w:sz w:val="18"/>
                <w:szCs w:val="18"/>
              </w:rPr>
              <w:t>100.00</w:t>
            </w:r>
          </w:p>
        </w:tc>
      </w:tr>
    </w:tbl>
    <w:p w14:paraId="3320FF4D" w14:textId="6259218B" w:rsidR="0058409A" w:rsidRDefault="00BB5182" w:rsidP="00A16B88">
      <w:pPr>
        <w:autoSpaceDE w:val="0"/>
        <w:autoSpaceDN w:val="0"/>
        <w:adjustRightInd w:val="0"/>
        <w:spacing w:before="240" w:line="240" w:lineRule="auto"/>
        <w:jc w:val="both"/>
        <w:rPr>
          <w:rFonts w:ascii="ITC Avant Garde" w:hAnsi="ITC Avant Garde"/>
          <w:bCs/>
        </w:rPr>
      </w:pPr>
      <w:r>
        <w:rPr>
          <w:rFonts w:ascii="ITC Avant Garde" w:hAnsi="ITC Avant Garde"/>
          <w:bCs/>
        </w:rPr>
        <w:t>Asimismo,</w:t>
      </w:r>
      <w:r w:rsidR="00F755A1" w:rsidRPr="00A06D0A">
        <w:rPr>
          <w:rFonts w:ascii="ITC Avant Garde" w:hAnsi="ITC Avant Garde"/>
          <w:bCs/>
        </w:rPr>
        <w:t xml:space="preserve"> </w:t>
      </w:r>
      <w:r w:rsidR="0080773D">
        <w:rPr>
          <w:rFonts w:ascii="ITC Avant Garde" w:hAnsi="ITC Avant Garde"/>
          <w:bCs/>
        </w:rPr>
        <w:t>en el Instrumento Notarial número 96,819</w:t>
      </w:r>
      <w:r w:rsidR="007052CA">
        <w:rPr>
          <w:rFonts w:ascii="ITC Avant Garde" w:hAnsi="ITC Avant Garde"/>
          <w:bCs/>
        </w:rPr>
        <w:t xml:space="preserve"> de fecha 18 de agosto de 2010 presentado con la Solicitud de Enajenación</w:t>
      </w:r>
      <w:r w:rsidR="00D864B7">
        <w:rPr>
          <w:rFonts w:ascii="ITC Avant Garde" w:hAnsi="ITC Avant Garde"/>
          <w:bCs/>
        </w:rPr>
        <w:t xml:space="preserve"> y Suscripción</w:t>
      </w:r>
      <w:r w:rsidR="007052CA">
        <w:rPr>
          <w:rFonts w:ascii="ITC Avant Garde" w:hAnsi="ITC Avant Garde"/>
          <w:bCs/>
        </w:rPr>
        <w:t xml:space="preserve"> de Acciones, se </w:t>
      </w:r>
      <w:r>
        <w:rPr>
          <w:rFonts w:ascii="ITC Avant Garde" w:hAnsi="ITC Avant Garde"/>
          <w:bCs/>
        </w:rPr>
        <w:t xml:space="preserve">describe la representación total de los accionistas que representan el capital social de </w:t>
      </w:r>
      <w:r w:rsidR="007052CA" w:rsidRPr="00A06D0A">
        <w:rPr>
          <w:rFonts w:ascii="ITC Avant Garde" w:hAnsi="ITC Avant Garde"/>
          <w:bCs/>
        </w:rPr>
        <w:t xml:space="preserve">DATA COMUNICACIONES DE MÉXICO, S.A. </w:t>
      </w:r>
      <w:r w:rsidR="007052CA">
        <w:rPr>
          <w:rFonts w:ascii="ITC Avant Garde" w:hAnsi="ITC Avant Garde"/>
          <w:bCs/>
        </w:rPr>
        <w:t>de</w:t>
      </w:r>
      <w:r w:rsidR="007052CA" w:rsidRPr="00A06D0A">
        <w:rPr>
          <w:rFonts w:ascii="ITC Avant Garde" w:hAnsi="ITC Avant Garde"/>
          <w:bCs/>
        </w:rPr>
        <w:t xml:space="preserve"> C.V.</w:t>
      </w:r>
      <w:r w:rsidR="00787527">
        <w:rPr>
          <w:rFonts w:ascii="ITC Avant Garde" w:hAnsi="ITC Avant Garde"/>
          <w:bCs/>
        </w:rPr>
        <w:t>,</w:t>
      </w:r>
      <w:r>
        <w:rPr>
          <w:rFonts w:ascii="ITC Avant Garde" w:hAnsi="ITC Avant Garde"/>
          <w:bCs/>
        </w:rPr>
        <w:t xml:space="preserve"> </w:t>
      </w:r>
      <w:r w:rsidR="00787527">
        <w:rPr>
          <w:rFonts w:ascii="ITC Avant Garde" w:hAnsi="ITC Avant Garde"/>
          <w:bCs/>
        </w:rPr>
        <w:t>la</w:t>
      </w:r>
      <w:r>
        <w:rPr>
          <w:rFonts w:ascii="ITC Avant Garde" w:hAnsi="ITC Avant Garde"/>
          <w:bCs/>
        </w:rPr>
        <w:t xml:space="preserve"> cual </w:t>
      </w:r>
      <w:r w:rsidR="00787527">
        <w:rPr>
          <w:rFonts w:ascii="ITC Avant Garde" w:hAnsi="ITC Avant Garde"/>
          <w:bCs/>
        </w:rPr>
        <w:t>se</w:t>
      </w:r>
      <w:r w:rsidR="007052CA">
        <w:rPr>
          <w:rFonts w:ascii="ITC Avant Garde" w:hAnsi="ITC Avant Garde"/>
          <w:bCs/>
        </w:rPr>
        <w:t xml:space="preserve"> encuentra integrada como se muestra en la tabla siguiente. No se omite señalar que la información referida en el escrito de fecha 24 de febrero de 2016, presenta una variación en lo tocante al número de acciones de </w:t>
      </w:r>
      <w:r w:rsidR="007052CA" w:rsidRPr="007052CA">
        <w:rPr>
          <w:rFonts w:ascii="ITC Avant Garde" w:hAnsi="ITC Avant Garde"/>
          <w:bCs/>
        </w:rPr>
        <w:t>Administradora Región del Noroeste, S.A. de C.V.</w:t>
      </w:r>
      <w:r w:rsidR="007052CA">
        <w:rPr>
          <w:rFonts w:ascii="ITC Avant Garde" w:hAnsi="ITC Avant Garde"/>
          <w:bCs/>
        </w:rPr>
        <w:t>, ya que señala 499 acciones en lugar de las 999 acciones que se señalan en el instrumento referido.</w:t>
      </w:r>
    </w:p>
    <w:tbl>
      <w:tblPr>
        <w:tblStyle w:val="Tablaconcuadrcula"/>
        <w:tblW w:w="7505" w:type="dxa"/>
        <w:jc w:val="center"/>
        <w:tblLayout w:type="fixed"/>
        <w:tblLook w:val="0000" w:firstRow="0" w:lastRow="0" w:firstColumn="0" w:lastColumn="0" w:noHBand="0" w:noVBand="0"/>
        <w:tblCaption w:val="Tabla donde se señala la información del número de acciones."/>
        <w:tblDescription w:val="Es una tabla de 3 columnas en la que indica lo siguiente:&#10;1.- Accionista Administradora Región del Noroeste, S.A. de C.V., con Capital Fijo en Acciones de 999, y participación del .99.90%.&#10;2.- Accionista Ramón Rómulo Cevallos de Cima, con Capital Fijo en Acciones 01 y con una participación del .10%.&#10;"/>
      </w:tblPr>
      <w:tblGrid>
        <w:gridCol w:w="3117"/>
        <w:gridCol w:w="2277"/>
        <w:gridCol w:w="2111"/>
      </w:tblGrid>
      <w:tr w:rsidR="00634D8E" w:rsidRPr="008F5A07" w14:paraId="41770CA4" w14:textId="750C63B8" w:rsidTr="0093666A">
        <w:trPr>
          <w:trHeight w:val="573"/>
          <w:tblHeader/>
          <w:jc w:val="center"/>
        </w:trPr>
        <w:tc>
          <w:tcPr>
            <w:tcW w:w="3117" w:type="dxa"/>
            <w:shd w:val="clear" w:color="auto" w:fill="BFBFBF" w:themeFill="background1" w:themeFillShade="BF"/>
            <w:noWrap/>
            <w:vAlign w:val="center"/>
          </w:tcPr>
          <w:p w14:paraId="2981B2AC" w14:textId="77777777" w:rsidR="00634D8E" w:rsidRPr="008F5A07" w:rsidRDefault="00634D8E" w:rsidP="00A318B8">
            <w:pPr>
              <w:autoSpaceDE w:val="0"/>
              <w:autoSpaceDN w:val="0"/>
              <w:adjustRightInd w:val="0"/>
              <w:spacing w:after="0" w:line="240" w:lineRule="auto"/>
              <w:jc w:val="center"/>
              <w:rPr>
                <w:rFonts w:ascii="ITC Avant Garde" w:hAnsi="ITC Avant Garde"/>
                <w:b/>
                <w:bCs/>
                <w:sz w:val="18"/>
                <w:szCs w:val="18"/>
              </w:rPr>
            </w:pPr>
            <w:r w:rsidRPr="008F5A07">
              <w:rPr>
                <w:rFonts w:ascii="ITC Avant Garde" w:hAnsi="ITC Avant Garde"/>
                <w:b/>
                <w:bCs/>
                <w:sz w:val="18"/>
                <w:szCs w:val="18"/>
              </w:rPr>
              <w:t>ACCIONISTA</w:t>
            </w:r>
          </w:p>
        </w:tc>
        <w:tc>
          <w:tcPr>
            <w:tcW w:w="2277" w:type="dxa"/>
            <w:shd w:val="clear" w:color="auto" w:fill="BFBFBF" w:themeFill="background1" w:themeFillShade="BF"/>
            <w:vAlign w:val="center"/>
          </w:tcPr>
          <w:p w14:paraId="31B2DBF1" w14:textId="77777777" w:rsidR="00634D8E" w:rsidRPr="008F5A07" w:rsidRDefault="00634D8E" w:rsidP="008F5A07">
            <w:pPr>
              <w:autoSpaceDE w:val="0"/>
              <w:autoSpaceDN w:val="0"/>
              <w:adjustRightInd w:val="0"/>
              <w:spacing w:after="0" w:line="240" w:lineRule="auto"/>
              <w:jc w:val="center"/>
              <w:rPr>
                <w:rFonts w:ascii="ITC Avant Garde" w:hAnsi="ITC Avant Garde"/>
                <w:b/>
                <w:bCs/>
                <w:sz w:val="18"/>
                <w:szCs w:val="18"/>
              </w:rPr>
            </w:pPr>
            <w:r w:rsidRPr="008F5A07">
              <w:rPr>
                <w:rFonts w:ascii="ITC Avant Garde" w:hAnsi="ITC Avant Garde"/>
                <w:b/>
                <w:bCs/>
                <w:sz w:val="18"/>
                <w:szCs w:val="18"/>
              </w:rPr>
              <w:t xml:space="preserve">CAPITAL FIJO </w:t>
            </w:r>
          </w:p>
        </w:tc>
        <w:tc>
          <w:tcPr>
            <w:tcW w:w="2111" w:type="dxa"/>
            <w:shd w:val="clear" w:color="auto" w:fill="BFBFBF" w:themeFill="background1" w:themeFillShade="BF"/>
            <w:vAlign w:val="center"/>
          </w:tcPr>
          <w:p w14:paraId="433144BD" w14:textId="77777777" w:rsidR="00634D8E" w:rsidRPr="008F5A07" w:rsidRDefault="00634D8E" w:rsidP="00115272">
            <w:pPr>
              <w:autoSpaceDE w:val="0"/>
              <w:autoSpaceDN w:val="0"/>
              <w:adjustRightInd w:val="0"/>
              <w:spacing w:after="0" w:line="240" w:lineRule="auto"/>
              <w:jc w:val="center"/>
              <w:rPr>
                <w:rFonts w:ascii="ITC Avant Garde" w:hAnsi="ITC Avant Garde"/>
                <w:b/>
                <w:bCs/>
                <w:sz w:val="18"/>
                <w:szCs w:val="18"/>
              </w:rPr>
            </w:pPr>
            <w:r w:rsidRPr="008F5A07">
              <w:rPr>
                <w:rFonts w:ascii="ITC Avant Garde" w:hAnsi="ITC Avant Garde"/>
                <w:b/>
                <w:bCs/>
                <w:sz w:val="18"/>
                <w:szCs w:val="18"/>
              </w:rPr>
              <w:t xml:space="preserve">PARTICIPACIÓN </w:t>
            </w:r>
          </w:p>
          <w:p w14:paraId="775A8E2A" w14:textId="5426D3E9" w:rsidR="00634D8E" w:rsidRPr="008F5A07" w:rsidRDefault="00634D8E" w:rsidP="00115272">
            <w:pPr>
              <w:autoSpaceDE w:val="0"/>
              <w:autoSpaceDN w:val="0"/>
              <w:adjustRightInd w:val="0"/>
              <w:spacing w:after="0" w:line="240" w:lineRule="auto"/>
              <w:jc w:val="center"/>
              <w:rPr>
                <w:rFonts w:ascii="ITC Avant Garde" w:hAnsi="ITC Avant Garde"/>
                <w:b/>
                <w:bCs/>
                <w:sz w:val="18"/>
                <w:szCs w:val="18"/>
              </w:rPr>
            </w:pPr>
            <w:r w:rsidRPr="008F5A07">
              <w:rPr>
                <w:rFonts w:ascii="ITC Avant Garde" w:hAnsi="ITC Avant Garde"/>
                <w:b/>
                <w:bCs/>
                <w:sz w:val="18"/>
                <w:szCs w:val="18"/>
              </w:rPr>
              <w:t>(%)</w:t>
            </w:r>
          </w:p>
        </w:tc>
      </w:tr>
      <w:tr w:rsidR="00634D8E" w:rsidRPr="008F5A07" w14:paraId="504E9E5C" w14:textId="680CD911" w:rsidTr="00634D8E">
        <w:trPr>
          <w:trHeight w:val="534"/>
          <w:jc w:val="center"/>
        </w:trPr>
        <w:tc>
          <w:tcPr>
            <w:tcW w:w="3117" w:type="dxa"/>
            <w:noWrap/>
          </w:tcPr>
          <w:p w14:paraId="0F2CC393" w14:textId="77777777" w:rsidR="00634D8E" w:rsidRPr="008F5A07" w:rsidRDefault="00634D8E" w:rsidP="00A318B8">
            <w:pPr>
              <w:autoSpaceDE w:val="0"/>
              <w:autoSpaceDN w:val="0"/>
              <w:adjustRightInd w:val="0"/>
              <w:spacing w:after="0" w:line="240" w:lineRule="auto"/>
              <w:jc w:val="center"/>
              <w:rPr>
                <w:rFonts w:ascii="ITC Avant Garde" w:hAnsi="ITC Avant Garde"/>
                <w:b/>
                <w:bCs/>
                <w:sz w:val="18"/>
                <w:szCs w:val="18"/>
              </w:rPr>
            </w:pPr>
          </w:p>
        </w:tc>
        <w:tc>
          <w:tcPr>
            <w:tcW w:w="2277" w:type="dxa"/>
          </w:tcPr>
          <w:p w14:paraId="255952E0" w14:textId="0DE3153F" w:rsidR="00634D8E" w:rsidRPr="008F5A07" w:rsidRDefault="00634D8E" w:rsidP="00112EF1">
            <w:pPr>
              <w:autoSpaceDE w:val="0"/>
              <w:autoSpaceDN w:val="0"/>
              <w:adjustRightInd w:val="0"/>
              <w:spacing w:after="0" w:line="240" w:lineRule="auto"/>
              <w:jc w:val="center"/>
              <w:rPr>
                <w:rFonts w:ascii="ITC Avant Garde" w:hAnsi="ITC Avant Garde"/>
                <w:b/>
                <w:bCs/>
                <w:sz w:val="18"/>
                <w:szCs w:val="18"/>
              </w:rPr>
            </w:pPr>
            <w:r w:rsidRPr="008F5A07">
              <w:rPr>
                <w:rFonts w:ascii="ITC Avant Garde" w:hAnsi="ITC Avant Garde"/>
                <w:b/>
                <w:bCs/>
                <w:sz w:val="18"/>
                <w:szCs w:val="18"/>
              </w:rPr>
              <w:t>ACCIONES</w:t>
            </w:r>
          </w:p>
        </w:tc>
        <w:tc>
          <w:tcPr>
            <w:tcW w:w="2111" w:type="dxa"/>
          </w:tcPr>
          <w:p w14:paraId="4FF04C19" w14:textId="77777777" w:rsidR="00634D8E" w:rsidRPr="008F5A07" w:rsidRDefault="00634D8E" w:rsidP="00A318B8">
            <w:pPr>
              <w:autoSpaceDE w:val="0"/>
              <w:autoSpaceDN w:val="0"/>
              <w:adjustRightInd w:val="0"/>
              <w:spacing w:after="0" w:line="240" w:lineRule="auto"/>
              <w:jc w:val="center"/>
              <w:rPr>
                <w:rFonts w:ascii="ITC Avant Garde" w:hAnsi="ITC Avant Garde"/>
                <w:b/>
                <w:bCs/>
                <w:sz w:val="18"/>
                <w:szCs w:val="18"/>
              </w:rPr>
            </w:pPr>
          </w:p>
        </w:tc>
      </w:tr>
      <w:tr w:rsidR="00E7416B" w:rsidRPr="008F5A07" w14:paraId="4C7AA895" w14:textId="50A43CA3" w:rsidTr="00634D8E">
        <w:trPr>
          <w:trHeight w:val="466"/>
          <w:jc w:val="center"/>
        </w:trPr>
        <w:tc>
          <w:tcPr>
            <w:tcW w:w="3117" w:type="dxa"/>
          </w:tcPr>
          <w:p w14:paraId="731E17A5" w14:textId="790B56A2" w:rsidR="00E7416B" w:rsidRPr="008F5A07" w:rsidRDefault="00E7416B" w:rsidP="00A318B8">
            <w:pPr>
              <w:autoSpaceDE w:val="0"/>
              <w:autoSpaceDN w:val="0"/>
              <w:adjustRightInd w:val="0"/>
              <w:spacing w:after="0" w:line="240" w:lineRule="auto"/>
              <w:jc w:val="center"/>
              <w:rPr>
                <w:rFonts w:ascii="ITC Avant Garde" w:hAnsi="ITC Avant Garde"/>
                <w:bCs/>
                <w:sz w:val="18"/>
                <w:szCs w:val="18"/>
              </w:rPr>
            </w:pPr>
            <w:r w:rsidRPr="008F5A07">
              <w:rPr>
                <w:rFonts w:ascii="ITC Avant Garde" w:hAnsi="ITC Avant Garde"/>
                <w:bCs/>
                <w:sz w:val="18"/>
                <w:szCs w:val="18"/>
              </w:rPr>
              <w:t>Administradora Región del Noroeste, S.A. de C.V.</w:t>
            </w:r>
          </w:p>
        </w:tc>
        <w:tc>
          <w:tcPr>
            <w:tcW w:w="2277" w:type="dxa"/>
          </w:tcPr>
          <w:p w14:paraId="647E082E" w14:textId="0CCD3C1B" w:rsidR="00E7416B" w:rsidRPr="008F5A07" w:rsidRDefault="00E7416B" w:rsidP="00A318B8">
            <w:pPr>
              <w:autoSpaceDE w:val="0"/>
              <w:autoSpaceDN w:val="0"/>
              <w:adjustRightInd w:val="0"/>
              <w:spacing w:after="0" w:line="240" w:lineRule="auto"/>
              <w:jc w:val="center"/>
              <w:rPr>
                <w:rFonts w:ascii="ITC Avant Garde" w:hAnsi="ITC Avant Garde"/>
                <w:bCs/>
                <w:sz w:val="18"/>
                <w:szCs w:val="18"/>
              </w:rPr>
            </w:pPr>
            <w:r>
              <w:rPr>
                <w:rFonts w:ascii="ITC Avant Garde" w:hAnsi="ITC Avant Garde"/>
                <w:bCs/>
                <w:sz w:val="18"/>
                <w:szCs w:val="18"/>
              </w:rPr>
              <w:t>9</w:t>
            </w:r>
            <w:r w:rsidRPr="008F5A07">
              <w:rPr>
                <w:rFonts w:ascii="ITC Avant Garde" w:hAnsi="ITC Avant Garde"/>
                <w:bCs/>
                <w:sz w:val="18"/>
                <w:szCs w:val="18"/>
              </w:rPr>
              <w:t>99</w:t>
            </w:r>
          </w:p>
        </w:tc>
        <w:tc>
          <w:tcPr>
            <w:tcW w:w="2111" w:type="dxa"/>
          </w:tcPr>
          <w:p w14:paraId="47B72616" w14:textId="465369BE" w:rsidR="00E7416B" w:rsidRPr="008F5A07" w:rsidRDefault="00D71581" w:rsidP="00C20DB5">
            <w:pPr>
              <w:autoSpaceDE w:val="0"/>
              <w:autoSpaceDN w:val="0"/>
              <w:adjustRightInd w:val="0"/>
              <w:spacing w:after="0" w:line="240" w:lineRule="auto"/>
              <w:jc w:val="center"/>
              <w:rPr>
                <w:rFonts w:ascii="ITC Avant Garde" w:hAnsi="ITC Avant Garde"/>
                <w:bCs/>
                <w:sz w:val="18"/>
                <w:szCs w:val="18"/>
              </w:rPr>
            </w:pPr>
            <w:r>
              <w:rPr>
                <w:rFonts w:ascii="ITC Avant Garde" w:hAnsi="ITC Avant Garde"/>
                <w:bCs/>
                <w:sz w:val="18"/>
                <w:szCs w:val="18"/>
              </w:rPr>
              <w:t>99.9</w:t>
            </w:r>
            <w:r w:rsidR="00E7416B" w:rsidRPr="008F5A07">
              <w:rPr>
                <w:rFonts w:ascii="ITC Avant Garde" w:hAnsi="ITC Avant Garde"/>
                <w:bCs/>
                <w:sz w:val="18"/>
                <w:szCs w:val="18"/>
              </w:rPr>
              <w:t>0</w:t>
            </w:r>
          </w:p>
        </w:tc>
      </w:tr>
      <w:tr w:rsidR="00E7416B" w:rsidRPr="008F5A07" w14:paraId="4950D3F3" w14:textId="583CF0E8" w:rsidTr="00634D8E">
        <w:trPr>
          <w:trHeight w:val="516"/>
          <w:jc w:val="center"/>
        </w:trPr>
        <w:tc>
          <w:tcPr>
            <w:tcW w:w="3117" w:type="dxa"/>
          </w:tcPr>
          <w:p w14:paraId="18A22E07" w14:textId="77777777" w:rsidR="00E7416B" w:rsidRPr="008F5A07" w:rsidRDefault="00E7416B" w:rsidP="00A318B8">
            <w:pPr>
              <w:autoSpaceDE w:val="0"/>
              <w:autoSpaceDN w:val="0"/>
              <w:adjustRightInd w:val="0"/>
              <w:spacing w:after="0" w:line="240" w:lineRule="auto"/>
              <w:jc w:val="center"/>
              <w:rPr>
                <w:rFonts w:ascii="ITC Avant Garde" w:hAnsi="ITC Avant Garde"/>
                <w:bCs/>
                <w:sz w:val="18"/>
                <w:szCs w:val="18"/>
              </w:rPr>
            </w:pPr>
            <w:r w:rsidRPr="008F5A07">
              <w:rPr>
                <w:rFonts w:ascii="ITC Avant Garde" w:hAnsi="ITC Avant Garde"/>
                <w:bCs/>
                <w:sz w:val="18"/>
                <w:szCs w:val="18"/>
              </w:rPr>
              <w:t>Ramón Rómulo Cevallos de Cima</w:t>
            </w:r>
          </w:p>
        </w:tc>
        <w:tc>
          <w:tcPr>
            <w:tcW w:w="2277" w:type="dxa"/>
          </w:tcPr>
          <w:p w14:paraId="20CC8A7A" w14:textId="77777777" w:rsidR="00E7416B" w:rsidRPr="008F5A07" w:rsidRDefault="00E7416B" w:rsidP="00A318B8">
            <w:pPr>
              <w:autoSpaceDE w:val="0"/>
              <w:autoSpaceDN w:val="0"/>
              <w:adjustRightInd w:val="0"/>
              <w:spacing w:after="0" w:line="240" w:lineRule="auto"/>
              <w:jc w:val="center"/>
              <w:rPr>
                <w:rFonts w:ascii="ITC Avant Garde" w:hAnsi="ITC Avant Garde"/>
                <w:bCs/>
                <w:sz w:val="18"/>
                <w:szCs w:val="18"/>
              </w:rPr>
            </w:pPr>
            <w:r w:rsidRPr="008F5A07">
              <w:rPr>
                <w:rFonts w:ascii="ITC Avant Garde" w:hAnsi="ITC Avant Garde"/>
                <w:bCs/>
                <w:sz w:val="18"/>
                <w:szCs w:val="18"/>
              </w:rPr>
              <w:t>01</w:t>
            </w:r>
          </w:p>
        </w:tc>
        <w:tc>
          <w:tcPr>
            <w:tcW w:w="2111" w:type="dxa"/>
          </w:tcPr>
          <w:p w14:paraId="34F2E918" w14:textId="3EDDA544" w:rsidR="00E7416B" w:rsidRPr="008F5A07" w:rsidRDefault="00D71581" w:rsidP="00C20DB5">
            <w:pPr>
              <w:autoSpaceDE w:val="0"/>
              <w:autoSpaceDN w:val="0"/>
              <w:adjustRightInd w:val="0"/>
              <w:spacing w:after="0" w:line="240" w:lineRule="auto"/>
              <w:jc w:val="center"/>
              <w:rPr>
                <w:rFonts w:ascii="ITC Avant Garde" w:hAnsi="ITC Avant Garde"/>
                <w:bCs/>
                <w:sz w:val="18"/>
                <w:szCs w:val="18"/>
              </w:rPr>
            </w:pPr>
            <w:r>
              <w:rPr>
                <w:rFonts w:ascii="ITC Avant Garde" w:hAnsi="ITC Avant Garde"/>
                <w:bCs/>
                <w:sz w:val="18"/>
                <w:szCs w:val="18"/>
              </w:rPr>
              <w:t>0.1</w:t>
            </w:r>
            <w:r w:rsidR="00E7416B" w:rsidRPr="008F5A07">
              <w:rPr>
                <w:rFonts w:ascii="ITC Avant Garde" w:hAnsi="ITC Avant Garde"/>
                <w:bCs/>
                <w:sz w:val="18"/>
                <w:szCs w:val="18"/>
              </w:rPr>
              <w:t>0</w:t>
            </w:r>
          </w:p>
        </w:tc>
      </w:tr>
      <w:tr w:rsidR="00E7416B" w:rsidRPr="008F5A07" w14:paraId="0D6888FB" w14:textId="65E51E60" w:rsidTr="00634D8E">
        <w:trPr>
          <w:trHeight w:val="422"/>
          <w:jc w:val="center"/>
        </w:trPr>
        <w:tc>
          <w:tcPr>
            <w:tcW w:w="3117" w:type="dxa"/>
          </w:tcPr>
          <w:p w14:paraId="3CDFF90E" w14:textId="77777777" w:rsidR="00E7416B" w:rsidRPr="008F5A07" w:rsidRDefault="00E7416B" w:rsidP="00115272">
            <w:pPr>
              <w:autoSpaceDE w:val="0"/>
              <w:autoSpaceDN w:val="0"/>
              <w:adjustRightInd w:val="0"/>
              <w:spacing w:after="0" w:line="240" w:lineRule="auto"/>
              <w:jc w:val="center"/>
              <w:rPr>
                <w:rFonts w:ascii="ITC Avant Garde" w:hAnsi="ITC Avant Garde"/>
                <w:b/>
                <w:bCs/>
                <w:sz w:val="18"/>
                <w:szCs w:val="18"/>
              </w:rPr>
            </w:pPr>
            <w:r w:rsidRPr="008F5A07">
              <w:rPr>
                <w:rFonts w:ascii="ITC Avant Garde" w:hAnsi="ITC Avant Garde"/>
                <w:b/>
                <w:bCs/>
                <w:sz w:val="18"/>
                <w:szCs w:val="18"/>
              </w:rPr>
              <w:t>Total</w:t>
            </w:r>
          </w:p>
        </w:tc>
        <w:tc>
          <w:tcPr>
            <w:tcW w:w="2277" w:type="dxa"/>
          </w:tcPr>
          <w:p w14:paraId="77625783" w14:textId="15DF8F00" w:rsidR="00E7416B" w:rsidRPr="008F5A07" w:rsidRDefault="00E7416B" w:rsidP="00115272">
            <w:pPr>
              <w:autoSpaceDE w:val="0"/>
              <w:autoSpaceDN w:val="0"/>
              <w:adjustRightInd w:val="0"/>
              <w:spacing w:after="0" w:line="240" w:lineRule="auto"/>
              <w:jc w:val="center"/>
              <w:rPr>
                <w:rFonts w:ascii="ITC Avant Garde" w:hAnsi="ITC Avant Garde"/>
                <w:b/>
                <w:bCs/>
                <w:sz w:val="18"/>
                <w:szCs w:val="18"/>
              </w:rPr>
            </w:pPr>
            <w:r w:rsidRPr="008F5A07">
              <w:rPr>
                <w:rFonts w:ascii="ITC Avant Garde" w:hAnsi="ITC Avant Garde"/>
                <w:b/>
                <w:bCs/>
                <w:sz w:val="18"/>
                <w:szCs w:val="18"/>
              </w:rPr>
              <w:t>1000</w:t>
            </w:r>
          </w:p>
        </w:tc>
        <w:tc>
          <w:tcPr>
            <w:tcW w:w="2111" w:type="dxa"/>
          </w:tcPr>
          <w:p w14:paraId="21CB2EDB" w14:textId="39BEFC1C" w:rsidR="00E7416B" w:rsidRPr="008F5A07" w:rsidRDefault="00E7416B" w:rsidP="00C20DB5">
            <w:pPr>
              <w:autoSpaceDE w:val="0"/>
              <w:autoSpaceDN w:val="0"/>
              <w:adjustRightInd w:val="0"/>
              <w:spacing w:after="0" w:line="240" w:lineRule="auto"/>
              <w:jc w:val="center"/>
              <w:rPr>
                <w:rFonts w:ascii="ITC Avant Garde" w:hAnsi="ITC Avant Garde"/>
                <w:b/>
                <w:bCs/>
                <w:sz w:val="18"/>
                <w:szCs w:val="18"/>
              </w:rPr>
            </w:pPr>
            <w:r w:rsidRPr="008F5A07">
              <w:rPr>
                <w:rFonts w:ascii="ITC Avant Garde" w:hAnsi="ITC Avant Garde"/>
                <w:b/>
                <w:bCs/>
                <w:sz w:val="18"/>
                <w:szCs w:val="18"/>
              </w:rPr>
              <w:t>100.00</w:t>
            </w:r>
          </w:p>
        </w:tc>
      </w:tr>
    </w:tbl>
    <w:p w14:paraId="6BD20617" w14:textId="77777777" w:rsidR="00183D8B" w:rsidRDefault="00536B06" w:rsidP="00A16B88">
      <w:pPr>
        <w:autoSpaceDE w:val="0"/>
        <w:autoSpaceDN w:val="0"/>
        <w:adjustRightInd w:val="0"/>
        <w:spacing w:before="240" w:line="240" w:lineRule="auto"/>
        <w:jc w:val="both"/>
        <w:rPr>
          <w:rFonts w:ascii="ITC Avant Garde" w:hAnsi="ITC Avant Garde"/>
          <w:bCs/>
        </w:rPr>
        <w:sectPr w:rsidR="00183D8B" w:rsidSect="00566419">
          <w:pgSz w:w="12240" w:h="15840"/>
          <w:pgMar w:top="2127" w:right="1418" w:bottom="567" w:left="1418" w:header="709" w:footer="988" w:gutter="0"/>
          <w:pgNumType w:start="1"/>
          <w:cols w:space="708"/>
          <w:titlePg/>
          <w:docGrid w:linePitch="360"/>
        </w:sectPr>
      </w:pPr>
      <w:r w:rsidRPr="00A06D0A">
        <w:rPr>
          <w:rFonts w:ascii="ITC Avant Garde" w:hAnsi="ITC Avant Garde"/>
          <w:bCs/>
        </w:rPr>
        <w:t xml:space="preserve">Asimismo, se advierte que la empresa Administradora Región del Noroeste, S.A. de C.V., quien </w:t>
      </w:r>
      <w:r w:rsidR="00B10832" w:rsidRPr="00A06D0A">
        <w:rPr>
          <w:rFonts w:ascii="ITC Avant Garde" w:hAnsi="ITC Avant Garde"/>
          <w:bCs/>
        </w:rPr>
        <w:t>sería a</w:t>
      </w:r>
      <w:r w:rsidRPr="00A06D0A">
        <w:rPr>
          <w:rFonts w:ascii="ITC Avant Garde" w:hAnsi="ITC Avant Garde"/>
          <w:bCs/>
        </w:rPr>
        <w:t xml:space="preserve">ccionista indirecto </w:t>
      </w:r>
      <w:r w:rsidR="00B10832" w:rsidRPr="00A06D0A">
        <w:rPr>
          <w:rFonts w:ascii="ITC Avant Garde" w:hAnsi="ITC Avant Garde"/>
          <w:bCs/>
        </w:rPr>
        <w:t>de GSAT COMUNICACIONES, S.A. de C.V., se encuentra constituida de la siguiente manera:</w:t>
      </w:r>
    </w:p>
    <w:p w14:paraId="15A1FA24" w14:textId="0A68A6C2" w:rsidR="00536B06" w:rsidRDefault="00536B06" w:rsidP="00A16B88">
      <w:pPr>
        <w:autoSpaceDE w:val="0"/>
        <w:autoSpaceDN w:val="0"/>
        <w:adjustRightInd w:val="0"/>
        <w:spacing w:before="240" w:line="240" w:lineRule="auto"/>
        <w:jc w:val="both"/>
        <w:rPr>
          <w:rFonts w:ascii="ITC Avant Garde" w:hAnsi="ITC Avant Garde"/>
          <w:bCs/>
        </w:rPr>
      </w:pPr>
    </w:p>
    <w:tbl>
      <w:tblPr>
        <w:tblStyle w:val="Tablaconcuadrcula"/>
        <w:tblW w:w="7519" w:type="dxa"/>
        <w:jc w:val="center"/>
        <w:tblLayout w:type="fixed"/>
        <w:tblLook w:val="0000" w:firstRow="0" w:lastRow="0" w:firstColumn="0" w:lastColumn="0" w:noHBand="0" w:noVBand="0"/>
        <w:tblCaption w:val="Se muestra de manera como sería constituida Administradora Región del Norte indirectamente a GSAT Comunicaciones."/>
        <w:tblDescription w:val="Es una tabla de 3 columnas en la que indica lo siguiente:&#10;1.- Accionista Jorge Hank Rhon, con Capital Fijo en Acciones de 499, y participación del 99.80%.&#10;2.- Accionista Alberto Murguía Orozco, con Capital Fijo en Acciones 01 y con una participación del .20%.&#10;"/>
      </w:tblPr>
      <w:tblGrid>
        <w:gridCol w:w="3255"/>
        <w:gridCol w:w="2149"/>
        <w:gridCol w:w="2115"/>
      </w:tblGrid>
      <w:tr w:rsidR="00183D8B" w:rsidRPr="00CA65CF" w14:paraId="6AA54866" w14:textId="0D62BEAB" w:rsidTr="00183D8B">
        <w:trPr>
          <w:trHeight w:val="625"/>
          <w:tblHeader/>
          <w:jc w:val="center"/>
        </w:trPr>
        <w:tc>
          <w:tcPr>
            <w:tcW w:w="3255" w:type="dxa"/>
            <w:shd w:val="clear" w:color="auto" w:fill="BFBFBF" w:themeFill="background1" w:themeFillShade="BF"/>
            <w:noWrap/>
            <w:vAlign w:val="center"/>
          </w:tcPr>
          <w:p w14:paraId="3A459EDC" w14:textId="77777777" w:rsidR="00183D8B" w:rsidRPr="00CA65CF" w:rsidRDefault="00183D8B" w:rsidP="00CA65CF">
            <w:pPr>
              <w:tabs>
                <w:tab w:val="left" w:pos="738"/>
              </w:tabs>
              <w:autoSpaceDE w:val="0"/>
              <w:autoSpaceDN w:val="0"/>
              <w:adjustRightInd w:val="0"/>
              <w:spacing w:after="0" w:line="240" w:lineRule="auto"/>
              <w:jc w:val="center"/>
              <w:rPr>
                <w:rFonts w:ascii="ITC Avant Garde" w:hAnsi="ITC Avant Garde"/>
                <w:b/>
                <w:bCs/>
                <w:sz w:val="18"/>
                <w:szCs w:val="18"/>
              </w:rPr>
            </w:pPr>
            <w:r w:rsidRPr="00CA65CF">
              <w:rPr>
                <w:rFonts w:ascii="ITC Avant Garde" w:hAnsi="ITC Avant Garde"/>
                <w:b/>
                <w:bCs/>
                <w:sz w:val="18"/>
                <w:szCs w:val="18"/>
              </w:rPr>
              <w:t>ACCIONISTA</w:t>
            </w:r>
          </w:p>
        </w:tc>
        <w:tc>
          <w:tcPr>
            <w:tcW w:w="2149" w:type="dxa"/>
            <w:shd w:val="clear" w:color="auto" w:fill="BFBFBF" w:themeFill="background1" w:themeFillShade="BF"/>
            <w:vAlign w:val="center"/>
          </w:tcPr>
          <w:p w14:paraId="24544816" w14:textId="77777777" w:rsidR="00183D8B" w:rsidRPr="00CA65CF" w:rsidRDefault="00183D8B" w:rsidP="00CA65CF">
            <w:pPr>
              <w:autoSpaceDE w:val="0"/>
              <w:autoSpaceDN w:val="0"/>
              <w:adjustRightInd w:val="0"/>
              <w:spacing w:after="0" w:line="240" w:lineRule="auto"/>
              <w:jc w:val="center"/>
              <w:rPr>
                <w:rFonts w:ascii="ITC Avant Garde" w:hAnsi="ITC Avant Garde"/>
                <w:b/>
                <w:bCs/>
                <w:sz w:val="18"/>
                <w:szCs w:val="18"/>
              </w:rPr>
            </w:pPr>
            <w:r w:rsidRPr="00CA65CF">
              <w:rPr>
                <w:rFonts w:ascii="ITC Avant Garde" w:hAnsi="ITC Avant Garde"/>
                <w:b/>
                <w:bCs/>
                <w:sz w:val="18"/>
                <w:szCs w:val="18"/>
              </w:rPr>
              <w:t xml:space="preserve">CAPITAL FIJO </w:t>
            </w:r>
          </w:p>
        </w:tc>
        <w:tc>
          <w:tcPr>
            <w:tcW w:w="2115" w:type="dxa"/>
            <w:shd w:val="clear" w:color="auto" w:fill="BFBFBF" w:themeFill="background1" w:themeFillShade="BF"/>
            <w:vAlign w:val="center"/>
          </w:tcPr>
          <w:p w14:paraId="27FF2D6A" w14:textId="2013280D" w:rsidR="00183D8B" w:rsidRPr="00CA65CF" w:rsidRDefault="00183D8B" w:rsidP="00CA65CF">
            <w:pPr>
              <w:autoSpaceDE w:val="0"/>
              <w:autoSpaceDN w:val="0"/>
              <w:adjustRightInd w:val="0"/>
              <w:spacing w:after="0" w:line="240" w:lineRule="auto"/>
              <w:jc w:val="center"/>
              <w:rPr>
                <w:rFonts w:ascii="ITC Avant Garde" w:hAnsi="ITC Avant Garde"/>
                <w:b/>
                <w:bCs/>
                <w:sz w:val="18"/>
                <w:szCs w:val="18"/>
              </w:rPr>
            </w:pPr>
            <w:r w:rsidRPr="00CA65CF">
              <w:rPr>
                <w:rFonts w:ascii="ITC Avant Garde" w:hAnsi="ITC Avant Garde"/>
                <w:b/>
                <w:bCs/>
                <w:sz w:val="18"/>
                <w:szCs w:val="18"/>
              </w:rPr>
              <w:t>PARTICIPACIÓN (%)</w:t>
            </w:r>
          </w:p>
        </w:tc>
      </w:tr>
      <w:tr w:rsidR="00183D8B" w:rsidRPr="00CA65CF" w14:paraId="5E7073B1" w14:textId="55D8559A" w:rsidTr="00183D8B">
        <w:trPr>
          <w:trHeight w:val="582"/>
          <w:jc w:val="center"/>
        </w:trPr>
        <w:tc>
          <w:tcPr>
            <w:tcW w:w="3255" w:type="dxa"/>
            <w:noWrap/>
          </w:tcPr>
          <w:p w14:paraId="61D7565B" w14:textId="77777777" w:rsidR="00183D8B" w:rsidRPr="00CA65CF" w:rsidRDefault="00183D8B" w:rsidP="00CA65CF">
            <w:pPr>
              <w:autoSpaceDE w:val="0"/>
              <w:autoSpaceDN w:val="0"/>
              <w:adjustRightInd w:val="0"/>
              <w:spacing w:after="0" w:line="240" w:lineRule="auto"/>
              <w:jc w:val="center"/>
              <w:rPr>
                <w:rFonts w:ascii="ITC Avant Garde" w:hAnsi="ITC Avant Garde"/>
                <w:b/>
                <w:bCs/>
                <w:sz w:val="18"/>
                <w:szCs w:val="18"/>
              </w:rPr>
            </w:pPr>
          </w:p>
        </w:tc>
        <w:tc>
          <w:tcPr>
            <w:tcW w:w="2149" w:type="dxa"/>
          </w:tcPr>
          <w:p w14:paraId="613F8918" w14:textId="49CB717A" w:rsidR="00183D8B" w:rsidRPr="00CA65CF" w:rsidRDefault="00183D8B" w:rsidP="00CA65CF">
            <w:pPr>
              <w:autoSpaceDE w:val="0"/>
              <w:autoSpaceDN w:val="0"/>
              <w:adjustRightInd w:val="0"/>
              <w:spacing w:after="0" w:line="240" w:lineRule="auto"/>
              <w:jc w:val="center"/>
              <w:rPr>
                <w:rFonts w:ascii="ITC Avant Garde" w:hAnsi="ITC Avant Garde"/>
                <w:b/>
                <w:bCs/>
                <w:sz w:val="18"/>
                <w:szCs w:val="18"/>
              </w:rPr>
            </w:pPr>
            <w:r w:rsidRPr="00CA65CF">
              <w:rPr>
                <w:rFonts w:ascii="ITC Avant Garde" w:hAnsi="ITC Avant Garde"/>
                <w:b/>
                <w:bCs/>
                <w:sz w:val="18"/>
                <w:szCs w:val="18"/>
              </w:rPr>
              <w:t>ACCIONES</w:t>
            </w:r>
          </w:p>
        </w:tc>
        <w:tc>
          <w:tcPr>
            <w:tcW w:w="2115" w:type="dxa"/>
          </w:tcPr>
          <w:p w14:paraId="16704FBB" w14:textId="77777777" w:rsidR="00183D8B" w:rsidRPr="00CA65CF" w:rsidRDefault="00183D8B" w:rsidP="00CA65CF">
            <w:pPr>
              <w:autoSpaceDE w:val="0"/>
              <w:autoSpaceDN w:val="0"/>
              <w:adjustRightInd w:val="0"/>
              <w:spacing w:after="0" w:line="240" w:lineRule="auto"/>
              <w:jc w:val="center"/>
              <w:rPr>
                <w:rFonts w:ascii="ITC Avant Garde" w:hAnsi="ITC Avant Garde"/>
                <w:b/>
                <w:bCs/>
                <w:sz w:val="18"/>
                <w:szCs w:val="18"/>
              </w:rPr>
            </w:pPr>
          </w:p>
        </w:tc>
      </w:tr>
      <w:tr w:rsidR="00CA65CF" w:rsidRPr="00CA65CF" w14:paraId="17AA133C" w14:textId="580CC3A5" w:rsidTr="00183D8B">
        <w:trPr>
          <w:trHeight w:val="508"/>
          <w:jc w:val="center"/>
        </w:trPr>
        <w:tc>
          <w:tcPr>
            <w:tcW w:w="3255" w:type="dxa"/>
          </w:tcPr>
          <w:p w14:paraId="1B13403E" w14:textId="77B24D62" w:rsidR="00CA65CF" w:rsidRPr="00CA65CF" w:rsidRDefault="00CA65CF" w:rsidP="00CA65CF">
            <w:pPr>
              <w:autoSpaceDE w:val="0"/>
              <w:autoSpaceDN w:val="0"/>
              <w:adjustRightInd w:val="0"/>
              <w:spacing w:after="0" w:line="240" w:lineRule="auto"/>
              <w:jc w:val="center"/>
              <w:rPr>
                <w:rFonts w:ascii="ITC Avant Garde" w:hAnsi="ITC Avant Garde"/>
                <w:bCs/>
                <w:sz w:val="18"/>
                <w:szCs w:val="18"/>
              </w:rPr>
            </w:pPr>
            <w:r w:rsidRPr="00CA65CF">
              <w:rPr>
                <w:rFonts w:ascii="ITC Avant Garde" w:hAnsi="ITC Avant Garde"/>
                <w:bCs/>
                <w:sz w:val="18"/>
                <w:szCs w:val="18"/>
              </w:rPr>
              <w:t xml:space="preserve">Jorge Hank </w:t>
            </w:r>
            <w:proofErr w:type="spellStart"/>
            <w:r w:rsidRPr="00CA65CF">
              <w:rPr>
                <w:rFonts w:ascii="ITC Avant Garde" w:hAnsi="ITC Avant Garde"/>
                <w:bCs/>
                <w:sz w:val="18"/>
                <w:szCs w:val="18"/>
              </w:rPr>
              <w:t>Rhon</w:t>
            </w:r>
            <w:proofErr w:type="spellEnd"/>
          </w:p>
        </w:tc>
        <w:tc>
          <w:tcPr>
            <w:tcW w:w="2149" w:type="dxa"/>
          </w:tcPr>
          <w:p w14:paraId="4C94566D" w14:textId="350E2FA5" w:rsidR="00CA65CF" w:rsidRPr="00CA65CF" w:rsidRDefault="00CA65CF" w:rsidP="00CA65CF">
            <w:pPr>
              <w:autoSpaceDE w:val="0"/>
              <w:autoSpaceDN w:val="0"/>
              <w:adjustRightInd w:val="0"/>
              <w:spacing w:after="0" w:line="240" w:lineRule="auto"/>
              <w:jc w:val="center"/>
              <w:rPr>
                <w:rFonts w:ascii="ITC Avant Garde" w:hAnsi="ITC Avant Garde"/>
                <w:bCs/>
                <w:sz w:val="18"/>
                <w:szCs w:val="18"/>
              </w:rPr>
            </w:pPr>
            <w:r w:rsidRPr="00CA65CF">
              <w:rPr>
                <w:rFonts w:ascii="ITC Avant Garde" w:hAnsi="ITC Avant Garde"/>
                <w:bCs/>
                <w:sz w:val="18"/>
                <w:szCs w:val="18"/>
              </w:rPr>
              <w:t>499</w:t>
            </w:r>
          </w:p>
        </w:tc>
        <w:tc>
          <w:tcPr>
            <w:tcW w:w="2115" w:type="dxa"/>
          </w:tcPr>
          <w:p w14:paraId="012BE3CC" w14:textId="19F437B8" w:rsidR="00CA65CF" w:rsidRPr="00CA65CF" w:rsidRDefault="00CA65CF" w:rsidP="00CA65CF">
            <w:pPr>
              <w:autoSpaceDE w:val="0"/>
              <w:autoSpaceDN w:val="0"/>
              <w:adjustRightInd w:val="0"/>
              <w:spacing w:after="0" w:line="240" w:lineRule="auto"/>
              <w:jc w:val="center"/>
              <w:rPr>
                <w:rFonts w:ascii="ITC Avant Garde" w:hAnsi="ITC Avant Garde"/>
                <w:bCs/>
                <w:sz w:val="18"/>
                <w:szCs w:val="18"/>
              </w:rPr>
            </w:pPr>
            <w:r w:rsidRPr="00CA65CF">
              <w:rPr>
                <w:rFonts w:ascii="ITC Avant Garde" w:hAnsi="ITC Avant Garde"/>
                <w:bCs/>
                <w:sz w:val="18"/>
                <w:szCs w:val="18"/>
              </w:rPr>
              <w:t>99.80</w:t>
            </w:r>
          </w:p>
        </w:tc>
      </w:tr>
      <w:tr w:rsidR="00CA65CF" w:rsidRPr="00CA65CF" w14:paraId="0E6BD89F" w14:textId="15EA347B" w:rsidTr="00183D8B">
        <w:trPr>
          <w:trHeight w:val="563"/>
          <w:jc w:val="center"/>
        </w:trPr>
        <w:tc>
          <w:tcPr>
            <w:tcW w:w="3255" w:type="dxa"/>
          </w:tcPr>
          <w:p w14:paraId="72B093C6" w14:textId="02FDA092" w:rsidR="00CA65CF" w:rsidRPr="00CA65CF" w:rsidRDefault="00CA65CF" w:rsidP="00CA65CF">
            <w:pPr>
              <w:autoSpaceDE w:val="0"/>
              <w:autoSpaceDN w:val="0"/>
              <w:adjustRightInd w:val="0"/>
              <w:spacing w:after="0" w:line="240" w:lineRule="auto"/>
              <w:jc w:val="center"/>
              <w:rPr>
                <w:rFonts w:ascii="ITC Avant Garde" w:hAnsi="ITC Avant Garde"/>
                <w:bCs/>
                <w:sz w:val="18"/>
                <w:szCs w:val="18"/>
              </w:rPr>
            </w:pPr>
            <w:r w:rsidRPr="00CA65CF">
              <w:rPr>
                <w:rFonts w:ascii="ITC Avant Garde" w:hAnsi="ITC Avant Garde"/>
                <w:bCs/>
                <w:sz w:val="18"/>
                <w:szCs w:val="18"/>
              </w:rPr>
              <w:t>Alberto Murguía Orozco</w:t>
            </w:r>
          </w:p>
        </w:tc>
        <w:tc>
          <w:tcPr>
            <w:tcW w:w="2149" w:type="dxa"/>
          </w:tcPr>
          <w:p w14:paraId="7B220EDC" w14:textId="2AB7DA40" w:rsidR="00CA65CF" w:rsidRPr="00CA65CF" w:rsidRDefault="00CA65CF" w:rsidP="00CA65CF">
            <w:pPr>
              <w:autoSpaceDE w:val="0"/>
              <w:autoSpaceDN w:val="0"/>
              <w:adjustRightInd w:val="0"/>
              <w:spacing w:after="0" w:line="240" w:lineRule="auto"/>
              <w:jc w:val="center"/>
              <w:rPr>
                <w:rFonts w:ascii="ITC Avant Garde" w:hAnsi="ITC Avant Garde"/>
                <w:bCs/>
                <w:sz w:val="18"/>
                <w:szCs w:val="18"/>
              </w:rPr>
            </w:pPr>
            <w:r w:rsidRPr="00CA65CF">
              <w:rPr>
                <w:rFonts w:ascii="ITC Avant Garde" w:hAnsi="ITC Avant Garde"/>
                <w:bCs/>
                <w:sz w:val="18"/>
                <w:szCs w:val="18"/>
              </w:rPr>
              <w:t>01</w:t>
            </w:r>
          </w:p>
        </w:tc>
        <w:tc>
          <w:tcPr>
            <w:tcW w:w="2115" w:type="dxa"/>
          </w:tcPr>
          <w:p w14:paraId="177B7D45" w14:textId="490A3BC6" w:rsidR="00CA65CF" w:rsidRPr="00CA65CF" w:rsidRDefault="00CA65CF" w:rsidP="00CA65CF">
            <w:pPr>
              <w:autoSpaceDE w:val="0"/>
              <w:autoSpaceDN w:val="0"/>
              <w:adjustRightInd w:val="0"/>
              <w:spacing w:after="0" w:line="240" w:lineRule="auto"/>
              <w:jc w:val="center"/>
              <w:rPr>
                <w:rFonts w:ascii="ITC Avant Garde" w:hAnsi="ITC Avant Garde"/>
                <w:bCs/>
                <w:sz w:val="18"/>
                <w:szCs w:val="18"/>
              </w:rPr>
            </w:pPr>
            <w:r w:rsidRPr="00CA65CF">
              <w:rPr>
                <w:rFonts w:ascii="ITC Avant Garde" w:hAnsi="ITC Avant Garde"/>
                <w:bCs/>
                <w:sz w:val="18"/>
                <w:szCs w:val="18"/>
              </w:rPr>
              <w:t>0.20</w:t>
            </w:r>
          </w:p>
        </w:tc>
      </w:tr>
      <w:tr w:rsidR="00CA65CF" w:rsidRPr="00CA65CF" w14:paraId="1A2B1AF2" w14:textId="7C50B499" w:rsidTr="00183D8B">
        <w:trPr>
          <w:trHeight w:val="461"/>
          <w:jc w:val="center"/>
        </w:trPr>
        <w:tc>
          <w:tcPr>
            <w:tcW w:w="3255" w:type="dxa"/>
          </w:tcPr>
          <w:p w14:paraId="5A62035B" w14:textId="77777777" w:rsidR="00CA65CF" w:rsidRPr="00CA65CF" w:rsidRDefault="00CA65CF" w:rsidP="00CA65CF">
            <w:pPr>
              <w:autoSpaceDE w:val="0"/>
              <w:autoSpaceDN w:val="0"/>
              <w:adjustRightInd w:val="0"/>
              <w:spacing w:after="0" w:line="240" w:lineRule="auto"/>
              <w:jc w:val="center"/>
              <w:rPr>
                <w:rFonts w:ascii="ITC Avant Garde" w:hAnsi="ITC Avant Garde"/>
                <w:b/>
                <w:bCs/>
                <w:sz w:val="18"/>
                <w:szCs w:val="18"/>
              </w:rPr>
            </w:pPr>
            <w:r w:rsidRPr="00CA65CF">
              <w:rPr>
                <w:rFonts w:ascii="ITC Avant Garde" w:hAnsi="ITC Avant Garde"/>
                <w:b/>
                <w:bCs/>
                <w:sz w:val="18"/>
                <w:szCs w:val="18"/>
              </w:rPr>
              <w:t>Total</w:t>
            </w:r>
          </w:p>
        </w:tc>
        <w:tc>
          <w:tcPr>
            <w:tcW w:w="2149" w:type="dxa"/>
          </w:tcPr>
          <w:p w14:paraId="7D27B1B7" w14:textId="03DFD099" w:rsidR="00CA65CF" w:rsidRPr="00CA65CF" w:rsidRDefault="00CA65CF" w:rsidP="00CA65CF">
            <w:pPr>
              <w:autoSpaceDE w:val="0"/>
              <w:autoSpaceDN w:val="0"/>
              <w:adjustRightInd w:val="0"/>
              <w:spacing w:after="0" w:line="240" w:lineRule="auto"/>
              <w:jc w:val="center"/>
              <w:rPr>
                <w:rFonts w:ascii="ITC Avant Garde" w:hAnsi="ITC Avant Garde"/>
                <w:b/>
                <w:bCs/>
                <w:sz w:val="18"/>
                <w:szCs w:val="18"/>
              </w:rPr>
            </w:pPr>
            <w:r w:rsidRPr="00CA65CF">
              <w:rPr>
                <w:rFonts w:ascii="ITC Avant Garde" w:hAnsi="ITC Avant Garde"/>
                <w:b/>
                <w:bCs/>
                <w:sz w:val="18"/>
                <w:szCs w:val="18"/>
              </w:rPr>
              <w:t>500</w:t>
            </w:r>
          </w:p>
        </w:tc>
        <w:tc>
          <w:tcPr>
            <w:tcW w:w="2115" w:type="dxa"/>
          </w:tcPr>
          <w:p w14:paraId="3BE880DB" w14:textId="28A40208" w:rsidR="00CA65CF" w:rsidRPr="00CA65CF" w:rsidRDefault="00CA65CF" w:rsidP="00CA65CF">
            <w:pPr>
              <w:autoSpaceDE w:val="0"/>
              <w:autoSpaceDN w:val="0"/>
              <w:adjustRightInd w:val="0"/>
              <w:spacing w:after="0" w:line="240" w:lineRule="auto"/>
              <w:jc w:val="center"/>
              <w:rPr>
                <w:rFonts w:ascii="ITC Avant Garde" w:hAnsi="ITC Avant Garde"/>
                <w:b/>
                <w:bCs/>
                <w:sz w:val="18"/>
                <w:szCs w:val="18"/>
              </w:rPr>
            </w:pPr>
            <w:r w:rsidRPr="00CA65CF">
              <w:rPr>
                <w:rFonts w:ascii="ITC Avant Garde" w:hAnsi="ITC Avant Garde"/>
                <w:b/>
                <w:bCs/>
                <w:sz w:val="18"/>
                <w:szCs w:val="18"/>
              </w:rPr>
              <w:t>100.00</w:t>
            </w:r>
          </w:p>
        </w:tc>
      </w:tr>
    </w:tbl>
    <w:p w14:paraId="77BDBECC" w14:textId="1A84B3CA" w:rsidR="00476447" w:rsidRPr="00A06D0A" w:rsidRDefault="00C06E77" w:rsidP="00A16B88">
      <w:pPr>
        <w:autoSpaceDE w:val="0"/>
        <w:autoSpaceDN w:val="0"/>
        <w:adjustRightInd w:val="0"/>
        <w:spacing w:before="240" w:line="240" w:lineRule="auto"/>
        <w:jc w:val="both"/>
        <w:rPr>
          <w:rFonts w:ascii="ITC Avant Garde" w:hAnsi="ITC Avant Garde"/>
          <w:bCs/>
        </w:rPr>
      </w:pPr>
      <w:r w:rsidRPr="00A06D0A">
        <w:rPr>
          <w:rFonts w:ascii="ITC Avant Garde" w:hAnsi="ITC Avant Garde"/>
          <w:bCs/>
        </w:rPr>
        <w:t>Por otra parte</w:t>
      </w:r>
      <w:r w:rsidR="004D43D6" w:rsidRPr="00A06D0A">
        <w:rPr>
          <w:rFonts w:ascii="ITC Avant Garde" w:hAnsi="ITC Avant Garde"/>
          <w:bCs/>
        </w:rPr>
        <w:t xml:space="preserve">, la Dirección General de Concentraciones y Concesiones, adscrita a la Unidad de Competencia Económica, </w:t>
      </w:r>
      <w:r w:rsidRPr="00A06D0A">
        <w:rPr>
          <w:rFonts w:ascii="ITC Avant Garde" w:hAnsi="ITC Avant Garde"/>
          <w:bCs/>
        </w:rPr>
        <w:t>emitió</w:t>
      </w:r>
      <w:r w:rsidR="006479C5">
        <w:rPr>
          <w:rFonts w:ascii="ITC Avant Garde" w:hAnsi="ITC Avant Garde"/>
          <w:bCs/>
        </w:rPr>
        <w:t xml:space="preserve"> opinión</w:t>
      </w:r>
      <w:r w:rsidR="004D43D6" w:rsidRPr="00A06D0A">
        <w:rPr>
          <w:rFonts w:ascii="ITC Avant Garde" w:hAnsi="ITC Avant Garde"/>
          <w:bCs/>
        </w:rPr>
        <w:t xml:space="preserve"> respecto </w:t>
      </w:r>
      <w:r w:rsidRPr="00A06D0A">
        <w:rPr>
          <w:rFonts w:ascii="ITC Avant Garde" w:hAnsi="ITC Avant Garde"/>
          <w:bCs/>
        </w:rPr>
        <w:t xml:space="preserve">de la Solicitud de Enajenación </w:t>
      </w:r>
      <w:r w:rsidR="00D864B7">
        <w:rPr>
          <w:rFonts w:ascii="ITC Avant Garde" w:hAnsi="ITC Avant Garde"/>
          <w:bCs/>
        </w:rPr>
        <w:t xml:space="preserve">y Suscripción </w:t>
      </w:r>
      <w:r w:rsidRPr="00A06D0A">
        <w:rPr>
          <w:rFonts w:ascii="ITC Avant Garde" w:hAnsi="ITC Avant Garde"/>
          <w:bCs/>
        </w:rPr>
        <w:t>de Acciones</w:t>
      </w:r>
      <w:r w:rsidR="004D43D6" w:rsidRPr="00A06D0A">
        <w:rPr>
          <w:rFonts w:ascii="ITC Avant Garde" w:hAnsi="ITC Avant Garde"/>
          <w:bCs/>
        </w:rPr>
        <w:t xml:space="preserve">, </w:t>
      </w:r>
      <w:r w:rsidR="006479C5">
        <w:rPr>
          <w:rFonts w:ascii="ITC Avant Garde" w:hAnsi="ITC Avant Garde"/>
          <w:bCs/>
        </w:rPr>
        <w:t xml:space="preserve">señalando </w:t>
      </w:r>
      <w:r w:rsidR="004D43D6" w:rsidRPr="00A06D0A">
        <w:rPr>
          <w:rFonts w:ascii="ITC Avant Garde" w:hAnsi="ITC Avant Garde"/>
          <w:bCs/>
        </w:rPr>
        <w:t>entre otras cosas, lo siguiente:</w:t>
      </w:r>
    </w:p>
    <w:p w14:paraId="0F8967CC" w14:textId="77777777" w:rsidR="00BF1C17" w:rsidRDefault="00010FB7" w:rsidP="00A16B88">
      <w:pPr>
        <w:autoSpaceDE w:val="0"/>
        <w:autoSpaceDN w:val="0"/>
        <w:adjustRightInd w:val="0"/>
        <w:spacing w:line="240" w:lineRule="auto"/>
        <w:ind w:left="1134" w:right="612"/>
        <w:jc w:val="both"/>
        <w:rPr>
          <w:rFonts w:ascii="ITC Avant Garde" w:hAnsi="ITC Avant Garde"/>
          <w:bCs/>
          <w:i/>
          <w:sz w:val="18"/>
          <w:szCs w:val="18"/>
        </w:rPr>
      </w:pPr>
      <w:r w:rsidRPr="008E66CB">
        <w:rPr>
          <w:rFonts w:ascii="ITC Avant Garde" w:hAnsi="ITC Avant Garde"/>
          <w:bCs/>
          <w:i/>
          <w:sz w:val="18"/>
          <w:szCs w:val="18"/>
        </w:rPr>
        <w:t>“</w:t>
      </w:r>
      <w:r w:rsidR="00BF1C17">
        <w:rPr>
          <w:rFonts w:ascii="ITC Avant Garde" w:hAnsi="ITC Avant Garde"/>
          <w:bCs/>
          <w:i/>
          <w:sz w:val="18"/>
          <w:szCs w:val="18"/>
        </w:rPr>
        <w:t>[…]</w:t>
      </w:r>
    </w:p>
    <w:p w14:paraId="27AA4DDB" w14:textId="255FAD71" w:rsidR="005B716E" w:rsidRDefault="005B716E" w:rsidP="00A16B88">
      <w:pPr>
        <w:autoSpaceDE w:val="0"/>
        <w:autoSpaceDN w:val="0"/>
        <w:adjustRightInd w:val="0"/>
        <w:spacing w:line="240" w:lineRule="auto"/>
        <w:ind w:left="1134" w:right="612"/>
        <w:jc w:val="both"/>
        <w:rPr>
          <w:rFonts w:ascii="ITC Avant Garde" w:hAnsi="ITC Avant Garde"/>
          <w:bCs/>
          <w:i/>
          <w:sz w:val="18"/>
          <w:szCs w:val="18"/>
        </w:rPr>
      </w:pPr>
      <w:r w:rsidRPr="005B716E">
        <w:rPr>
          <w:rFonts w:ascii="ITC Avant Garde" w:hAnsi="ITC Avant Garde"/>
          <w:b/>
          <w:bCs/>
          <w:i/>
          <w:sz w:val="18"/>
          <w:szCs w:val="18"/>
        </w:rPr>
        <w:t>II. Operación</w:t>
      </w:r>
    </w:p>
    <w:p w14:paraId="50088806" w14:textId="062B95D7" w:rsidR="005B716E" w:rsidRDefault="005B716E" w:rsidP="00A16B88">
      <w:pPr>
        <w:autoSpaceDE w:val="0"/>
        <w:autoSpaceDN w:val="0"/>
        <w:adjustRightInd w:val="0"/>
        <w:spacing w:line="240" w:lineRule="auto"/>
        <w:ind w:left="1134" w:right="612"/>
        <w:jc w:val="both"/>
        <w:rPr>
          <w:rFonts w:ascii="ITC Avant Garde" w:hAnsi="ITC Avant Garde"/>
          <w:bCs/>
          <w:i/>
          <w:sz w:val="18"/>
          <w:szCs w:val="18"/>
        </w:rPr>
      </w:pPr>
      <w:r>
        <w:rPr>
          <w:rFonts w:ascii="ITC Avant Garde" w:hAnsi="ITC Avant Garde"/>
          <w:bCs/>
          <w:i/>
          <w:sz w:val="18"/>
          <w:szCs w:val="18"/>
        </w:rPr>
        <w:t>GSAT presentó ante el Instituto el 24 de febrero de 2016 una solicitud de autorización para realizar la Operación (Solicitud), consistente en lo siguiente:</w:t>
      </w:r>
    </w:p>
    <w:p w14:paraId="51200E61" w14:textId="6CF4B561" w:rsidR="005B716E" w:rsidRDefault="005B716E" w:rsidP="00A16B88">
      <w:pPr>
        <w:pStyle w:val="Prrafodelista"/>
        <w:numPr>
          <w:ilvl w:val="0"/>
          <w:numId w:val="20"/>
        </w:numPr>
        <w:autoSpaceDE w:val="0"/>
        <w:autoSpaceDN w:val="0"/>
        <w:adjustRightInd w:val="0"/>
        <w:spacing w:after="200"/>
        <w:ind w:right="612"/>
        <w:jc w:val="both"/>
        <w:rPr>
          <w:rFonts w:ascii="ITC Avant Garde" w:hAnsi="ITC Avant Garde"/>
          <w:bCs/>
          <w:i/>
          <w:sz w:val="18"/>
          <w:szCs w:val="18"/>
        </w:rPr>
      </w:pPr>
      <w:r w:rsidRPr="005B716E">
        <w:rPr>
          <w:rFonts w:ascii="ITC Avant Garde" w:hAnsi="ITC Avant Garde"/>
          <w:bCs/>
          <w:i/>
          <w:sz w:val="18"/>
          <w:szCs w:val="18"/>
        </w:rPr>
        <w:t>Aumento de C</w:t>
      </w:r>
      <w:r>
        <w:rPr>
          <w:rFonts w:ascii="ITC Avant Garde" w:hAnsi="ITC Avant Garde"/>
          <w:bCs/>
          <w:i/>
          <w:sz w:val="18"/>
          <w:szCs w:val="18"/>
        </w:rPr>
        <w:t>a</w:t>
      </w:r>
      <w:r w:rsidRPr="005B716E">
        <w:rPr>
          <w:rFonts w:ascii="ITC Avant Garde" w:hAnsi="ITC Avant Garde"/>
          <w:bCs/>
          <w:i/>
          <w:sz w:val="18"/>
          <w:szCs w:val="18"/>
        </w:rPr>
        <w:t>pital:</w:t>
      </w:r>
      <w:r>
        <w:rPr>
          <w:rFonts w:ascii="ITC Avant Garde" w:hAnsi="ITC Avant Garde"/>
          <w:bCs/>
          <w:i/>
          <w:sz w:val="18"/>
          <w:szCs w:val="18"/>
        </w:rPr>
        <w:t xml:space="preserve"> emisión de 55,616 (cincuenta y cinco mil seiscientos dieciséis) acciones </w:t>
      </w:r>
      <w:r w:rsidR="00566419" w:rsidRPr="00A02715">
        <w:rPr>
          <w:rFonts w:ascii="ITC Avant Garde" w:hAnsi="ITC Avant Garde"/>
          <w:b/>
          <w:bCs/>
          <w:color w:val="0000CC"/>
          <w:sz w:val="20"/>
          <w:lang w:eastAsia="es-MX"/>
        </w:rPr>
        <w:t>RESERVADO POR LEY</w:t>
      </w:r>
      <w:r w:rsidR="00566419">
        <w:rPr>
          <w:rFonts w:ascii="ITC Avant Garde" w:hAnsi="ITC Avant Garde"/>
          <w:bCs/>
          <w:i/>
          <w:sz w:val="18"/>
          <w:szCs w:val="18"/>
        </w:rPr>
        <w:t xml:space="preserve"> </w:t>
      </w:r>
      <w:r>
        <w:rPr>
          <w:rFonts w:ascii="ITC Avant Garde" w:hAnsi="ITC Avant Garde"/>
          <w:bCs/>
          <w:i/>
          <w:sz w:val="18"/>
          <w:szCs w:val="18"/>
        </w:rPr>
        <w:t>que serán suscritas por Data Comunicaciones de México, S.A. de C.V. (Data Comunicaciones); y</w:t>
      </w:r>
    </w:p>
    <w:p w14:paraId="4747D0F0" w14:textId="05DD5B54" w:rsidR="005B716E" w:rsidRPr="005B716E" w:rsidRDefault="005B716E" w:rsidP="00A16B88">
      <w:pPr>
        <w:pStyle w:val="Prrafodelista"/>
        <w:numPr>
          <w:ilvl w:val="0"/>
          <w:numId w:val="20"/>
        </w:numPr>
        <w:autoSpaceDE w:val="0"/>
        <w:autoSpaceDN w:val="0"/>
        <w:adjustRightInd w:val="0"/>
        <w:spacing w:after="200"/>
        <w:ind w:right="612"/>
        <w:jc w:val="both"/>
        <w:rPr>
          <w:rFonts w:ascii="ITC Avant Garde" w:hAnsi="ITC Avant Garde"/>
          <w:bCs/>
          <w:i/>
          <w:sz w:val="18"/>
          <w:szCs w:val="18"/>
        </w:rPr>
      </w:pPr>
      <w:r>
        <w:rPr>
          <w:rFonts w:ascii="ITC Avant Garde" w:hAnsi="ITC Avant Garde"/>
          <w:bCs/>
          <w:i/>
          <w:sz w:val="18"/>
          <w:szCs w:val="18"/>
        </w:rPr>
        <w:t>Enajenación: El C. Ramón Rómulo Ceballos de Cima enajenará 1 acción de GSAT de la cual es titular, en favor de Data Comunicaciones.</w:t>
      </w:r>
    </w:p>
    <w:p w14:paraId="1F5C43A6" w14:textId="7188CD77" w:rsidR="005B716E" w:rsidRDefault="005B716E" w:rsidP="00A16B88">
      <w:pPr>
        <w:autoSpaceDE w:val="0"/>
        <w:autoSpaceDN w:val="0"/>
        <w:adjustRightInd w:val="0"/>
        <w:spacing w:line="240" w:lineRule="auto"/>
        <w:ind w:left="1134" w:right="612"/>
        <w:jc w:val="both"/>
        <w:rPr>
          <w:rFonts w:ascii="ITC Avant Garde" w:hAnsi="ITC Avant Garde"/>
          <w:bCs/>
          <w:i/>
          <w:sz w:val="18"/>
          <w:szCs w:val="18"/>
        </w:rPr>
      </w:pPr>
      <w:r>
        <w:rPr>
          <w:rFonts w:ascii="ITC Avant Garde" w:hAnsi="ITC Avant Garde"/>
          <w:bCs/>
          <w:i/>
          <w:sz w:val="18"/>
          <w:szCs w:val="18"/>
        </w:rPr>
        <w:t>[…]</w:t>
      </w:r>
    </w:p>
    <w:p w14:paraId="283F3303" w14:textId="69CCDF34" w:rsidR="005B716E" w:rsidRDefault="005B716E" w:rsidP="00A16B88">
      <w:pPr>
        <w:autoSpaceDE w:val="0"/>
        <w:autoSpaceDN w:val="0"/>
        <w:adjustRightInd w:val="0"/>
        <w:spacing w:line="240" w:lineRule="auto"/>
        <w:ind w:left="1134" w:right="612"/>
        <w:jc w:val="both"/>
        <w:rPr>
          <w:rFonts w:ascii="ITC Avant Garde" w:hAnsi="ITC Avant Garde"/>
          <w:bCs/>
          <w:i/>
          <w:sz w:val="18"/>
          <w:szCs w:val="18"/>
        </w:rPr>
      </w:pPr>
      <w:r>
        <w:rPr>
          <w:rFonts w:ascii="ITC Avant Garde" w:hAnsi="ITC Avant Garde"/>
          <w:bCs/>
          <w:i/>
          <w:sz w:val="18"/>
          <w:szCs w:val="18"/>
        </w:rPr>
        <w:t>III. Diagrama corporativo</w:t>
      </w:r>
    </w:p>
    <w:p w14:paraId="739BCEB1" w14:textId="460E18E1" w:rsidR="005B716E" w:rsidRDefault="005B716E" w:rsidP="00A16B88">
      <w:pPr>
        <w:autoSpaceDE w:val="0"/>
        <w:autoSpaceDN w:val="0"/>
        <w:adjustRightInd w:val="0"/>
        <w:spacing w:line="240" w:lineRule="auto"/>
        <w:ind w:left="1134" w:right="612"/>
        <w:jc w:val="both"/>
        <w:rPr>
          <w:rFonts w:ascii="ITC Avant Garde" w:hAnsi="ITC Avant Garde"/>
          <w:bCs/>
          <w:i/>
          <w:sz w:val="18"/>
          <w:szCs w:val="18"/>
        </w:rPr>
      </w:pPr>
      <w:r>
        <w:rPr>
          <w:rFonts w:ascii="ITC Avant Garde" w:hAnsi="ITC Avant Garde"/>
          <w:bCs/>
          <w:i/>
          <w:sz w:val="18"/>
          <w:szCs w:val="18"/>
        </w:rPr>
        <w:t>La estructura de control de las sociedades que participan en la Operación, antes y después de ésta, se ilustra en las siguientes figuras.</w:t>
      </w:r>
    </w:p>
    <w:p w14:paraId="25DD5891" w14:textId="60545035" w:rsidR="005B716E" w:rsidRDefault="005B716E" w:rsidP="00A16B88">
      <w:pPr>
        <w:autoSpaceDE w:val="0"/>
        <w:autoSpaceDN w:val="0"/>
        <w:adjustRightInd w:val="0"/>
        <w:spacing w:line="240" w:lineRule="auto"/>
        <w:ind w:left="1134" w:right="612"/>
        <w:jc w:val="center"/>
        <w:rPr>
          <w:rFonts w:ascii="ITC Avant Garde" w:hAnsi="ITC Avant Garde"/>
          <w:bCs/>
          <w:i/>
          <w:sz w:val="18"/>
          <w:szCs w:val="18"/>
        </w:rPr>
      </w:pPr>
      <w:r>
        <w:rPr>
          <w:rFonts w:ascii="ITC Avant Garde" w:hAnsi="ITC Avant Garde"/>
          <w:bCs/>
          <w:i/>
          <w:sz w:val="18"/>
          <w:szCs w:val="18"/>
        </w:rPr>
        <w:t>Figura 1. Estructura de control antes de la Operación</w:t>
      </w:r>
    </w:p>
    <w:p w14:paraId="11493566" w14:textId="06F0EF4D" w:rsidR="005B716E" w:rsidRDefault="00BF1C17" w:rsidP="0022041E">
      <w:pPr>
        <w:autoSpaceDE w:val="0"/>
        <w:autoSpaceDN w:val="0"/>
        <w:adjustRightInd w:val="0"/>
        <w:spacing w:after="0" w:line="240" w:lineRule="auto"/>
        <w:ind w:left="1134" w:right="612"/>
        <w:jc w:val="both"/>
        <w:rPr>
          <w:rFonts w:ascii="ITC Avant Garde" w:hAnsi="ITC Avant Garde"/>
          <w:bCs/>
          <w:i/>
          <w:sz w:val="18"/>
          <w:szCs w:val="18"/>
        </w:rPr>
      </w:pPr>
      <w:r>
        <w:rPr>
          <w:noProof/>
          <w:lang w:eastAsia="es-MX"/>
        </w:rPr>
        <w:drawing>
          <wp:inline distT="0" distB="0" distL="0" distR="0" wp14:anchorId="641911B8" wp14:editId="24468D10">
            <wp:extent cx="4787900" cy="1616494"/>
            <wp:effectExtent l="19050" t="19050" r="12700" b="22225"/>
            <wp:docPr id="12" name="Imagen 12" descr="Estructura de control antes de la operación." title="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671" t="22682" r="48793" b="59203"/>
                    <a:stretch/>
                  </pic:blipFill>
                  <pic:spPr bwMode="auto">
                    <a:xfrm>
                      <a:off x="0" y="0"/>
                      <a:ext cx="4869302" cy="16439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1481F98" w14:textId="42F9612C" w:rsidR="00BF1C17" w:rsidRPr="00BF1C17" w:rsidRDefault="00BF1C17" w:rsidP="00BF1C17">
      <w:pPr>
        <w:autoSpaceDE w:val="0"/>
        <w:autoSpaceDN w:val="0"/>
        <w:adjustRightInd w:val="0"/>
        <w:spacing w:after="0" w:line="240" w:lineRule="auto"/>
        <w:ind w:left="1134" w:right="612"/>
        <w:jc w:val="center"/>
        <w:rPr>
          <w:rFonts w:ascii="ITC Avant Garde" w:hAnsi="ITC Avant Garde"/>
          <w:bCs/>
          <w:i/>
          <w:sz w:val="14"/>
          <w:szCs w:val="14"/>
        </w:rPr>
      </w:pPr>
      <w:r w:rsidRPr="00BF1C17">
        <w:rPr>
          <w:rFonts w:ascii="ITC Avant Garde" w:hAnsi="ITC Avant Garde"/>
          <w:bCs/>
          <w:i/>
          <w:sz w:val="14"/>
          <w:szCs w:val="14"/>
        </w:rPr>
        <w:lastRenderedPageBreak/>
        <w:t>Fuente: Elaboración propia con información proporcionada por GSAT.</w:t>
      </w:r>
    </w:p>
    <w:p w14:paraId="3DDC2EBA" w14:textId="77777777" w:rsidR="00BF1C17" w:rsidRDefault="00BF1C17" w:rsidP="0022041E">
      <w:pPr>
        <w:autoSpaceDE w:val="0"/>
        <w:autoSpaceDN w:val="0"/>
        <w:adjustRightInd w:val="0"/>
        <w:spacing w:after="0" w:line="240" w:lineRule="auto"/>
        <w:ind w:left="1134" w:right="612"/>
        <w:jc w:val="both"/>
        <w:rPr>
          <w:rFonts w:ascii="ITC Avant Garde" w:hAnsi="ITC Avant Garde"/>
          <w:bCs/>
          <w:i/>
          <w:sz w:val="18"/>
          <w:szCs w:val="18"/>
        </w:rPr>
      </w:pPr>
    </w:p>
    <w:p w14:paraId="648810F8" w14:textId="3F7FCC5D" w:rsidR="00C82159" w:rsidRDefault="00C82159" w:rsidP="00BF1C17">
      <w:pPr>
        <w:autoSpaceDE w:val="0"/>
        <w:autoSpaceDN w:val="0"/>
        <w:adjustRightInd w:val="0"/>
        <w:spacing w:after="0" w:line="240" w:lineRule="auto"/>
        <w:ind w:left="1134" w:right="612"/>
        <w:jc w:val="center"/>
        <w:rPr>
          <w:rFonts w:ascii="ITC Avant Garde" w:hAnsi="ITC Avant Garde"/>
          <w:bCs/>
          <w:i/>
          <w:sz w:val="18"/>
          <w:szCs w:val="18"/>
        </w:rPr>
      </w:pPr>
      <w:r>
        <w:rPr>
          <w:rFonts w:ascii="ITC Avant Garde" w:hAnsi="ITC Avant Garde"/>
          <w:bCs/>
          <w:i/>
          <w:sz w:val="18"/>
          <w:szCs w:val="18"/>
        </w:rPr>
        <w:t>Figura 2. Estructura de control después de la Operación</w:t>
      </w:r>
    </w:p>
    <w:p w14:paraId="2BC2D62E" w14:textId="77777777" w:rsidR="00BF1C17" w:rsidRDefault="00BF1C17" w:rsidP="0022041E">
      <w:pPr>
        <w:autoSpaceDE w:val="0"/>
        <w:autoSpaceDN w:val="0"/>
        <w:adjustRightInd w:val="0"/>
        <w:spacing w:after="0" w:line="240" w:lineRule="auto"/>
        <w:ind w:left="1134" w:right="612"/>
        <w:jc w:val="both"/>
        <w:rPr>
          <w:rFonts w:ascii="ITC Avant Garde" w:hAnsi="ITC Avant Garde"/>
          <w:bCs/>
          <w:i/>
          <w:sz w:val="18"/>
          <w:szCs w:val="18"/>
        </w:rPr>
      </w:pPr>
    </w:p>
    <w:p w14:paraId="6C9F5F67" w14:textId="391BD134" w:rsidR="00BF1C17" w:rsidRDefault="00BF1C17" w:rsidP="0022041E">
      <w:pPr>
        <w:autoSpaceDE w:val="0"/>
        <w:autoSpaceDN w:val="0"/>
        <w:adjustRightInd w:val="0"/>
        <w:spacing w:after="0" w:line="240" w:lineRule="auto"/>
        <w:ind w:left="1134" w:right="612"/>
        <w:jc w:val="both"/>
        <w:rPr>
          <w:rFonts w:ascii="ITC Avant Garde" w:hAnsi="ITC Avant Garde"/>
          <w:bCs/>
          <w:i/>
          <w:sz w:val="18"/>
          <w:szCs w:val="18"/>
        </w:rPr>
      </w:pPr>
      <w:r>
        <w:rPr>
          <w:noProof/>
          <w:lang w:eastAsia="es-MX"/>
        </w:rPr>
        <w:drawing>
          <wp:inline distT="0" distB="0" distL="0" distR="0" wp14:anchorId="7B35892F" wp14:editId="20B51203">
            <wp:extent cx="4811488" cy="1584000"/>
            <wp:effectExtent l="19050" t="19050" r="27305" b="16510"/>
            <wp:docPr id="15" name="Imagen 15" descr="Estructura de control después de la Operación" title="Figur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246" t="51120" r="48687" b="30936"/>
                    <a:stretch/>
                  </pic:blipFill>
                  <pic:spPr bwMode="auto">
                    <a:xfrm>
                      <a:off x="0" y="0"/>
                      <a:ext cx="4811488" cy="1584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0FDEA33" w14:textId="77777777" w:rsidR="00BF1C17" w:rsidRDefault="00BF1C17" w:rsidP="00BF1C17">
      <w:pPr>
        <w:autoSpaceDE w:val="0"/>
        <w:autoSpaceDN w:val="0"/>
        <w:adjustRightInd w:val="0"/>
        <w:spacing w:after="0" w:line="240" w:lineRule="auto"/>
        <w:ind w:left="1134" w:right="612"/>
        <w:jc w:val="center"/>
        <w:rPr>
          <w:rFonts w:ascii="ITC Avant Garde" w:hAnsi="ITC Avant Garde"/>
          <w:bCs/>
          <w:i/>
          <w:sz w:val="14"/>
          <w:szCs w:val="14"/>
        </w:rPr>
      </w:pPr>
      <w:r w:rsidRPr="00BF1C17">
        <w:rPr>
          <w:rFonts w:ascii="ITC Avant Garde" w:hAnsi="ITC Avant Garde"/>
          <w:bCs/>
          <w:i/>
          <w:sz w:val="14"/>
          <w:szCs w:val="14"/>
        </w:rPr>
        <w:t>Fuente: Elaboración propia con información proporcionada por GSAT.</w:t>
      </w:r>
    </w:p>
    <w:p w14:paraId="262BA069" w14:textId="3880EEDB" w:rsidR="00BF1C17" w:rsidRDefault="00BF1C17" w:rsidP="0001105B">
      <w:pPr>
        <w:autoSpaceDE w:val="0"/>
        <w:autoSpaceDN w:val="0"/>
        <w:adjustRightInd w:val="0"/>
        <w:spacing w:before="240" w:after="0" w:line="240" w:lineRule="auto"/>
        <w:ind w:left="1134" w:right="612"/>
        <w:jc w:val="both"/>
        <w:rPr>
          <w:rFonts w:ascii="ITC Avant Garde" w:hAnsi="ITC Avant Garde"/>
          <w:bCs/>
          <w:i/>
          <w:sz w:val="18"/>
          <w:szCs w:val="18"/>
        </w:rPr>
      </w:pPr>
      <w:r>
        <w:rPr>
          <w:rFonts w:ascii="ITC Avant Garde" w:hAnsi="ITC Avant Garde"/>
          <w:bCs/>
          <w:i/>
          <w:sz w:val="18"/>
          <w:szCs w:val="18"/>
        </w:rPr>
        <w:t>[…]</w:t>
      </w:r>
    </w:p>
    <w:p w14:paraId="178CDC1D" w14:textId="4B798DFE" w:rsidR="009E6C0C" w:rsidRPr="008E66CB" w:rsidRDefault="00CF305D" w:rsidP="0001105B">
      <w:pPr>
        <w:autoSpaceDE w:val="0"/>
        <w:autoSpaceDN w:val="0"/>
        <w:adjustRightInd w:val="0"/>
        <w:spacing w:before="240" w:after="0" w:line="240" w:lineRule="auto"/>
        <w:ind w:left="1134" w:right="612"/>
        <w:jc w:val="both"/>
        <w:rPr>
          <w:rFonts w:ascii="ITC Avant Garde" w:hAnsi="ITC Avant Garde"/>
          <w:bCs/>
          <w:i/>
          <w:sz w:val="18"/>
          <w:szCs w:val="18"/>
        </w:rPr>
      </w:pPr>
      <w:r w:rsidRPr="008E66CB">
        <w:rPr>
          <w:rFonts w:ascii="ITC Avant Garde" w:hAnsi="ITC Avant Garde"/>
          <w:bCs/>
          <w:i/>
          <w:sz w:val="18"/>
          <w:szCs w:val="18"/>
        </w:rPr>
        <w:t xml:space="preserve">A partir de la información remitida por la DGCT y disponible para esta DGCC, se considera que en la Operación participarán personas que forma parte del mismo grupo de interés económico, por lo que </w:t>
      </w:r>
      <w:r w:rsidRPr="008E66CB">
        <w:rPr>
          <w:rFonts w:ascii="ITC Avant Garde" w:hAnsi="ITC Avant Garde"/>
          <w:b/>
          <w:bCs/>
          <w:i/>
          <w:sz w:val="18"/>
          <w:szCs w:val="18"/>
          <w:u w:val="single"/>
        </w:rPr>
        <w:t>es posible concluir que la Operación previsiblemente no tendrá efectos contrarios al proceso de competencia y libre concurrencia en la provisión de servicios de telecomunicaciones y radiodifusión al no afectar la estructura de los mercados donde participan las sociedades descritas en la sección anterior</w:t>
      </w:r>
      <w:r w:rsidR="009E6C0C" w:rsidRPr="008E66CB">
        <w:rPr>
          <w:rFonts w:ascii="ITC Avant Garde" w:hAnsi="ITC Avant Garde"/>
          <w:bCs/>
          <w:i/>
          <w:sz w:val="18"/>
          <w:szCs w:val="18"/>
        </w:rPr>
        <w:t>.</w:t>
      </w:r>
    </w:p>
    <w:p w14:paraId="4054C2AD" w14:textId="4610EFF1" w:rsidR="00452045" w:rsidRPr="008E66CB" w:rsidRDefault="009E6C0C" w:rsidP="0001105B">
      <w:pPr>
        <w:autoSpaceDE w:val="0"/>
        <w:autoSpaceDN w:val="0"/>
        <w:adjustRightInd w:val="0"/>
        <w:spacing w:before="240" w:after="0" w:line="240" w:lineRule="auto"/>
        <w:ind w:left="1134" w:right="612"/>
        <w:jc w:val="both"/>
        <w:rPr>
          <w:rFonts w:ascii="ITC Avant Garde" w:hAnsi="ITC Avant Garde"/>
          <w:bCs/>
          <w:i/>
          <w:sz w:val="18"/>
          <w:szCs w:val="18"/>
        </w:rPr>
      </w:pPr>
      <w:r w:rsidRPr="008E66CB">
        <w:rPr>
          <w:rFonts w:ascii="ITC Avant Garde" w:hAnsi="ITC Avant Garde"/>
          <w:bCs/>
          <w:i/>
          <w:sz w:val="18"/>
          <w:szCs w:val="18"/>
        </w:rPr>
        <w:t xml:space="preserve">El análisis y la opinión que se emiten en este documento se circunscriben a la evaluación en materia de competencia económica de la Operación, sin prejuzgar sobre otras autorizaciones, requisitos u obligaciones que, </w:t>
      </w:r>
      <w:r w:rsidR="008B565F" w:rsidRPr="008E66CB">
        <w:rPr>
          <w:rFonts w:ascii="ITC Avant Garde" w:hAnsi="ITC Avant Garde"/>
          <w:bCs/>
          <w:i/>
          <w:sz w:val="18"/>
          <w:szCs w:val="18"/>
        </w:rPr>
        <w:t xml:space="preserve">en su caso, GSAT deba obtener de este Instituto u otra autoridad competente. Tampoco se prejuzga sobre violaciones a la Ley </w:t>
      </w:r>
      <w:r w:rsidR="006479C5" w:rsidRPr="008E66CB">
        <w:rPr>
          <w:rFonts w:ascii="ITC Avant Garde" w:hAnsi="ITC Avant Garde"/>
          <w:bCs/>
          <w:i/>
          <w:sz w:val="18"/>
          <w:szCs w:val="18"/>
        </w:rPr>
        <w:t xml:space="preserve">Federal de Competencia Económica, la Ley </w:t>
      </w:r>
      <w:r w:rsidR="008B565F" w:rsidRPr="008E66CB">
        <w:rPr>
          <w:rFonts w:ascii="ITC Avant Garde" w:hAnsi="ITC Avant Garde"/>
          <w:bCs/>
          <w:i/>
          <w:sz w:val="18"/>
          <w:szCs w:val="18"/>
        </w:rPr>
        <w:t>Federal de Telecomunicaciones y Radiodifusión u otros ordenamientos, en que pudieran haber incurrido o pudiera incurrir GSAT</w:t>
      </w:r>
      <w:r w:rsidR="00164246" w:rsidRPr="008E66CB">
        <w:rPr>
          <w:rFonts w:ascii="ITC Avant Garde" w:hAnsi="ITC Avant Garde"/>
          <w:bCs/>
          <w:i/>
          <w:sz w:val="18"/>
          <w:szCs w:val="18"/>
        </w:rPr>
        <w:t>.”</w:t>
      </w:r>
    </w:p>
    <w:p w14:paraId="4CFDC0BC" w14:textId="1A321A61" w:rsidR="00404EF4" w:rsidRDefault="00404EF4" w:rsidP="0001105B">
      <w:pPr>
        <w:autoSpaceDE w:val="0"/>
        <w:autoSpaceDN w:val="0"/>
        <w:adjustRightInd w:val="0"/>
        <w:spacing w:before="240" w:after="0" w:line="240" w:lineRule="auto"/>
        <w:ind w:left="1134" w:right="612"/>
        <w:jc w:val="both"/>
        <w:rPr>
          <w:rFonts w:ascii="ITC Avant Garde" w:hAnsi="ITC Avant Garde"/>
          <w:bCs/>
          <w:i/>
          <w:sz w:val="18"/>
          <w:szCs w:val="18"/>
        </w:rPr>
      </w:pPr>
      <w:r w:rsidRPr="008E66CB">
        <w:rPr>
          <w:rFonts w:ascii="ITC Avant Garde" w:hAnsi="ITC Avant Garde"/>
          <w:bCs/>
          <w:i/>
          <w:sz w:val="18"/>
          <w:szCs w:val="18"/>
        </w:rPr>
        <w:t>[Énfasis añadido]</w:t>
      </w:r>
    </w:p>
    <w:p w14:paraId="5F43765D" w14:textId="27534E12" w:rsidR="00655179" w:rsidRPr="00EE4BBE" w:rsidRDefault="004174FC" w:rsidP="00A16B88">
      <w:pPr>
        <w:autoSpaceDE w:val="0"/>
        <w:autoSpaceDN w:val="0"/>
        <w:adjustRightInd w:val="0"/>
        <w:spacing w:before="240" w:after="0" w:line="240" w:lineRule="auto"/>
        <w:jc w:val="both"/>
        <w:rPr>
          <w:rFonts w:ascii="ITC Avant Garde" w:hAnsi="ITC Avant Garde"/>
          <w:bCs/>
        </w:rPr>
      </w:pPr>
      <w:r>
        <w:rPr>
          <w:rFonts w:ascii="ITC Avant Garde" w:hAnsi="ITC Avant Garde"/>
          <w:bCs/>
        </w:rPr>
        <w:t>Adicionalmente</w:t>
      </w:r>
      <w:r w:rsidR="00655179" w:rsidRPr="00EE4BBE">
        <w:rPr>
          <w:rFonts w:ascii="ITC Avant Garde" w:hAnsi="ITC Avant Garde"/>
          <w:bCs/>
        </w:rPr>
        <w:t xml:space="preserve">, </w:t>
      </w:r>
      <w:r w:rsidR="001332E8" w:rsidRPr="00EE4BBE">
        <w:rPr>
          <w:rFonts w:ascii="ITC Avant Garde" w:hAnsi="ITC Avant Garde"/>
          <w:bCs/>
        </w:rPr>
        <w:t>GSAT COMUNICACIONES, S.A. de C.V</w:t>
      </w:r>
      <w:r w:rsidR="00702F7A" w:rsidRPr="00EE4BBE">
        <w:rPr>
          <w:rFonts w:ascii="ITC Avant Garde" w:hAnsi="ITC Avant Garde"/>
          <w:bCs/>
          <w:lang w:val="es-ES" w:eastAsia="es-ES"/>
        </w:rPr>
        <w:t>.</w:t>
      </w:r>
      <w:r w:rsidR="00E40139" w:rsidRPr="00EE4BBE">
        <w:rPr>
          <w:rFonts w:ascii="ITC Avant Garde" w:hAnsi="ITC Avant Garde"/>
          <w:bCs/>
        </w:rPr>
        <w:t>,</w:t>
      </w:r>
      <w:r w:rsidR="007961CB" w:rsidRPr="00EE4BBE">
        <w:rPr>
          <w:rFonts w:ascii="ITC Avant Garde" w:hAnsi="ITC Avant Garde"/>
          <w:bCs/>
        </w:rPr>
        <w:t xml:space="preserve"> </w:t>
      </w:r>
      <w:r w:rsidR="00655179" w:rsidRPr="00EE4BBE">
        <w:rPr>
          <w:rFonts w:ascii="ITC Avant Garde" w:hAnsi="ITC Avant Garde"/>
          <w:bCs/>
        </w:rPr>
        <w:t>presentó comprobante de pago de derechos por concepto</w:t>
      </w:r>
      <w:r w:rsidR="001332E8" w:rsidRPr="00EE4BBE">
        <w:rPr>
          <w:rFonts w:ascii="ITC Avant Garde" w:hAnsi="ITC Avant Garde"/>
          <w:bCs/>
        </w:rPr>
        <w:t xml:space="preserve"> de</w:t>
      </w:r>
      <w:r w:rsidR="00655179" w:rsidRPr="00EE4BBE">
        <w:rPr>
          <w:rFonts w:ascii="ITC Avant Garde" w:hAnsi="ITC Avant Garde"/>
          <w:bCs/>
        </w:rPr>
        <w:t xml:space="preserve"> </w:t>
      </w:r>
      <w:r w:rsidR="001332E8" w:rsidRPr="00EE4BBE">
        <w:rPr>
          <w:rFonts w:ascii="ITC Avant Garde" w:hAnsi="ITC Avant Garde"/>
          <w:bCs/>
        </w:rPr>
        <w:t>estudio y, en su caso, la autorización de las solicitudes de modificaciones técnicas, administrativas, operativas y legales de los títulos de concesión en materia de telecomunicaciones y radiodifusión</w:t>
      </w:r>
      <w:r w:rsidR="00CC3E0A" w:rsidRPr="00EE4BBE">
        <w:rPr>
          <w:rFonts w:ascii="ITC Avant Garde" w:hAnsi="ITC Avant Garde"/>
          <w:bCs/>
        </w:rPr>
        <w:t>, de manera específica, por cualquier supuesto de suscripción o enajenación de acciones o partes sociales que requiera autorización en términos de la Ley Federal de Telecomunicaciones y Radiodifusión</w:t>
      </w:r>
      <w:r w:rsidR="00655179" w:rsidRPr="00EE4BBE">
        <w:rPr>
          <w:rFonts w:ascii="ITC Avant Garde" w:hAnsi="ITC Avant Garde"/>
          <w:bCs/>
        </w:rPr>
        <w:t xml:space="preserve">, de conformidad con lo establecido en el artículo </w:t>
      </w:r>
      <w:r w:rsidR="00CC3E0A" w:rsidRPr="00EE4BBE">
        <w:rPr>
          <w:rFonts w:ascii="ITC Avant Garde" w:hAnsi="ITC Avant Garde"/>
          <w:bCs/>
        </w:rPr>
        <w:t xml:space="preserve">174-C </w:t>
      </w:r>
      <w:r w:rsidR="00655179" w:rsidRPr="00EE4BBE">
        <w:rPr>
          <w:rFonts w:ascii="ITC Avant Garde" w:hAnsi="ITC Avant Garde"/>
          <w:bCs/>
        </w:rPr>
        <w:t>fracci</w:t>
      </w:r>
      <w:r w:rsidR="00F02BD3" w:rsidRPr="00EE4BBE">
        <w:rPr>
          <w:rFonts w:ascii="ITC Avant Garde" w:hAnsi="ITC Avant Garde"/>
          <w:bCs/>
        </w:rPr>
        <w:t>ón</w:t>
      </w:r>
      <w:r w:rsidR="00655179" w:rsidRPr="00EE4BBE">
        <w:rPr>
          <w:rFonts w:ascii="ITC Avant Garde" w:hAnsi="ITC Avant Garde"/>
          <w:bCs/>
        </w:rPr>
        <w:t xml:space="preserve"> VII</w:t>
      </w:r>
      <w:r w:rsidR="00F02BD3" w:rsidRPr="00EE4BBE">
        <w:rPr>
          <w:rFonts w:ascii="ITC Avant Garde" w:hAnsi="ITC Avant Garde"/>
          <w:bCs/>
        </w:rPr>
        <w:t xml:space="preserve"> de la Ley Federal de Derechos</w:t>
      </w:r>
      <w:r w:rsidR="005717F6" w:rsidRPr="00EE4BBE">
        <w:rPr>
          <w:rFonts w:ascii="ITC Avant Garde" w:hAnsi="ITC Avant Garde"/>
          <w:bCs/>
        </w:rPr>
        <w:t xml:space="preserve"> vigente</w:t>
      </w:r>
      <w:r w:rsidR="00655179" w:rsidRPr="00EE4BBE">
        <w:rPr>
          <w:rFonts w:ascii="ITC Avant Garde" w:hAnsi="ITC Avant Garde"/>
          <w:bCs/>
        </w:rPr>
        <w:t>.</w:t>
      </w:r>
    </w:p>
    <w:p w14:paraId="25D314B8" w14:textId="3142147C" w:rsidR="00CB20DF" w:rsidRPr="00EE4BBE" w:rsidRDefault="00CB20DF" w:rsidP="00A16B88">
      <w:pPr>
        <w:autoSpaceDE w:val="0"/>
        <w:autoSpaceDN w:val="0"/>
        <w:adjustRightInd w:val="0"/>
        <w:spacing w:before="240" w:after="0" w:line="240" w:lineRule="auto"/>
        <w:jc w:val="both"/>
        <w:rPr>
          <w:rFonts w:ascii="ITC Avant Garde" w:hAnsi="ITC Avant Garde"/>
          <w:bCs/>
        </w:rPr>
      </w:pPr>
      <w:r w:rsidRPr="00EE4BBE">
        <w:rPr>
          <w:rFonts w:ascii="ITC Avant Garde" w:hAnsi="ITC Avant Garde"/>
          <w:bCs/>
        </w:rPr>
        <w:t xml:space="preserve">Ahora bien, en relación con </w:t>
      </w:r>
      <w:r w:rsidR="00A209A2">
        <w:rPr>
          <w:rFonts w:ascii="ITC Avant Garde" w:hAnsi="ITC Avant Garde"/>
          <w:bCs/>
        </w:rPr>
        <w:t>la opinión técnica de la Secretaría</w:t>
      </w:r>
      <w:r w:rsidRPr="00EE4BBE">
        <w:rPr>
          <w:rFonts w:ascii="ITC Avant Garde" w:hAnsi="ITC Avant Garde"/>
          <w:bCs/>
        </w:rPr>
        <w:t xml:space="preserve"> </w:t>
      </w:r>
      <w:r w:rsidR="00A209A2">
        <w:rPr>
          <w:rFonts w:ascii="ITC Avant Garde" w:hAnsi="ITC Avant Garde"/>
          <w:bCs/>
        </w:rPr>
        <w:t xml:space="preserve">señalada en el artículo 112 de la Ley, </w:t>
      </w:r>
      <w:r w:rsidRPr="00EE4BBE">
        <w:rPr>
          <w:rFonts w:ascii="ITC Avant Garde" w:hAnsi="ITC Avant Garde"/>
          <w:bCs/>
        </w:rPr>
        <w:t>este Instituto mediante oficio IFT/223/UCS/</w:t>
      </w:r>
      <w:r w:rsidR="002D7BFA" w:rsidRPr="00EE4BBE">
        <w:rPr>
          <w:rFonts w:ascii="ITC Avant Garde" w:hAnsi="ITC Avant Garde"/>
          <w:bCs/>
        </w:rPr>
        <w:t>368</w:t>
      </w:r>
      <w:r w:rsidRPr="00EE4BBE">
        <w:rPr>
          <w:rFonts w:ascii="ITC Avant Garde" w:hAnsi="ITC Avant Garde"/>
          <w:bCs/>
        </w:rPr>
        <w:t>/201</w:t>
      </w:r>
      <w:r w:rsidR="002D7BFA" w:rsidRPr="00EE4BBE">
        <w:rPr>
          <w:rFonts w:ascii="ITC Avant Garde" w:hAnsi="ITC Avant Garde"/>
          <w:bCs/>
        </w:rPr>
        <w:t>6</w:t>
      </w:r>
      <w:r w:rsidRPr="00EE4BBE">
        <w:rPr>
          <w:rFonts w:ascii="ITC Avant Garde" w:hAnsi="ITC Avant Garde"/>
          <w:bCs/>
        </w:rPr>
        <w:t xml:space="preserve"> notificado el </w:t>
      </w:r>
      <w:r w:rsidR="002D7BFA" w:rsidRPr="00EE4BBE">
        <w:rPr>
          <w:rFonts w:ascii="ITC Avant Garde" w:hAnsi="ITC Avant Garde"/>
          <w:bCs/>
        </w:rPr>
        <w:t xml:space="preserve">3 </w:t>
      </w:r>
      <w:r w:rsidRPr="00EE4BBE">
        <w:rPr>
          <w:rFonts w:ascii="ITC Avant Garde" w:hAnsi="ITC Avant Garde"/>
          <w:bCs/>
        </w:rPr>
        <w:t xml:space="preserve">de </w:t>
      </w:r>
      <w:r w:rsidR="002D7BFA" w:rsidRPr="00EE4BBE">
        <w:rPr>
          <w:rFonts w:ascii="ITC Avant Garde" w:hAnsi="ITC Avant Garde"/>
          <w:bCs/>
        </w:rPr>
        <w:t xml:space="preserve">marzo </w:t>
      </w:r>
      <w:r w:rsidRPr="00EE4BBE">
        <w:rPr>
          <w:rFonts w:ascii="ITC Avant Garde" w:hAnsi="ITC Avant Garde"/>
          <w:bCs/>
        </w:rPr>
        <w:t>de 201</w:t>
      </w:r>
      <w:r w:rsidR="002D7BFA" w:rsidRPr="00EE4BBE">
        <w:rPr>
          <w:rFonts w:ascii="ITC Avant Garde" w:hAnsi="ITC Avant Garde"/>
          <w:bCs/>
        </w:rPr>
        <w:t>6</w:t>
      </w:r>
      <w:r w:rsidRPr="00EE4BBE">
        <w:rPr>
          <w:rFonts w:ascii="ITC Avant Garde" w:hAnsi="ITC Avant Garde"/>
          <w:bCs/>
        </w:rPr>
        <w:t xml:space="preserve">, solicitó a la Secretaría la opinión técnica respecto de la Solicitud de Enajenación </w:t>
      </w:r>
      <w:r w:rsidR="00D864B7">
        <w:rPr>
          <w:rFonts w:ascii="ITC Avant Garde" w:hAnsi="ITC Avant Garde"/>
          <w:bCs/>
        </w:rPr>
        <w:t xml:space="preserve">y Suscripción </w:t>
      </w:r>
      <w:r w:rsidRPr="00EE4BBE">
        <w:rPr>
          <w:rFonts w:ascii="ITC Avant Garde" w:hAnsi="ITC Avant Garde"/>
          <w:bCs/>
        </w:rPr>
        <w:t>de Acciones.</w:t>
      </w:r>
    </w:p>
    <w:p w14:paraId="12B966D3" w14:textId="7EF2DE65" w:rsidR="002D7BFA" w:rsidRPr="00EE4BBE" w:rsidRDefault="002D7BFA" w:rsidP="00A16B88">
      <w:pPr>
        <w:autoSpaceDE w:val="0"/>
        <w:autoSpaceDN w:val="0"/>
        <w:adjustRightInd w:val="0"/>
        <w:spacing w:before="240" w:after="0" w:line="240" w:lineRule="auto"/>
        <w:jc w:val="both"/>
        <w:rPr>
          <w:rFonts w:ascii="ITC Avant Garde" w:hAnsi="ITC Avant Garde"/>
          <w:bCs/>
        </w:rPr>
      </w:pPr>
      <w:r w:rsidRPr="00EE4BBE">
        <w:rPr>
          <w:rFonts w:ascii="ITC Avant Garde" w:hAnsi="ITC Avant Garde"/>
          <w:bCs/>
        </w:rPr>
        <w:lastRenderedPageBreak/>
        <w:t>Posteriormente, mediante oficio IFT/223/UCS/DG-CTEL/751/2016 notificado el 1 de abril de 2016, se envió a la Secretaría información complementaria presentada por GSAT COMUNICACIONES, S.A. de C.V.,</w:t>
      </w:r>
      <w:r w:rsidR="00683723" w:rsidRPr="00EE4BBE">
        <w:rPr>
          <w:rFonts w:ascii="ITC Avant Garde" w:hAnsi="ITC Avant Garde"/>
          <w:bCs/>
        </w:rPr>
        <w:t xml:space="preserve"> a efecto de continuar con el trámite de la Solicitud de Enajenación </w:t>
      </w:r>
      <w:r w:rsidR="00D864B7">
        <w:rPr>
          <w:rFonts w:ascii="ITC Avant Garde" w:hAnsi="ITC Avant Garde"/>
          <w:bCs/>
        </w:rPr>
        <w:t xml:space="preserve">y Suscripción </w:t>
      </w:r>
      <w:r w:rsidR="00683723" w:rsidRPr="00EE4BBE">
        <w:rPr>
          <w:rFonts w:ascii="ITC Avant Garde" w:hAnsi="ITC Avant Garde"/>
          <w:bCs/>
        </w:rPr>
        <w:t>de Acciones.</w:t>
      </w:r>
    </w:p>
    <w:p w14:paraId="2DCE8FF1" w14:textId="05A2F95C" w:rsidR="00CB20DF" w:rsidRPr="00EE4BBE" w:rsidRDefault="006B0BB4" w:rsidP="00A16B88">
      <w:pPr>
        <w:autoSpaceDE w:val="0"/>
        <w:autoSpaceDN w:val="0"/>
        <w:adjustRightInd w:val="0"/>
        <w:spacing w:before="240" w:after="0" w:line="240" w:lineRule="auto"/>
        <w:jc w:val="both"/>
        <w:rPr>
          <w:rFonts w:ascii="ITC Avant Garde" w:hAnsi="ITC Avant Garde"/>
          <w:bCs/>
        </w:rPr>
      </w:pPr>
      <w:r w:rsidRPr="00EE4BBE">
        <w:rPr>
          <w:rFonts w:ascii="ITC Avant Garde" w:hAnsi="ITC Avant Garde"/>
          <w:shd w:val="clear" w:color="auto" w:fill="FFFFFF"/>
        </w:rPr>
        <w:t xml:space="preserve">Por lo anterior, </w:t>
      </w:r>
      <w:r w:rsidR="009166F8">
        <w:rPr>
          <w:rFonts w:ascii="ITC Avant Garde" w:hAnsi="ITC Avant Garde"/>
          <w:shd w:val="clear" w:color="auto" w:fill="FFFFFF"/>
        </w:rPr>
        <w:t xml:space="preserve">el 5 de abril de 2016, </w:t>
      </w:r>
      <w:r w:rsidR="00BE4A62" w:rsidRPr="00A06D0A">
        <w:rPr>
          <w:rFonts w:ascii="ITC Avant Garde" w:hAnsi="ITC Avant Garde"/>
          <w:bCs/>
          <w:lang w:eastAsia="es-MX"/>
        </w:rPr>
        <w:t>la Dirección General de Política de Telecomunicaciones y de Radiodifusión de la Secretaría</w:t>
      </w:r>
      <w:r w:rsidR="00BE4A62" w:rsidRPr="00EE4BBE" w:rsidDel="00BE4A62">
        <w:rPr>
          <w:rFonts w:ascii="ITC Avant Garde" w:hAnsi="ITC Avant Garde"/>
          <w:shd w:val="clear" w:color="auto" w:fill="FFFFFF"/>
        </w:rPr>
        <w:t xml:space="preserve"> </w:t>
      </w:r>
      <w:r w:rsidRPr="00EE4BBE">
        <w:rPr>
          <w:rFonts w:ascii="ITC Avant Garde" w:hAnsi="ITC Avant Garde"/>
          <w:shd w:val="clear" w:color="auto" w:fill="FFFFFF"/>
        </w:rPr>
        <w:t xml:space="preserve">mediante </w:t>
      </w:r>
      <w:r w:rsidR="00F46D69" w:rsidRPr="00A06D0A">
        <w:rPr>
          <w:rFonts w:ascii="ITC Avant Garde" w:hAnsi="ITC Avant Garde"/>
          <w:bCs/>
          <w:lang w:eastAsia="es-MX"/>
        </w:rPr>
        <w:t xml:space="preserve">oficio 2.1.-310/2016, remitió el oficio 1.-0059 con la opinión técnica en sentido favorable respecto de la Solicitud de Enajenación </w:t>
      </w:r>
      <w:r w:rsidR="00D864B7">
        <w:rPr>
          <w:rFonts w:ascii="ITC Avant Garde" w:hAnsi="ITC Avant Garde"/>
          <w:bCs/>
          <w:lang w:eastAsia="es-MX"/>
        </w:rPr>
        <w:t xml:space="preserve">y Suscripción </w:t>
      </w:r>
      <w:r w:rsidR="00F46D69" w:rsidRPr="00A06D0A">
        <w:rPr>
          <w:rFonts w:ascii="ITC Avant Garde" w:hAnsi="ITC Avant Garde"/>
          <w:bCs/>
          <w:lang w:eastAsia="es-MX"/>
        </w:rPr>
        <w:t>de Acciones presentada por GSAT COMUNICACIONES, S.A. de C.V.</w:t>
      </w:r>
    </w:p>
    <w:p w14:paraId="7F929EEC" w14:textId="6BD237B2" w:rsidR="00052CFA" w:rsidRPr="00EE4BBE" w:rsidRDefault="00D04074" w:rsidP="00A16B88">
      <w:pPr>
        <w:autoSpaceDE w:val="0"/>
        <w:autoSpaceDN w:val="0"/>
        <w:adjustRightInd w:val="0"/>
        <w:spacing w:before="240" w:after="0" w:line="240" w:lineRule="auto"/>
        <w:jc w:val="both"/>
        <w:rPr>
          <w:rFonts w:ascii="ITC Avant Garde" w:hAnsi="ITC Avant Garde"/>
          <w:bCs/>
        </w:rPr>
      </w:pPr>
      <w:r w:rsidRPr="00EE4BBE">
        <w:rPr>
          <w:rFonts w:ascii="ITC Avant Garde" w:hAnsi="ITC Avant Garde"/>
          <w:bCs/>
        </w:rPr>
        <w:t xml:space="preserve">Por lo anteriormente señalado, y con fundamento en los artículos 28 </w:t>
      </w:r>
      <w:r w:rsidR="00311B0A" w:rsidRPr="00EE4BBE">
        <w:rPr>
          <w:rFonts w:ascii="ITC Avant Garde" w:hAnsi="ITC Avant Garde"/>
          <w:bCs/>
        </w:rPr>
        <w:t>párrafo</w:t>
      </w:r>
      <w:r w:rsidR="00440EBB" w:rsidRPr="00EE4BBE">
        <w:rPr>
          <w:rFonts w:ascii="ITC Avant Garde" w:hAnsi="ITC Avant Garde"/>
          <w:bCs/>
        </w:rPr>
        <w:t>s</w:t>
      </w:r>
      <w:r w:rsidR="00311B0A" w:rsidRPr="00EE4BBE">
        <w:rPr>
          <w:rFonts w:ascii="ITC Avant Garde" w:hAnsi="ITC Avant Garde"/>
          <w:bCs/>
        </w:rPr>
        <w:t xml:space="preserve"> </w:t>
      </w:r>
      <w:r w:rsidR="00CD7CD4" w:rsidRPr="00EE4BBE">
        <w:rPr>
          <w:rFonts w:ascii="ITC Avant Garde" w:hAnsi="ITC Avant Garde"/>
          <w:bCs/>
        </w:rPr>
        <w:t xml:space="preserve">décimo </w:t>
      </w:r>
      <w:r w:rsidR="00440EBB" w:rsidRPr="00EE4BBE">
        <w:rPr>
          <w:rFonts w:ascii="ITC Avant Garde" w:hAnsi="ITC Avant Garde"/>
          <w:bCs/>
        </w:rPr>
        <w:t xml:space="preserve">sexto y décimo </w:t>
      </w:r>
      <w:r w:rsidR="00CD7CD4" w:rsidRPr="00EE4BBE">
        <w:rPr>
          <w:rFonts w:ascii="ITC Avant Garde" w:hAnsi="ITC Avant Garde"/>
          <w:bCs/>
        </w:rPr>
        <w:t>séptimo</w:t>
      </w:r>
      <w:r w:rsidRPr="00EE4BBE">
        <w:rPr>
          <w:rFonts w:ascii="ITC Avant Garde" w:hAnsi="ITC Avant Garde"/>
          <w:bCs/>
        </w:rPr>
        <w:t xml:space="preserve"> de la Constitución Política de los Estados Unidos Mexicanos; </w:t>
      </w:r>
      <w:r w:rsidR="00967B8E" w:rsidRPr="00EE4BBE">
        <w:rPr>
          <w:rFonts w:ascii="ITC Avant Garde" w:hAnsi="ITC Avant Garde"/>
          <w:bCs/>
        </w:rPr>
        <w:t xml:space="preserve">6 fracción IV, </w:t>
      </w:r>
      <w:r w:rsidR="00EC7353" w:rsidRPr="00EE4BBE">
        <w:rPr>
          <w:rFonts w:ascii="ITC Avant Garde" w:hAnsi="ITC Avant Garde"/>
          <w:bCs/>
        </w:rPr>
        <w:t>15 fracción IV</w:t>
      </w:r>
      <w:r w:rsidR="00BF6187" w:rsidRPr="00EE4BBE">
        <w:rPr>
          <w:rFonts w:ascii="ITC Avant Garde" w:hAnsi="ITC Avant Garde"/>
          <w:bCs/>
        </w:rPr>
        <w:t>,</w:t>
      </w:r>
      <w:r w:rsidR="00EC7353" w:rsidRPr="00EE4BBE">
        <w:rPr>
          <w:rFonts w:ascii="ITC Avant Garde" w:hAnsi="ITC Avant Garde"/>
          <w:bCs/>
        </w:rPr>
        <w:t xml:space="preserve"> 17 fracción I</w:t>
      </w:r>
      <w:r w:rsidRPr="00EE4BBE">
        <w:rPr>
          <w:rFonts w:ascii="ITC Avant Garde" w:hAnsi="ITC Avant Garde"/>
          <w:bCs/>
        </w:rPr>
        <w:t xml:space="preserve"> </w:t>
      </w:r>
      <w:r w:rsidR="00BF6187" w:rsidRPr="00EE4BBE">
        <w:rPr>
          <w:rFonts w:ascii="ITC Avant Garde" w:hAnsi="ITC Avant Garde"/>
          <w:bCs/>
        </w:rPr>
        <w:t xml:space="preserve">y 112 </w:t>
      </w:r>
      <w:r w:rsidR="009931CA" w:rsidRPr="00EE4BBE">
        <w:rPr>
          <w:rFonts w:ascii="ITC Avant Garde" w:hAnsi="ITC Avant Garde"/>
          <w:bCs/>
        </w:rPr>
        <w:t>de la Ley Federal de Telecomunicaciones y Radiodifusión;</w:t>
      </w:r>
      <w:r w:rsidR="00311B0A" w:rsidRPr="00EE4BBE">
        <w:rPr>
          <w:rFonts w:ascii="ITC Avant Garde" w:hAnsi="ITC Avant Garde"/>
          <w:bCs/>
        </w:rPr>
        <w:t xml:space="preserve"> </w:t>
      </w:r>
      <w:r w:rsidR="00846937" w:rsidRPr="00EE4BBE">
        <w:rPr>
          <w:rFonts w:ascii="ITC Avant Garde" w:hAnsi="ITC Avant Garde"/>
          <w:bCs/>
        </w:rPr>
        <w:t xml:space="preserve">5 de la Ley Federal de Competencia Económica; 11 fracción II, </w:t>
      </w:r>
      <w:r w:rsidR="009E014B" w:rsidRPr="00EE4BBE">
        <w:rPr>
          <w:rFonts w:ascii="ITC Avant Garde" w:hAnsi="ITC Avant Garde"/>
          <w:bCs/>
        </w:rPr>
        <w:t>35</w:t>
      </w:r>
      <w:r w:rsidR="00967B8E" w:rsidRPr="00EE4BBE">
        <w:rPr>
          <w:rFonts w:ascii="ITC Avant Garde" w:hAnsi="ITC Avant Garde"/>
          <w:bCs/>
        </w:rPr>
        <w:t xml:space="preserve"> fracción I, 36, 38 y 39 de la Ley Federal de Procedimiento Administrativo; </w:t>
      </w:r>
      <w:r w:rsidR="00806E32">
        <w:rPr>
          <w:rFonts w:ascii="ITC Avant Garde" w:hAnsi="ITC Avant Garde"/>
          <w:bCs/>
          <w:lang w:eastAsia="es-MX"/>
        </w:rPr>
        <w:t>174-C</w:t>
      </w:r>
      <w:r w:rsidR="00AB0900" w:rsidRPr="00EE4BBE">
        <w:rPr>
          <w:rFonts w:ascii="ITC Avant Garde" w:hAnsi="ITC Avant Garde"/>
          <w:bCs/>
          <w:lang w:eastAsia="es-MX"/>
        </w:rPr>
        <w:t xml:space="preserve"> fracción VII, de la Ley Federal de Derechos </w:t>
      </w:r>
      <w:r w:rsidR="002A5CD0" w:rsidRPr="00EE4BBE">
        <w:rPr>
          <w:rFonts w:ascii="ITC Avant Garde" w:hAnsi="ITC Avant Garde"/>
          <w:bCs/>
        </w:rPr>
        <w:t>y</w:t>
      </w:r>
      <w:r w:rsidRPr="00EE4BBE">
        <w:rPr>
          <w:rFonts w:ascii="ITC Avant Garde" w:hAnsi="ITC Avant Garde"/>
          <w:bCs/>
        </w:rPr>
        <w:t xml:space="preserve"> 1, 6</w:t>
      </w:r>
      <w:r w:rsidR="00476447" w:rsidRPr="00EE4BBE">
        <w:rPr>
          <w:rFonts w:ascii="ITC Avant Garde" w:hAnsi="ITC Avant Garde"/>
          <w:bCs/>
        </w:rPr>
        <w:t>,</w:t>
      </w:r>
      <w:r w:rsidRPr="00EE4BBE">
        <w:rPr>
          <w:rFonts w:ascii="ITC Avant Garde" w:hAnsi="ITC Avant Garde"/>
          <w:bCs/>
        </w:rPr>
        <w:t xml:space="preserve"> 32</w:t>
      </w:r>
      <w:r w:rsidR="00806E32">
        <w:rPr>
          <w:rFonts w:ascii="ITC Avant Garde" w:hAnsi="ITC Avant Garde"/>
          <w:bCs/>
        </w:rPr>
        <w:t>,</w:t>
      </w:r>
      <w:r w:rsidRPr="00EE4BBE">
        <w:rPr>
          <w:rFonts w:ascii="ITC Avant Garde" w:hAnsi="ITC Avant Garde"/>
          <w:bCs/>
        </w:rPr>
        <w:t xml:space="preserve"> 33 fracción </w:t>
      </w:r>
      <w:r w:rsidR="0073457C" w:rsidRPr="00EE4BBE">
        <w:rPr>
          <w:rFonts w:ascii="ITC Avant Garde" w:hAnsi="ITC Avant Garde"/>
          <w:bCs/>
        </w:rPr>
        <w:t>IV</w:t>
      </w:r>
      <w:r w:rsidR="00A172BC" w:rsidRPr="00EE4BBE">
        <w:rPr>
          <w:rFonts w:ascii="ITC Avant Garde" w:hAnsi="ITC Avant Garde"/>
          <w:bCs/>
        </w:rPr>
        <w:t xml:space="preserve"> y 50 fracción XIII</w:t>
      </w:r>
      <w:r w:rsidRPr="00EE4BBE">
        <w:rPr>
          <w:rFonts w:ascii="ITC Avant Garde" w:hAnsi="ITC Avant Garde"/>
          <w:bCs/>
        </w:rPr>
        <w:t xml:space="preserve"> del Estatuto Orgánico del Instituto Federal de Telecomunicaciones, este órgano autónomo emite los siguientes:</w:t>
      </w:r>
    </w:p>
    <w:p w14:paraId="7BBBA5A6" w14:textId="77777777" w:rsidR="0088666F" w:rsidRDefault="0088666F" w:rsidP="0022041E">
      <w:pPr>
        <w:autoSpaceDE w:val="0"/>
        <w:autoSpaceDN w:val="0"/>
        <w:adjustRightInd w:val="0"/>
        <w:spacing w:after="0" w:line="240" w:lineRule="auto"/>
        <w:jc w:val="both"/>
        <w:rPr>
          <w:rFonts w:ascii="ITC Avant Garde" w:hAnsi="ITC Avant Garde"/>
          <w:b/>
          <w:bCs/>
          <w:lang w:eastAsia="es-MX"/>
        </w:rPr>
      </w:pPr>
    </w:p>
    <w:p w14:paraId="36E7AD76" w14:textId="77777777" w:rsidR="000837C7" w:rsidRPr="0001105B" w:rsidRDefault="00B048BA" w:rsidP="0001105B">
      <w:pPr>
        <w:pStyle w:val="Ttulo2"/>
        <w:spacing w:after="240"/>
        <w:jc w:val="center"/>
        <w:rPr>
          <w:rFonts w:ascii="ITC Avant Garde" w:hAnsi="ITC Avant Garde"/>
          <w:b/>
          <w:bCs/>
          <w:color w:val="auto"/>
          <w:sz w:val="22"/>
          <w:szCs w:val="22"/>
          <w:lang w:eastAsia="es-MX"/>
        </w:rPr>
      </w:pPr>
      <w:r w:rsidRPr="0001105B">
        <w:rPr>
          <w:rFonts w:ascii="ITC Avant Garde" w:hAnsi="ITC Avant Garde"/>
          <w:b/>
          <w:bCs/>
          <w:color w:val="auto"/>
          <w:sz w:val="22"/>
          <w:szCs w:val="22"/>
          <w:lang w:eastAsia="es-MX"/>
        </w:rPr>
        <w:t>RESOLUTIVOS</w:t>
      </w:r>
    </w:p>
    <w:p w14:paraId="37F9D80D" w14:textId="676B37C2" w:rsidR="000A62EA" w:rsidRPr="00EE4BBE" w:rsidRDefault="00C630FF" w:rsidP="00A16B88">
      <w:pPr>
        <w:spacing w:line="240" w:lineRule="auto"/>
        <w:jc w:val="both"/>
        <w:rPr>
          <w:rFonts w:ascii="ITC Avant Garde" w:hAnsi="ITC Avant Garde"/>
          <w:bCs/>
        </w:rPr>
      </w:pPr>
      <w:r w:rsidRPr="00EE4BBE">
        <w:rPr>
          <w:rFonts w:ascii="ITC Avant Garde" w:hAnsi="ITC Avant Garde"/>
          <w:b/>
          <w:bCs/>
        </w:rPr>
        <w:t>PRIMERO</w:t>
      </w:r>
      <w:r w:rsidR="00B048BA" w:rsidRPr="00EE4BBE">
        <w:rPr>
          <w:rFonts w:ascii="ITC Avant Garde" w:hAnsi="ITC Avant Garde"/>
          <w:b/>
          <w:bCs/>
        </w:rPr>
        <w:t>.-</w:t>
      </w:r>
      <w:r w:rsidR="008815FA" w:rsidRPr="00EE4BBE">
        <w:rPr>
          <w:rFonts w:ascii="ITC Avant Garde" w:hAnsi="ITC Avant Garde"/>
          <w:b/>
          <w:bCs/>
        </w:rPr>
        <w:t xml:space="preserve"> </w:t>
      </w:r>
      <w:r w:rsidR="008810B4" w:rsidRPr="00EE4BBE">
        <w:rPr>
          <w:rFonts w:ascii="ITC Avant Garde" w:hAnsi="ITC Avant Garde"/>
          <w:bCs/>
        </w:rPr>
        <w:t xml:space="preserve">Se </w:t>
      </w:r>
      <w:r w:rsidR="00416051" w:rsidRPr="00EE4BBE">
        <w:rPr>
          <w:rFonts w:ascii="ITC Avant Garde" w:hAnsi="ITC Avant Garde"/>
          <w:bCs/>
        </w:rPr>
        <w:t>autoriza</w:t>
      </w:r>
      <w:r w:rsidR="00C4495D" w:rsidRPr="00EE4BBE">
        <w:rPr>
          <w:rFonts w:ascii="ITC Avant Garde" w:hAnsi="ITC Avant Garde"/>
          <w:bCs/>
        </w:rPr>
        <w:t xml:space="preserve"> a</w:t>
      </w:r>
      <w:r w:rsidR="00416051" w:rsidRPr="00EE4BBE">
        <w:rPr>
          <w:rFonts w:ascii="ITC Avant Garde" w:hAnsi="ITC Avant Garde"/>
          <w:bCs/>
        </w:rPr>
        <w:t xml:space="preserve"> la empresa </w:t>
      </w:r>
      <w:r w:rsidR="00F3381A" w:rsidRPr="00EE4BBE">
        <w:rPr>
          <w:rFonts w:ascii="ITC Avant Garde" w:hAnsi="ITC Avant Garde"/>
          <w:bCs/>
          <w:lang w:val="es-ES" w:eastAsia="es-ES"/>
        </w:rPr>
        <w:t>GSAT COMUNICACIONES, S.A. de C.V.</w:t>
      </w:r>
      <w:r w:rsidR="00416051" w:rsidRPr="00EE4BBE">
        <w:rPr>
          <w:rFonts w:ascii="ITC Avant Garde" w:hAnsi="ITC Avant Garde"/>
          <w:bCs/>
        </w:rPr>
        <w:t xml:space="preserve">, </w:t>
      </w:r>
      <w:r w:rsidR="00504F34" w:rsidRPr="00EE4BBE">
        <w:rPr>
          <w:rFonts w:ascii="ITC Avant Garde" w:hAnsi="ITC Avant Garde"/>
          <w:bCs/>
        </w:rPr>
        <w:t xml:space="preserve">a llevar a cabo </w:t>
      </w:r>
      <w:r w:rsidR="009A5FC4" w:rsidRPr="00EE4BBE">
        <w:rPr>
          <w:rFonts w:ascii="ITC Avant Garde" w:hAnsi="ITC Avant Garde"/>
          <w:bCs/>
        </w:rPr>
        <w:t xml:space="preserve">la </w:t>
      </w:r>
      <w:r w:rsidR="00504F34" w:rsidRPr="00EE4BBE">
        <w:rPr>
          <w:rFonts w:ascii="ITC Avant Garde" w:hAnsi="ITC Avant Garde"/>
          <w:bCs/>
        </w:rPr>
        <w:t xml:space="preserve">enajenación </w:t>
      </w:r>
      <w:r w:rsidR="00DF6D3D">
        <w:rPr>
          <w:rFonts w:ascii="ITC Avant Garde" w:hAnsi="ITC Avant Garde"/>
          <w:bCs/>
        </w:rPr>
        <w:t xml:space="preserve">y suscripción </w:t>
      </w:r>
      <w:r w:rsidR="00504F34" w:rsidRPr="00EE4BBE">
        <w:rPr>
          <w:rFonts w:ascii="ITC Avant Garde" w:hAnsi="ITC Avant Garde"/>
          <w:bCs/>
        </w:rPr>
        <w:t xml:space="preserve">de acciones </w:t>
      </w:r>
      <w:r w:rsidR="00D72AA0" w:rsidRPr="00EE4BBE">
        <w:rPr>
          <w:rFonts w:ascii="ITC Avant Garde" w:hAnsi="ITC Avant Garde"/>
          <w:bCs/>
        </w:rPr>
        <w:t>solicitada</w:t>
      </w:r>
      <w:r w:rsidR="00504F34" w:rsidRPr="00EE4BBE">
        <w:rPr>
          <w:rFonts w:ascii="ITC Avant Garde" w:hAnsi="ITC Avant Garde"/>
          <w:bCs/>
        </w:rPr>
        <w:t xml:space="preserve">, </w:t>
      </w:r>
      <w:r w:rsidR="00416051" w:rsidRPr="00EE4BBE">
        <w:rPr>
          <w:rFonts w:ascii="ITC Avant Garde" w:hAnsi="ITC Avant Garde"/>
          <w:bCs/>
        </w:rPr>
        <w:t xml:space="preserve">a efecto de que la estructura accionaria de dicha </w:t>
      </w:r>
      <w:r w:rsidR="00022B85" w:rsidRPr="00EE4BBE">
        <w:rPr>
          <w:rFonts w:ascii="ITC Avant Garde" w:hAnsi="ITC Avant Garde"/>
          <w:bCs/>
        </w:rPr>
        <w:t>concesionaria</w:t>
      </w:r>
      <w:r w:rsidR="00416051" w:rsidRPr="00EE4BBE">
        <w:rPr>
          <w:rFonts w:ascii="ITC Avant Garde" w:hAnsi="ITC Avant Garde"/>
          <w:bCs/>
        </w:rPr>
        <w:t xml:space="preserve"> quede de la siguiente manera:</w:t>
      </w:r>
    </w:p>
    <w:tbl>
      <w:tblPr>
        <w:tblStyle w:val="Tablaconcuadrcula"/>
        <w:tblW w:w="9524" w:type="dxa"/>
        <w:jc w:val="center"/>
        <w:tblLayout w:type="fixed"/>
        <w:tblLook w:val="0000" w:firstRow="0" w:lastRow="0" w:firstColumn="0" w:lastColumn="0" w:noHBand="0" w:noVBand="0"/>
        <w:tblCaption w:val="Tabla de Enajenación y Suscripción de Acciones solicitada."/>
        <w:tblDescription w:val="Es una tabla de 6 columnas en la que indica lo siguiente:&#10;1.- Accionista Soluciones Satelitales Integradas, S.A. de C.V., con Capital Fijo en Acciones de 49, Serie B 0 y participación del .09%.&#10;2.- Accionista Data Comunicaciones de México, S.A. de C.V, con Capital Fijo en Acciones 01, Serie B de 55.616 y con una participación del 99.91%.&#10;(El Capital Fijo en importe y Serie B con Importe son RESERVADO POR LEY)&#10;"/>
      </w:tblPr>
      <w:tblGrid>
        <w:gridCol w:w="2079"/>
        <w:gridCol w:w="1460"/>
        <w:gridCol w:w="1418"/>
        <w:gridCol w:w="1417"/>
        <w:gridCol w:w="1493"/>
        <w:gridCol w:w="1657"/>
      </w:tblGrid>
      <w:tr w:rsidR="0093666A" w:rsidRPr="00F211A4" w14:paraId="7486CFDF" w14:textId="77777777" w:rsidTr="006958E8">
        <w:trPr>
          <w:trHeight w:val="631"/>
          <w:tblHeader/>
          <w:jc w:val="center"/>
        </w:trPr>
        <w:tc>
          <w:tcPr>
            <w:tcW w:w="2079" w:type="dxa"/>
            <w:shd w:val="clear" w:color="auto" w:fill="BFBFBF" w:themeFill="background1" w:themeFillShade="BF"/>
            <w:noWrap/>
            <w:vAlign w:val="center"/>
          </w:tcPr>
          <w:p w14:paraId="067EB9EC" w14:textId="77777777"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r w:rsidRPr="00F211A4">
              <w:rPr>
                <w:rFonts w:ascii="ITC Avant Garde" w:hAnsi="ITC Avant Garde"/>
                <w:b/>
                <w:bCs/>
                <w:sz w:val="18"/>
                <w:szCs w:val="18"/>
              </w:rPr>
              <w:t>ACCIONISTA</w:t>
            </w:r>
          </w:p>
        </w:tc>
        <w:tc>
          <w:tcPr>
            <w:tcW w:w="1460" w:type="dxa"/>
            <w:shd w:val="clear" w:color="auto" w:fill="BFBFBF" w:themeFill="background1" w:themeFillShade="BF"/>
            <w:vAlign w:val="center"/>
          </w:tcPr>
          <w:p w14:paraId="7BA1154D" w14:textId="77777777"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r w:rsidRPr="00F211A4">
              <w:rPr>
                <w:rFonts w:ascii="ITC Avant Garde" w:hAnsi="ITC Avant Garde"/>
                <w:b/>
                <w:bCs/>
                <w:sz w:val="18"/>
                <w:szCs w:val="18"/>
              </w:rPr>
              <w:t xml:space="preserve">CAPITAL FIJO </w:t>
            </w:r>
          </w:p>
        </w:tc>
        <w:tc>
          <w:tcPr>
            <w:tcW w:w="1418" w:type="dxa"/>
            <w:shd w:val="clear" w:color="auto" w:fill="BFBFBF" w:themeFill="background1" w:themeFillShade="BF"/>
            <w:vAlign w:val="center"/>
          </w:tcPr>
          <w:p w14:paraId="2293A287" w14:textId="4FDE2606"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r w:rsidRPr="00F211A4">
              <w:rPr>
                <w:rFonts w:ascii="ITC Avant Garde" w:hAnsi="ITC Avant Garde"/>
                <w:b/>
                <w:bCs/>
                <w:sz w:val="18"/>
                <w:szCs w:val="18"/>
              </w:rPr>
              <w:t xml:space="preserve">CAPITAL FIJO </w:t>
            </w:r>
          </w:p>
        </w:tc>
        <w:tc>
          <w:tcPr>
            <w:tcW w:w="1417" w:type="dxa"/>
            <w:shd w:val="clear" w:color="auto" w:fill="BFBFBF" w:themeFill="background1" w:themeFillShade="BF"/>
            <w:vAlign w:val="center"/>
          </w:tcPr>
          <w:p w14:paraId="02101886" w14:textId="77777777"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r w:rsidRPr="00F211A4">
              <w:rPr>
                <w:rFonts w:ascii="ITC Avant Garde" w:hAnsi="ITC Avant Garde"/>
                <w:b/>
                <w:bCs/>
                <w:sz w:val="18"/>
                <w:szCs w:val="18"/>
              </w:rPr>
              <w:t>SERIE “B”</w:t>
            </w:r>
          </w:p>
        </w:tc>
        <w:tc>
          <w:tcPr>
            <w:tcW w:w="1493" w:type="dxa"/>
            <w:shd w:val="clear" w:color="auto" w:fill="BFBFBF" w:themeFill="background1" w:themeFillShade="BF"/>
            <w:vAlign w:val="center"/>
          </w:tcPr>
          <w:p w14:paraId="14CEDAE1" w14:textId="04EA194C"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r w:rsidRPr="00F211A4">
              <w:rPr>
                <w:rFonts w:ascii="ITC Avant Garde" w:hAnsi="ITC Avant Garde"/>
                <w:b/>
                <w:bCs/>
                <w:sz w:val="18"/>
                <w:szCs w:val="18"/>
              </w:rPr>
              <w:t>SERIE “B”</w:t>
            </w:r>
          </w:p>
        </w:tc>
        <w:tc>
          <w:tcPr>
            <w:tcW w:w="1657" w:type="dxa"/>
            <w:shd w:val="clear" w:color="auto" w:fill="BFBFBF" w:themeFill="background1" w:themeFillShade="BF"/>
            <w:vAlign w:val="center"/>
          </w:tcPr>
          <w:p w14:paraId="13D88584" w14:textId="1F0E4F0E"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r w:rsidRPr="00F211A4">
              <w:rPr>
                <w:rFonts w:ascii="ITC Avant Garde" w:hAnsi="ITC Avant Garde"/>
                <w:b/>
                <w:bCs/>
                <w:sz w:val="18"/>
                <w:szCs w:val="18"/>
              </w:rPr>
              <w:t>PARTICIPACIÓN (%)</w:t>
            </w:r>
          </w:p>
        </w:tc>
      </w:tr>
      <w:tr w:rsidR="0093666A" w:rsidRPr="00F211A4" w14:paraId="231EF46A" w14:textId="77777777" w:rsidTr="006958E8">
        <w:trPr>
          <w:trHeight w:val="754"/>
          <w:jc w:val="center"/>
        </w:trPr>
        <w:tc>
          <w:tcPr>
            <w:tcW w:w="2079" w:type="dxa"/>
            <w:noWrap/>
            <w:vAlign w:val="center"/>
          </w:tcPr>
          <w:p w14:paraId="72E1A3AE" w14:textId="77777777"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p>
        </w:tc>
        <w:tc>
          <w:tcPr>
            <w:tcW w:w="1460" w:type="dxa"/>
            <w:vAlign w:val="center"/>
          </w:tcPr>
          <w:p w14:paraId="444B0959" w14:textId="02FB7FDE"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r w:rsidRPr="00F211A4">
              <w:rPr>
                <w:rFonts w:ascii="ITC Avant Garde" w:hAnsi="ITC Avant Garde"/>
                <w:b/>
                <w:bCs/>
                <w:sz w:val="18"/>
                <w:szCs w:val="18"/>
              </w:rPr>
              <w:t>ACCIONES</w:t>
            </w:r>
          </w:p>
        </w:tc>
        <w:tc>
          <w:tcPr>
            <w:tcW w:w="1418" w:type="dxa"/>
            <w:vAlign w:val="center"/>
          </w:tcPr>
          <w:p w14:paraId="0DB26E6E" w14:textId="77777777"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r w:rsidRPr="00F211A4">
              <w:rPr>
                <w:rFonts w:ascii="ITC Avant Garde" w:hAnsi="ITC Avant Garde"/>
                <w:b/>
                <w:bCs/>
                <w:sz w:val="18"/>
                <w:szCs w:val="18"/>
              </w:rPr>
              <w:t>IMPORTE</w:t>
            </w:r>
          </w:p>
        </w:tc>
        <w:tc>
          <w:tcPr>
            <w:tcW w:w="1417" w:type="dxa"/>
            <w:vAlign w:val="center"/>
          </w:tcPr>
          <w:p w14:paraId="1143364C" w14:textId="77777777"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r w:rsidRPr="00F211A4">
              <w:rPr>
                <w:rFonts w:ascii="ITC Avant Garde" w:hAnsi="ITC Avant Garde"/>
                <w:b/>
                <w:bCs/>
                <w:sz w:val="18"/>
                <w:szCs w:val="18"/>
              </w:rPr>
              <w:t>ACCIONES</w:t>
            </w:r>
          </w:p>
        </w:tc>
        <w:tc>
          <w:tcPr>
            <w:tcW w:w="1493" w:type="dxa"/>
            <w:vAlign w:val="center"/>
          </w:tcPr>
          <w:p w14:paraId="5A86CE42" w14:textId="77777777"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r w:rsidRPr="00F211A4">
              <w:rPr>
                <w:rFonts w:ascii="ITC Avant Garde" w:hAnsi="ITC Avant Garde"/>
                <w:b/>
                <w:bCs/>
                <w:sz w:val="18"/>
                <w:szCs w:val="18"/>
              </w:rPr>
              <w:t>IMPORTE</w:t>
            </w:r>
          </w:p>
        </w:tc>
        <w:tc>
          <w:tcPr>
            <w:tcW w:w="1657" w:type="dxa"/>
            <w:vAlign w:val="center"/>
          </w:tcPr>
          <w:p w14:paraId="00A3B337" w14:textId="77777777"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p>
        </w:tc>
      </w:tr>
      <w:tr w:rsidR="0093666A" w:rsidRPr="00F211A4" w14:paraId="5F9A9159" w14:textId="77777777" w:rsidTr="006958E8">
        <w:trPr>
          <w:trHeight w:val="700"/>
          <w:jc w:val="center"/>
        </w:trPr>
        <w:tc>
          <w:tcPr>
            <w:tcW w:w="2079" w:type="dxa"/>
          </w:tcPr>
          <w:p w14:paraId="75933928" w14:textId="77777777" w:rsidR="0093666A" w:rsidRPr="00F211A4" w:rsidRDefault="0093666A" w:rsidP="0093666A">
            <w:pPr>
              <w:autoSpaceDE w:val="0"/>
              <w:autoSpaceDN w:val="0"/>
              <w:adjustRightInd w:val="0"/>
              <w:spacing w:after="0" w:line="240" w:lineRule="auto"/>
              <w:jc w:val="center"/>
              <w:rPr>
                <w:rFonts w:ascii="ITC Avant Garde" w:hAnsi="ITC Avant Garde"/>
                <w:bCs/>
                <w:sz w:val="18"/>
                <w:szCs w:val="18"/>
              </w:rPr>
            </w:pPr>
            <w:r w:rsidRPr="00F211A4">
              <w:rPr>
                <w:rFonts w:ascii="ITC Avant Garde" w:hAnsi="ITC Avant Garde"/>
                <w:bCs/>
                <w:sz w:val="18"/>
                <w:szCs w:val="18"/>
              </w:rPr>
              <w:t>Soluciones Satelitales Integradas, S.A. de C.V.</w:t>
            </w:r>
          </w:p>
        </w:tc>
        <w:tc>
          <w:tcPr>
            <w:tcW w:w="1460" w:type="dxa"/>
          </w:tcPr>
          <w:p w14:paraId="2C04B725" w14:textId="77777777" w:rsidR="0093666A" w:rsidRPr="00F211A4" w:rsidRDefault="0093666A" w:rsidP="0093666A">
            <w:pPr>
              <w:autoSpaceDE w:val="0"/>
              <w:autoSpaceDN w:val="0"/>
              <w:adjustRightInd w:val="0"/>
              <w:spacing w:after="0" w:line="240" w:lineRule="auto"/>
              <w:jc w:val="center"/>
              <w:rPr>
                <w:rFonts w:ascii="ITC Avant Garde" w:hAnsi="ITC Avant Garde"/>
                <w:bCs/>
                <w:sz w:val="18"/>
                <w:szCs w:val="18"/>
              </w:rPr>
            </w:pPr>
            <w:r w:rsidRPr="00F211A4">
              <w:rPr>
                <w:rFonts w:ascii="ITC Avant Garde" w:hAnsi="ITC Avant Garde"/>
                <w:bCs/>
                <w:sz w:val="18"/>
                <w:szCs w:val="18"/>
              </w:rPr>
              <w:t>49</w:t>
            </w:r>
          </w:p>
        </w:tc>
        <w:tc>
          <w:tcPr>
            <w:tcW w:w="1418" w:type="dxa"/>
          </w:tcPr>
          <w:p w14:paraId="4BF2CF32" w14:textId="44DE2798" w:rsidR="0093666A" w:rsidRPr="00A16B88" w:rsidRDefault="0093666A" w:rsidP="0093666A">
            <w:pPr>
              <w:autoSpaceDE w:val="0"/>
              <w:autoSpaceDN w:val="0"/>
              <w:adjustRightInd w:val="0"/>
              <w:spacing w:after="0" w:line="240" w:lineRule="auto"/>
              <w:jc w:val="center"/>
              <w:rPr>
                <w:rFonts w:ascii="ITC Avant Garde" w:hAnsi="ITC Avant Garde"/>
                <w:bCs/>
                <w:sz w:val="18"/>
                <w:szCs w:val="18"/>
                <w:highlight w:val="yellow"/>
              </w:rPr>
            </w:pPr>
            <w:r w:rsidRPr="00A02715">
              <w:rPr>
                <w:rFonts w:ascii="ITC Avant Garde" w:eastAsia="Times New Roman" w:hAnsi="ITC Avant Garde"/>
                <w:b/>
                <w:bCs/>
                <w:color w:val="0000CC"/>
                <w:sz w:val="20"/>
                <w:szCs w:val="20"/>
                <w:lang w:eastAsia="es-MX"/>
              </w:rPr>
              <w:t>RESERVADO POR LEY</w:t>
            </w:r>
          </w:p>
        </w:tc>
        <w:tc>
          <w:tcPr>
            <w:tcW w:w="1417" w:type="dxa"/>
          </w:tcPr>
          <w:p w14:paraId="3D039951" w14:textId="77777777" w:rsidR="0093666A" w:rsidRPr="00F211A4" w:rsidRDefault="0093666A" w:rsidP="0093666A">
            <w:pPr>
              <w:autoSpaceDE w:val="0"/>
              <w:autoSpaceDN w:val="0"/>
              <w:adjustRightInd w:val="0"/>
              <w:spacing w:after="0" w:line="240" w:lineRule="auto"/>
              <w:jc w:val="center"/>
              <w:rPr>
                <w:rFonts w:ascii="ITC Avant Garde" w:hAnsi="ITC Avant Garde"/>
                <w:bCs/>
                <w:sz w:val="18"/>
                <w:szCs w:val="18"/>
              </w:rPr>
            </w:pPr>
            <w:r w:rsidRPr="00F211A4">
              <w:rPr>
                <w:rFonts w:ascii="ITC Avant Garde" w:hAnsi="ITC Avant Garde"/>
                <w:bCs/>
                <w:sz w:val="18"/>
                <w:szCs w:val="18"/>
              </w:rPr>
              <w:t>0</w:t>
            </w:r>
          </w:p>
        </w:tc>
        <w:tc>
          <w:tcPr>
            <w:tcW w:w="1493" w:type="dxa"/>
          </w:tcPr>
          <w:p w14:paraId="4E1D7E55" w14:textId="730A06CB" w:rsidR="0093666A" w:rsidRPr="00A16B88" w:rsidRDefault="0093666A" w:rsidP="0093666A">
            <w:pPr>
              <w:autoSpaceDE w:val="0"/>
              <w:autoSpaceDN w:val="0"/>
              <w:adjustRightInd w:val="0"/>
              <w:spacing w:after="0" w:line="240" w:lineRule="auto"/>
              <w:jc w:val="center"/>
              <w:rPr>
                <w:rFonts w:ascii="ITC Avant Garde" w:hAnsi="ITC Avant Garde"/>
                <w:bCs/>
                <w:sz w:val="18"/>
                <w:szCs w:val="18"/>
                <w:highlight w:val="yellow"/>
              </w:rPr>
            </w:pPr>
            <w:r w:rsidRPr="00A02715">
              <w:rPr>
                <w:rFonts w:ascii="ITC Avant Garde" w:eastAsia="Times New Roman" w:hAnsi="ITC Avant Garde"/>
                <w:b/>
                <w:bCs/>
                <w:color w:val="0000CC"/>
                <w:sz w:val="20"/>
                <w:szCs w:val="20"/>
                <w:lang w:eastAsia="es-MX"/>
              </w:rPr>
              <w:t>RESERVADO POR LEY</w:t>
            </w:r>
          </w:p>
        </w:tc>
        <w:tc>
          <w:tcPr>
            <w:tcW w:w="1657" w:type="dxa"/>
          </w:tcPr>
          <w:p w14:paraId="5C846EC6" w14:textId="77777777" w:rsidR="0093666A" w:rsidRPr="00F211A4" w:rsidRDefault="0093666A" w:rsidP="0093666A">
            <w:pPr>
              <w:autoSpaceDE w:val="0"/>
              <w:autoSpaceDN w:val="0"/>
              <w:adjustRightInd w:val="0"/>
              <w:spacing w:after="0" w:line="240" w:lineRule="auto"/>
              <w:jc w:val="center"/>
              <w:rPr>
                <w:rFonts w:ascii="ITC Avant Garde" w:hAnsi="ITC Avant Garde"/>
                <w:bCs/>
                <w:sz w:val="18"/>
                <w:szCs w:val="18"/>
              </w:rPr>
            </w:pPr>
            <w:r w:rsidRPr="00F211A4">
              <w:rPr>
                <w:rFonts w:ascii="ITC Avant Garde" w:hAnsi="ITC Avant Garde"/>
                <w:bCs/>
                <w:sz w:val="18"/>
                <w:szCs w:val="18"/>
              </w:rPr>
              <w:t>0.09</w:t>
            </w:r>
          </w:p>
        </w:tc>
      </w:tr>
      <w:tr w:rsidR="0093666A" w:rsidRPr="00F211A4" w14:paraId="3EF0A96C" w14:textId="77777777" w:rsidTr="006958E8">
        <w:trPr>
          <w:trHeight w:val="802"/>
          <w:jc w:val="center"/>
        </w:trPr>
        <w:tc>
          <w:tcPr>
            <w:tcW w:w="2079" w:type="dxa"/>
          </w:tcPr>
          <w:p w14:paraId="47C6E0FE" w14:textId="77777777" w:rsidR="0093666A" w:rsidRPr="00F211A4" w:rsidRDefault="0093666A" w:rsidP="0093666A">
            <w:pPr>
              <w:autoSpaceDE w:val="0"/>
              <w:autoSpaceDN w:val="0"/>
              <w:adjustRightInd w:val="0"/>
              <w:spacing w:after="0" w:line="240" w:lineRule="auto"/>
              <w:jc w:val="center"/>
              <w:rPr>
                <w:rFonts w:ascii="ITC Avant Garde" w:hAnsi="ITC Avant Garde"/>
                <w:bCs/>
                <w:sz w:val="18"/>
                <w:szCs w:val="18"/>
              </w:rPr>
            </w:pPr>
            <w:r w:rsidRPr="00F211A4">
              <w:rPr>
                <w:rFonts w:ascii="ITC Avant Garde" w:hAnsi="ITC Avant Garde"/>
                <w:bCs/>
                <w:sz w:val="18"/>
                <w:szCs w:val="18"/>
              </w:rPr>
              <w:t>Data Comunicaciones de México, S.A. de C.V.</w:t>
            </w:r>
          </w:p>
        </w:tc>
        <w:tc>
          <w:tcPr>
            <w:tcW w:w="1460" w:type="dxa"/>
          </w:tcPr>
          <w:p w14:paraId="33B24C10" w14:textId="77777777" w:rsidR="0093666A" w:rsidRPr="00F211A4" w:rsidRDefault="0093666A" w:rsidP="0093666A">
            <w:pPr>
              <w:autoSpaceDE w:val="0"/>
              <w:autoSpaceDN w:val="0"/>
              <w:adjustRightInd w:val="0"/>
              <w:spacing w:after="0" w:line="240" w:lineRule="auto"/>
              <w:jc w:val="center"/>
              <w:rPr>
                <w:rFonts w:ascii="ITC Avant Garde" w:hAnsi="ITC Avant Garde"/>
                <w:bCs/>
                <w:sz w:val="18"/>
                <w:szCs w:val="18"/>
              </w:rPr>
            </w:pPr>
            <w:r w:rsidRPr="00F211A4">
              <w:rPr>
                <w:rFonts w:ascii="ITC Avant Garde" w:hAnsi="ITC Avant Garde"/>
                <w:bCs/>
                <w:sz w:val="18"/>
                <w:szCs w:val="18"/>
              </w:rPr>
              <w:t>01</w:t>
            </w:r>
          </w:p>
        </w:tc>
        <w:tc>
          <w:tcPr>
            <w:tcW w:w="1418" w:type="dxa"/>
          </w:tcPr>
          <w:p w14:paraId="5A1CC8D8" w14:textId="6FD624D7" w:rsidR="0093666A" w:rsidRPr="00A16B88" w:rsidRDefault="0093666A" w:rsidP="0093666A">
            <w:pPr>
              <w:autoSpaceDE w:val="0"/>
              <w:autoSpaceDN w:val="0"/>
              <w:adjustRightInd w:val="0"/>
              <w:spacing w:after="0" w:line="240" w:lineRule="auto"/>
              <w:jc w:val="center"/>
              <w:rPr>
                <w:rFonts w:ascii="ITC Avant Garde" w:hAnsi="ITC Avant Garde"/>
                <w:bCs/>
                <w:sz w:val="18"/>
                <w:szCs w:val="18"/>
                <w:highlight w:val="yellow"/>
              </w:rPr>
            </w:pPr>
            <w:r w:rsidRPr="00A02715">
              <w:rPr>
                <w:rFonts w:ascii="ITC Avant Garde" w:eastAsia="Times New Roman" w:hAnsi="ITC Avant Garde"/>
                <w:b/>
                <w:bCs/>
                <w:color w:val="0000CC"/>
                <w:sz w:val="20"/>
                <w:szCs w:val="20"/>
                <w:lang w:eastAsia="es-MX"/>
              </w:rPr>
              <w:t>RESERVADO POR LEY</w:t>
            </w:r>
          </w:p>
        </w:tc>
        <w:tc>
          <w:tcPr>
            <w:tcW w:w="1417" w:type="dxa"/>
          </w:tcPr>
          <w:p w14:paraId="1D51E7CE" w14:textId="77777777" w:rsidR="0093666A" w:rsidRPr="00F211A4" w:rsidRDefault="0093666A" w:rsidP="0093666A">
            <w:pPr>
              <w:autoSpaceDE w:val="0"/>
              <w:autoSpaceDN w:val="0"/>
              <w:adjustRightInd w:val="0"/>
              <w:spacing w:after="0" w:line="240" w:lineRule="auto"/>
              <w:jc w:val="center"/>
              <w:rPr>
                <w:rFonts w:ascii="ITC Avant Garde" w:hAnsi="ITC Avant Garde"/>
                <w:bCs/>
                <w:sz w:val="18"/>
                <w:szCs w:val="18"/>
              </w:rPr>
            </w:pPr>
            <w:r w:rsidRPr="00F211A4">
              <w:rPr>
                <w:rFonts w:ascii="ITC Avant Garde" w:hAnsi="ITC Avant Garde"/>
                <w:bCs/>
                <w:sz w:val="18"/>
                <w:szCs w:val="18"/>
              </w:rPr>
              <w:t>55,616</w:t>
            </w:r>
          </w:p>
        </w:tc>
        <w:tc>
          <w:tcPr>
            <w:tcW w:w="1493" w:type="dxa"/>
          </w:tcPr>
          <w:p w14:paraId="6A367B70" w14:textId="1B3A9E3D" w:rsidR="0093666A" w:rsidRPr="00A16B88" w:rsidRDefault="0093666A" w:rsidP="0093666A">
            <w:pPr>
              <w:autoSpaceDE w:val="0"/>
              <w:autoSpaceDN w:val="0"/>
              <w:adjustRightInd w:val="0"/>
              <w:spacing w:after="0" w:line="240" w:lineRule="auto"/>
              <w:jc w:val="center"/>
              <w:rPr>
                <w:rFonts w:ascii="ITC Avant Garde" w:hAnsi="ITC Avant Garde"/>
                <w:bCs/>
                <w:sz w:val="18"/>
                <w:szCs w:val="18"/>
                <w:highlight w:val="yellow"/>
              </w:rPr>
            </w:pPr>
            <w:r w:rsidRPr="00A02715">
              <w:rPr>
                <w:rFonts w:ascii="ITC Avant Garde" w:eastAsia="Times New Roman" w:hAnsi="ITC Avant Garde"/>
                <w:b/>
                <w:bCs/>
                <w:color w:val="0000CC"/>
                <w:sz w:val="20"/>
                <w:szCs w:val="20"/>
                <w:lang w:eastAsia="es-MX"/>
              </w:rPr>
              <w:t>RESERVADO POR LEY</w:t>
            </w:r>
          </w:p>
        </w:tc>
        <w:tc>
          <w:tcPr>
            <w:tcW w:w="1657" w:type="dxa"/>
          </w:tcPr>
          <w:p w14:paraId="472A5AF8" w14:textId="77777777" w:rsidR="0093666A" w:rsidRPr="00F211A4" w:rsidRDefault="0093666A" w:rsidP="0093666A">
            <w:pPr>
              <w:autoSpaceDE w:val="0"/>
              <w:autoSpaceDN w:val="0"/>
              <w:adjustRightInd w:val="0"/>
              <w:spacing w:after="0" w:line="240" w:lineRule="auto"/>
              <w:jc w:val="center"/>
              <w:rPr>
                <w:rFonts w:ascii="ITC Avant Garde" w:hAnsi="ITC Avant Garde"/>
                <w:bCs/>
                <w:sz w:val="18"/>
                <w:szCs w:val="18"/>
              </w:rPr>
            </w:pPr>
            <w:r w:rsidRPr="00F211A4">
              <w:rPr>
                <w:rFonts w:ascii="ITC Avant Garde" w:hAnsi="ITC Avant Garde"/>
                <w:bCs/>
                <w:sz w:val="18"/>
                <w:szCs w:val="18"/>
              </w:rPr>
              <w:t>99.91</w:t>
            </w:r>
          </w:p>
        </w:tc>
      </w:tr>
      <w:tr w:rsidR="0093666A" w:rsidRPr="00F211A4" w14:paraId="16665D0F" w14:textId="77777777" w:rsidTr="006958E8">
        <w:trPr>
          <w:trHeight w:val="793"/>
          <w:jc w:val="center"/>
        </w:trPr>
        <w:tc>
          <w:tcPr>
            <w:tcW w:w="2079" w:type="dxa"/>
          </w:tcPr>
          <w:p w14:paraId="31A05918" w14:textId="77777777"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r w:rsidRPr="00F211A4">
              <w:rPr>
                <w:rFonts w:ascii="ITC Avant Garde" w:hAnsi="ITC Avant Garde"/>
                <w:b/>
                <w:bCs/>
                <w:sz w:val="18"/>
                <w:szCs w:val="18"/>
              </w:rPr>
              <w:t>Total</w:t>
            </w:r>
          </w:p>
        </w:tc>
        <w:tc>
          <w:tcPr>
            <w:tcW w:w="1460" w:type="dxa"/>
          </w:tcPr>
          <w:p w14:paraId="6F86C4C8" w14:textId="77777777"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r w:rsidRPr="00F211A4">
              <w:rPr>
                <w:rFonts w:ascii="ITC Avant Garde" w:hAnsi="ITC Avant Garde"/>
                <w:b/>
                <w:bCs/>
                <w:sz w:val="18"/>
                <w:szCs w:val="18"/>
              </w:rPr>
              <w:t>50</w:t>
            </w:r>
          </w:p>
        </w:tc>
        <w:tc>
          <w:tcPr>
            <w:tcW w:w="1418" w:type="dxa"/>
          </w:tcPr>
          <w:p w14:paraId="20382F69" w14:textId="7532FCF1" w:rsidR="0093666A" w:rsidRPr="00A16B88" w:rsidRDefault="0093666A" w:rsidP="0093666A">
            <w:pPr>
              <w:autoSpaceDE w:val="0"/>
              <w:autoSpaceDN w:val="0"/>
              <w:adjustRightInd w:val="0"/>
              <w:spacing w:after="0" w:line="240" w:lineRule="auto"/>
              <w:jc w:val="center"/>
              <w:rPr>
                <w:rFonts w:ascii="ITC Avant Garde" w:hAnsi="ITC Avant Garde"/>
                <w:b/>
                <w:bCs/>
                <w:sz w:val="18"/>
                <w:szCs w:val="18"/>
                <w:highlight w:val="yellow"/>
              </w:rPr>
            </w:pPr>
            <w:r w:rsidRPr="00A02715">
              <w:rPr>
                <w:rFonts w:ascii="ITC Avant Garde" w:eastAsia="Times New Roman" w:hAnsi="ITC Avant Garde"/>
                <w:b/>
                <w:bCs/>
                <w:color w:val="0000CC"/>
                <w:sz w:val="20"/>
                <w:szCs w:val="20"/>
                <w:lang w:eastAsia="es-MX"/>
              </w:rPr>
              <w:t>RESERVADO POR LEY</w:t>
            </w:r>
          </w:p>
        </w:tc>
        <w:tc>
          <w:tcPr>
            <w:tcW w:w="1417" w:type="dxa"/>
          </w:tcPr>
          <w:p w14:paraId="267F8146" w14:textId="77777777"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r w:rsidRPr="00F211A4">
              <w:rPr>
                <w:rFonts w:ascii="ITC Avant Garde" w:hAnsi="ITC Avant Garde"/>
                <w:b/>
                <w:bCs/>
                <w:sz w:val="18"/>
                <w:szCs w:val="18"/>
              </w:rPr>
              <w:t>55,616</w:t>
            </w:r>
          </w:p>
        </w:tc>
        <w:tc>
          <w:tcPr>
            <w:tcW w:w="1493" w:type="dxa"/>
          </w:tcPr>
          <w:p w14:paraId="048F21C4" w14:textId="38C1925D" w:rsidR="0093666A" w:rsidRPr="00A16B88" w:rsidRDefault="0093666A" w:rsidP="0093666A">
            <w:pPr>
              <w:autoSpaceDE w:val="0"/>
              <w:autoSpaceDN w:val="0"/>
              <w:adjustRightInd w:val="0"/>
              <w:spacing w:after="0" w:line="240" w:lineRule="auto"/>
              <w:jc w:val="center"/>
              <w:rPr>
                <w:rFonts w:ascii="ITC Avant Garde" w:hAnsi="ITC Avant Garde"/>
                <w:b/>
                <w:bCs/>
                <w:sz w:val="18"/>
                <w:szCs w:val="18"/>
                <w:highlight w:val="yellow"/>
              </w:rPr>
            </w:pPr>
            <w:r w:rsidRPr="00A02715">
              <w:rPr>
                <w:rFonts w:ascii="ITC Avant Garde" w:eastAsia="Times New Roman" w:hAnsi="ITC Avant Garde"/>
                <w:b/>
                <w:bCs/>
                <w:color w:val="0000CC"/>
                <w:sz w:val="20"/>
                <w:szCs w:val="20"/>
                <w:lang w:eastAsia="es-MX"/>
              </w:rPr>
              <w:t>RESERVADO POR LEY</w:t>
            </w:r>
          </w:p>
        </w:tc>
        <w:tc>
          <w:tcPr>
            <w:tcW w:w="1657" w:type="dxa"/>
          </w:tcPr>
          <w:p w14:paraId="020F0CB0" w14:textId="77777777" w:rsidR="0093666A" w:rsidRPr="00F211A4" w:rsidRDefault="0093666A" w:rsidP="0093666A">
            <w:pPr>
              <w:autoSpaceDE w:val="0"/>
              <w:autoSpaceDN w:val="0"/>
              <w:adjustRightInd w:val="0"/>
              <w:spacing w:after="0" w:line="240" w:lineRule="auto"/>
              <w:jc w:val="center"/>
              <w:rPr>
                <w:rFonts w:ascii="ITC Avant Garde" w:hAnsi="ITC Avant Garde"/>
                <w:b/>
                <w:bCs/>
                <w:sz w:val="18"/>
                <w:szCs w:val="18"/>
              </w:rPr>
            </w:pPr>
            <w:r w:rsidRPr="00F211A4">
              <w:rPr>
                <w:rFonts w:ascii="ITC Avant Garde" w:hAnsi="ITC Avant Garde"/>
                <w:b/>
                <w:bCs/>
                <w:sz w:val="18"/>
                <w:szCs w:val="18"/>
              </w:rPr>
              <w:t>100.00</w:t>
            </w:r>
          </w:p>
        </w:tc>
      </w:tr>
    </w:tbl>
    <w:p w14:paraId="70529067" w14:textId="629DCE9A" w:rsidR="00F77F3F" w:rsidRPr="00EE4BBE" w:rsidRDefault="00872B46" w:rsidP="00A16B88">
      <w:pPr>
        <w:autoSpaceDE w:val="0"/>
        <w:autoSpaceDN w:val="0"/>
        <w:adjustRightInd w:val="0"/>
        <w:spacing w:before="240" w:after="0" w:line="240" w:lineRule="auto"/>
        <w:jc w:val="both"/>
        <w:rPr>
          <w:rFonts w:ascii="ITC Avant Garde" w:hAnsi="ITC Avant Garde"/>
          <w:bCs/>
        </w:rPr>
      </w:pPr>
      <w:r w:rsidRPr="00EE4BBE">
        <w:rPr>
          <w:rFonts w:ascii="ITC Avant Garde" w:hAnsi="ITC Avant Garde"/>
          <w:b/>
          <w:bCs/>
        </w:rPr>
        <w:t>SEGUND</w:t>
      </w:r>
      <w:r w:rsidR="00F77F3F" w:rsidRPr="00EE4BBE">
        <w:rPr>
          <w:rFonts w:ascii="ITC Avant Garde" w:hAnsi="ITC Avant Garde"/>
          <w:b/>
          <w:bCs/>
        </w:rPr>
        <w:t>O.-</w:t>
      </w:r>
      <w:r w:rsidR="00F77F3F" w:rsidRPr="00EE4BBE">
        <w:rPr>
          <w:rFonts w:ascii="ITC Avant Garde" w:hAnsi="ITC Avant Garde"/>
          <w:bCs/>
        </w:rPr>
        <w:t xml:space="preserve"> Se instruye a la Unidad de Concesiones y Servicios a notificar </w:t>
      </w:r>
      <w:r w:rsidR="00C87869">
        <w:rPr>
          <w:rFonts w:ascii="ITC Avant Garde" w:hAnsi="ITC Avant Garde"/>
          <w:bCs/>
        </w:rPr>
        <w:t>a</w:t>
      </w:r>
      <w:r w:rsidR="00967B8E" w:rsidRPr="00EE4BBE">
        <w:rPr>
          <w:rFonts w:ascii="ITC Avant Garde" w:hAnsi="ITC Avant Garde"/>
          <w:bCs/>
        </w:rPr>
        <w:t xml:space="preserve"> </w:t>
      </w:r>
      <w:r w:rsidR="00F3381A" w:rsidRPr="00EE4BBE">
        <w:rPr>
          <w:rFonts w:ascii="ITC Avant Garde" w:hAnsi="ITC Avant Garde"/>
          <w:bCs/>
          <w:lang w:val="es-ES" w:eastAsia="es-ES"/>
        </w:rPr>
        <w:t>GSAT COMUNICACIONES, S.A. de C.V.</w:t>
      </w:r>
      <w:r w:rsidR="00D450A9" w:rsidRPr="00EE4BBE">
        <w:rPr>
          <w:rFonts w:ascii="ITC Avant Garde" w:hAnsi="ITC Avant Garde"/>
          <w:bCs/>
        </w:rPr>
        <w:t>,</w:t>
      </w:r>
      <w:r w:rsidR="00F77F3F" w:rsidRPr="00EE4BBE">
        <w:rPr>
          <w:rFonts w:ascii="ITC Avant Garde" w:hAnsi="ITC Avant Garde"/>
          <w:bCs/>
        </w:rPr>
        <w:t xml:space="preserve"> la </w:t>
      </w:r>
      <w:r w:rsidR="003B440E" w:rsidRPr="00EE4BBE">
        <w:rPr>
          <w:rFonts w:ascii="ITC Avant Garde" w:hAnsi="ITC Avant Garde"/>
          <w:bCs/>
        </w:rPr>
        <w:t>autorización para llevar a cabo la enajenación</w:t>
      </w:r>
      <w:r w:rsidR="00DF6D3D">
        <w:rPr>
          <w:rFonts w:ascii="ITC Avant Garde" w:hAnsi="ITC Avant Garde"/>
          <w:bCs/>
        </w:rPr>
        <w:t xml:space="preserve"> y suscripción</w:t>
      </w:r>
      <w:r w:rsidR="003B440E" w:rsidRPr="00EE4BBE">
        <w:rPr>
          <w:rFonts w:ascii="ITC Avant Garde" w:hAnsi="ITC Avant Garde"/>
          <w:bCs/>
        </w:rPr>
        <w:t xml:space="preserve"> de acciones a que se refiere la presente Resolución, de conformidad con </w:t>
      </w:r>
      <w:r w:rsidR="008E5282" w:rsidRPr="00EE4BBE">
        <w:rPr>
          <w:rFonts w:ascii="ITC Avant Garde" w:hAnsi="ITC Avant Garde"/>
          <w:bCs/>
        </w:rPr>
        <w:t>el</w:t>
      </w:r>
      <w:r w:rsidR="003B440E" w:rsidRPr="00EE4BBE">
        <w:rPr>
          <w:rFonts w:ascii="ITC Avant Garde" w:hAnsi="ITC Avant Garde"/>
          <w:bCs/>
        </w:rPr>
        <w:t xml:space="preserve"> Resolutivo Primero anterior.</w:t>
      </w:r>
    </w:p>
    <w:p w14:paraId="59D1646E" w14:textId="77777777" w:rsidR="00846937" w:rsidRPr="00EE4BBE" w:rsidRDefault="00846937" w:rsidP="00A16B88">
      <w:pPr>
        <w:autoSpaceDE w:val="0"/>
        <w:autoSpaceDN w:val="0"/>
        <w:adjustRightInd w:val="0"/>
        <w:spacing w:before="240" w:after="0" w:line="240" w:lineRule="auto"/>
        <w:jc w:val="both"/>
        <w:rPr>
          <w:rFonts w:ascii="ITC Avant Garde" w:hAnsi="ITC Avant Garde"/>
          <w:bCs/>
        </w:rPr>
      </w:pPr>
      <w:r w:rsidRPr="00EE4BBE">
        <w:rPr>
          <w:rFonts w:ascii="ITC Avant Garde" w:hAnsi="ITC Avant Garde"/>
          <w:b/>
          <w:bCs/>
        </w:rPr>
        <w:lastRenderedPageBreak/>
        <w:t>TERCERO.-</w:t>
      </w:r>
      <w:r w:rsidRPr="00EE4BBE">
        <w:rPr>
          <w:rFonts w:ascii="ITC Avant Garde" w:hAnsi="ITC Avant Garde"/>
          <w:bCs/>
        </w:rPr>
        <w:t xml:space="preserve"> La presente autorización tendrá una vigencia de 60 (sesenta) días naturales, contados a partir de aquel en que hubiere surtido efectos la notificación de la misma. </w:t>
      </w:r>
    </w:p>
    <w:p w14:paraId="5106B6D6" w14:textId="60821BEC" w:rsidR="00846937" w:rsidRPr="00EE4BBE" w:rsidRDefault="00846937" w:rsidP="00A16B88">
      <w:pPr>
        <w:autoSpaceDE w:val="0"/>
        <w:autoSpaceDN w:val="0"/>
        <w:adjustRightInd w:val="0"/>
        <w:spacing w:before="240" w:after="0" w:line="240" w:lineRule="auto"/>
        <w:jc w:val="both"/>
        <w:rPr>
          <w:rFonts w:ascii="ITC Avant Garde" w:hAnsi="ITC Avant Garde"/>
          <w:bCs/>
        </w:rPr>
      </w:pPr>
      <w:r w:rsidRPr="00EE4BBE">
        <w:rPr>
          <w:rFonts w:ascii="ITC Avant Garde" w:hAnsi="ITC Avant Garde"/>
          <w:bCs/>
        </w:rPr>
        <w:t xml:space="preserve">Dentro de ese plazo de vigencia, </w:t>
      </w:r>
      <w:r w:rsidR="00F3381A" w:rsidRPr="00EE4BBE">
        <w:rPr>
          <w:rFonts w:ascii="ITC Avant Garde" w:hAnsi="ITC Avant Garde"/>
          <w:bCs/>
          <w:lang w:val="es-ES" w:eastAsia="es-ES"/>
        </w:rPr>
        <w:t>GSAT COMUNICACIONES, S.A. de C.V</w:t>
      </w:r>
      <w:r w:rsidR="002C3EAE" w:rsidRPr="00EE4BBE">
        <w:rPr>
          <w:rFonts w:ascii="ITC Avant Garde" w:hAnsi="ITC Avant Garde"/>
          <w:bCs/>
          <w:lang w:val="es-ES" w:eastAsia="es-ES"/>
        </w:rPr>
        <w:t>.</w:t>
      </w:r>
      <w:r w:rsidRPr="00EE4BBE">
        <w:rPr>
          <w:rFonts w:ascii="ITC Avant Garde" w:hAnsi="ITC Avant Garde"/>
          <w:bCs/>
        </w:rPr>
        <w:t>, deberá presentar para su inscripción en el Registro Público de Concesiones, copia certificada del instrumento donde conste que se llevaron a cabo los movimientos a que se refiere el Resolutivo Primero, en los términos planteados.</w:t>
      </w:r>
    </w:p>
    <w:p w14:paraId="09A118A5" w14:textId="7A76230B" w:rsidR="00846937" w:rsidRPr="00EE4BBE" w:rsidRDefault="00846937" w:rsidP="00A16B88">
      <w:pPr>
        <w:autoSpaceDE w:val="0"/>
        <w:autoSpaceDN w:val="0"/>
        <w:adjustRightInd w:val="0"/>
        <w:spacing w:before="240" w:after="0" w:line="240" w:lineRule="auto"/>
        <w:jc w:val="both"/>
        <w:rPr>
          <w:rFonts w:ascii="ITC Avant Garde" w:hAnsi="ITC Avant Garde"/>
          <w:bCs/>
        </w:rPr>
      </w:pPr>
      <w:r w:rsidRPr="00EE4BBE">
        <w:rPr>
          <w:rFonts w:ascii="ITC Avant Garde" w:hAnsi="ITC Avant Garde"/>
          <w:bCs/>
        </w:rPr>
        <w:t xml:space="preserve">Concluido dicho plazo, sin que se hubiere dado cumplimiento al presente Resolutivo, </w:t>
      </w:r>
      <w:r w:rsidR="00F3381A" w:rsidRPr="00EE4BBE">
        <w:rPr>
          <w:rFonts w:ascii="ITC Avant Garde" w:hAnsi="ITC Avant Garde"/>
          <w:bCs/>
          <w:lang w:val="es-ES" w:eastAsia="es-ES"/>
        </w:rPr>
        <w:t>GSAT COMUNICACIONES, S.A. de C.V</w:t>
      </w:r>
      <w:r w:rsidR="00844F9C" w:rsidRPr="00EE4BBE">
        <w:rPr>
          <w:rFonts w:ascii="ITC Avant Garde" w:hAnsi="ITC Avant Garde"/>
          <w:bCs/>
          <w:lang w:val="es-ES" w:eastAsia="es-ES"/>
        </w:rPr>
        <w:t>.</w:t>
      </w:r>
      <w:r w:rsidRPr="00EE4BBE">
        <w:rPr>
          <w:rFonts w:ascii="ITC Avant Garde" w:hAnsi="ITC Avant Garde"/>
          <w:bCs/>
        </w:rPr>
        <w:t xml:space="preserve"> deberá solicitar una nueva autorización.</w:t>
      </w:r>
    </w:p>
    <w:p w14:paraId="6DCC37E2" w14:textId="77777777" w:rsidR="00846937" w:rsidRPr="00EE4BBE" w:rsidRDefault="00846937" w:rsidP="00A16B88">
      <w:pPr>
        <w:autoSpaceDE w:val="0"/>
        <w:autoSpaceDN w:val="0"/>
        <w:adjustRightInd w:val="0"/>
        <w:spacing w:before="240" w:after="0" w:line="240" w:lineRule="auto"/>
        <w:jc w:val="both"/>
        <w:rPr>
          <w:rFonts w:ascii="ITC Avant Garde" w:hAnsi="ITC Avant Garde"/>
          <w:bCs/>
        </w:rPr>
      </w:pPr>
      <w:r w:rsidRPr="00EE4BBE">
        <w:rPr>
          <w:rFonts w:ascii="ITC Avant Garde" w:hAnsi="ITC Avant Garde"/>
          <w:b/>
          <w:bCs/>
        </w:rPr>
        <w:t xml:space="preserve">CUARTO.- </w:t>
      </w:r>
      <w:r w:rsidRPr="00EE4BBE">
        <w:rPr>
          <w:rFonts w:ascii="ITC Avant Garde" w:hAnsi="ITC Avant Garde"/>
          <w:bCs/>
        </w:rPr>
        <w:t>La presente Resolución se emite en el ámbito de aplicación del artículo 112 de la Ley Federal de Telecomunicaciones y Radiodifusión y no prejuzga sobre las atribuciones que corresponda ejercer al Instituto Federal de Telecomunicaciones en materia de competencia económica.</w:t>
      </w:r>
    </w:p>
    <w:p w14:paraId="6A10F343" w14:textId="0B6ED691" w:rsidR="0001105B" w:rsidRPr="006958E8" w:rsidRDefault="00531E83" w:rsidP="006958E8">
      <w:pPr>
        <w:pStyle w:val="Sinespaciado"/>
        <w:spacing w:before="240"/>
        <w:jc w:val="both"/>
        <w:rPr>
          <w:rFonts w:ascii="ITC Avant Garde" w:hAnsi="ITC Avant Garde"/>
          <w:sz w:val="15"/>
          <w:szCs w:val="15"/>
        </w:rPr>
      </w:pPr>
      <w:r w:rsidRPr="00531E83">
        <w:rPr>
          <w:rFonts w:ascii="ITC Avant Garde" w:hAnsi="ITC Avant Garde"/>
          <w:sz w:val="15"/>
          <w:szCs w:val="15"/>
        </w:rPr>
        <w:t>La presente Resolución fue aprobada por el Pleno del Instituto Federal de Telecomunicaciones en su X Sesión Ordinaria celebrada el 20 de abril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P/IFT/200416/160.</w:t>
      </w:r>
    </w:p>
    <w:sectPr w:rsidR="0001105B" w:rsidRPr="006958E8" w:rsidSect="00566419">
      <w:pgSz w:w="12240" w:h="15840"/>
      <w:pgMar w:top="2127" w:right="1418" w:bottom="567" w:left="1418" w:header="709" w:footer="98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38EA8" w14:textId="77777777" w:rsidR="00601DFB" w:rsidRDefault="00601DFB" w:rsidP="00072BC8">
      <w:pPr>
        <w:spacing w:after="0" w:line="240" w:lineRule="auto"/>
      </w:pPr>
      <w:r>
        <w:separator/>
      </w:r>
    </w:p>
  </w:endnote>
  <w:endnote w:type="continuationSeparator" w:id="0">
    <w:p w14:paraId="5B661F93" w14:textId="77777777" w:rsidR="00601DFB" w:rsidRDefault="00601DFB"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9EA3F" w14:textId="77777777" w:rsidR="00566419" w:rsidRPr="00566419" w:rsidRDefault="00566419" w:rsidP="00566419">
    <w:pPr>
      <w:pStyle w:val="Piedepgina"/>
      <w:jc w:val="right"/>
      <w:rPr>
        <w:caps/>
      </w:rPr>
    </w:pPr>
    <w:r w:rsidRPr="00566419">
      <w:rPr>
        <w:caps/>
      </w:rPr>
      <w:fldChar w:fldCharType="begin"/>
    </w:r>
    <w:r w:rsidRPr="00566419">
      <w:rPr>
        <w:caps/>
      </w:rPr>
      <w:instrText>PAGE   \* MERGEFORMAT</w:instrText>
    </w:r>
    <w:r w:rsidRPr="00566419">
      <w:rPr>
        <w:caps/>
      </w:rPr>
      <w:fldChar w:fldCharType="separate"/>
    </w:r>
    <w:r w:rsidRPr="00566419">
      <w:rPr>
        <w:caps/>
        <w:noProof/>
        <w:lang w:val="es-ES"/>
      </w:rPr>
      <w:t>1</w:t>
    </w:r>
    <w:r w:rsidRPr="00566419">
      <w:rPr>
        <w:caps/>
      </w:rPr>
      <w:fldChar w:fldCharType="end"/>
    </w:r>
  </w:p>
  <w:p w14:paraId="23D3A9CC" w14:textId="77777777" w:rsidR="00566419" w:rsidRDefault="0056641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7F132" w14:textId="77777777" w:rsidR="00566419" w:rsidRPr="00566419" w:rsidRDefault="00566419" w:rsidP="00566419">
    <w:pPr>
      <w:pStyle w:val="Piedepgina"/>
      <w:jc w:val="right"/>
      <w:rPr>
        <w:caps/>
      </w:rPr>
    </w:pPr>
    <w:r w:rsidRPr="00566419">
      <w:rPr>
        <w:caps/>
      </w:rPr>
      <w:fldChar w:fldCharType="begin"/>
    </w:r>
    <w:r w:rsidRPr="00566419">
      <w:rPr>
        <w:caps/>
      </w:rPr>
      <w:instrText>PAGE   \* MERGEFORMAT</w:instrText>
    </w:r>
    <w:r w:rsidRPr="00566419">
      <w:rPr>
        <w:caps/>
      </w:rPr>
      <w:fldChar w:fldCharType="separate"/>
    </w:r>
    <w:r w:rsidR="000B01DE" w:rsidRPr="000B01DE">
      <w:rPr>
        <w:caps/>
        <w:noProof/>
        <w:lang w:val="es-ES"/>
      </w:rPr>
      <w:t>4</w:t>
    </w:r>
    <w:r w:rsidRPr="00566419">
      <w:rPr>
        <w:caps/>
      </w:rPr>
      <w:fldChar w:fldCharType="end"/>
    </w:r>
  </w:p>
  <w:p w14:paraId="181BC602" w14:textId="77777777" w:rsidR="00566419" w:rsidRPr="00566419" w:rsidRDefault="00566419" w:rsidP="0056641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9791C" w14:textId="77777777" w:rsidR="00566419" w:rsidRPr="00566419" w:rsidRDefault="00566419" w:rsidP="00566419">
    <w:pPr>
      <w:pStyle w:val="Piedepgina"/>
      <w:jc w:val="right"/>
      <w:rPr>
        <w:caps/>
      </w:rPr>
    </w:pPr>
    <w:r w:rsidRPr="00566419">
      <w:rPr>
        <w:caps/>
      </w:rPr>
      <w:fldChar w:fldCharType="begin"/>
    </w:r>
    <w:r w:rsidRPr="00566419">
      <w:rPr>
        <w:caps/>
      </w:rPr>
      <w:instrText>PAGE   \* MERGEFORMAT</w:instrText>
    </w:r>
    <w:r w:rsidRPr="00566419">
      <w:rPr>
        <w:caps/>
      </w:rPr>
      <w:fldChar w:fldCharType="separate"/>
    </w:r>
    <w:r w:rsidR="000B01DE" w:rsidRPr="000B01DE">
      <w:rPr>
        <w:caps/>
        <w:noProof/>
        <w:lang w:val="es-ES"/>
      </w:rPr>
      <w:t>1</w:t>
    </w:r>
    <w:r w:rsidRPr="00566419">
      <w:rPr>
        <w:caps/>
      </w:rPr>
      <w:fldChar w:fldCharType="end"/>
    </w:r>
  </w:p>
  <w:p w14:paraId="3E37FA1E" w14:textId="77777777" w:rsidR="00566419" w:rsidRDefault="005664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CAF47" w14:textId="77777777" w:rsidR="00601DFB" w:rsidRDefault="00601DFB" w:rsidP="00072BC8">
      <w:pPr>
        <w:spacing w:after="0" w:line="240" w:lineRule="auto"/>
      </w:pPr>
      <w:r>
        <w:separator/>
      </w:r>
    </w:p>
  </w:footnote>
  <w:footnote w:type="continuationSeparator" w:id="0">
    <w:p w14:paraId="76541E6F" w14:textId="77777777" w:rsidR="00601DFB" w:rsidRDefault="00601DFB"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1940E" w14:textId="77777777" w:rsidR="0058409A" w:rsidRDefault="00601DFB">
    <w:pPr>
      <w:pStyle w:val="Encabezado"/>
    </w:pPr>
    <w:r>
      <w:rPr>
        <w:noProof/>
        <w:lang w:eastAsia="es-MX"/>
      </w:rPr>
      <w:pict w14:anchorId="45558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1556B" w14:textId="2E5A2632" w:rsidR="0058409A" w:rsidRPr="000F5E4B" w:rsidRDefault="0058409A" w:rsidP="00566419">
    <w:pPr>
      <w:pStyle w:val="Encabezado"/>
      <w:tabs>
        <w:tab w:val="clear" w:pos="4419"/>
        <w:tab w:val="clear" w:pos="8838"/>
        <w:tab w:val="right" w:pos="9404"/>
      </w:tabs>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17E1B"/>
    <w:multiLevelType w:val="hybridMultilevel"/>
    <w:tmpl w:val="63CE467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9977D59"/>
    <w:multiLevelType w:val="hybridMultilevel"/>
    <w:tmpl w:val="32207050"/>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EA95FBC"/>
    <w:multiLevelType w:val="hybridMultilevel"/>
    <w:tmpl w:val="084A7944"/>
    <w:lvl w:ilvl="0" w:tplc="4EEE5C3E">
      <w:start w:val="1"/>
      <w:numFmt w:val="upperRoman"/>
      <w:lvlText w:val="%1."/>
      <w:lvlJc w:val="left"/>
      <w:pPr>
        <w:ind w:left="2148" w:hanging="720"/>
      </w:pPr>
      <w:rPr>
        <w:rFonts w:hint="default"/>
      </w:rPr>
    </w:lvl>
    <w:lvl w:ilvl="1" w:tplc="080A0019" w:tentative="1">
      <w:start w:val="1"/>
      <w:numFmt w:val="lowerLetter"/>
      <w:lvlText w:val="%2."/>
      <w:lvlJc w:val="left"/>
      <w:pPr>
        <w:ind w:left="2508" w:hanging="360"/>
      </w:p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3"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4" w15:restartNumberingAfterBreak="0">
    <w:nsid w:val="25F72AD6"/>
    <w:multiLevelType w:val="hybridMultilevel"/>
    <w:tmpl w:val="37BCB1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C22D20"/>
    <w:multiLevelType w:val="hybridMultilevel"/>
    <w:tmpl w:val="E30E2CD6"/>
    <w:lvl w:ilvl="0" w:tplc="080A0001">
      <w:start w:val="1"/>
      <w:numFmt w:val="bullet"/>
      <w:lvlText w:val=""/>
      <w:lvlJc w:val="left"/>
      <w:pPr>
        <w:ind w:left="2132" w:hanging="360"/>
      </w:pPr>
      <w:rPr>
        <w:rFonts w:ascii="Symbol" w:hAnsi="Symbol" w:hint="default"/>
      </w:rPr>
    </w:lvl>
    <w:lvl w:ilvl="1" w:tplc="080A0003" w:tentative="1">
      <w:start w:val="1"/>
      <w:numFmt w:val="bullet"/>
      <w:lvlText w:val="o"/>
      <w:lvlJc w:val="left"/>
      <w:pPr>
        <w:ind w:left="2852" w:hanging="360"/>
      </w:pPr>
      <w:rPr>
        <w:rFonts w:ascii="Courier New" w:hAnsi="Courier New" w:cs="Courier New" w:hint="default"/>
      </w:rPr>
    </w:lvl>
    <w:lvl w:ilvl="2" w:tplc="080A0005" w:tentative="1">
      <w:start w:val="1"/>
      <w:numFmt w:val="bullet"/>
      <w:lvlText w:val=""/>
      <w:lvlJc w:val="left"/>
      <w:pPr>
        <w:ind w:left="3572" w:hanging="360"/>
      </w:pPr>
      <w:rPr>
        <w:rFonts w:ascii="Wingdings" w:hAnsi="Wingdings" w:hint="default"/>
      </w:rPr>
    </w:lvl>
    <w:lvl w:ilvl="3" w:tplc="080A0001" w:tentative="1">
      <w:start w:val="1"/>
      <w:numFmt w:val="bullet"/>
      <w:lvlText w:val=""/>
      <w:lvlJc w:val="left"/>
      <w:pPr>
        <w:ind w:left="4292" w:hanging="360"/>
      </w:pPr>
      <w:rPr>
        <w:rFonts w:ascii="Symbol" w:hAnsi="Symbol" w:hint="default"/>
      </w:rPr>
    </w:lvl>
    <w:lvl w:ilvl="4" w:tplc="080A0003" w:tentative="1">
      <w:start w:val="1"/>
      <w:numFmt w:val="bullet"/>
      <w:lvlText w:val="o"/>
      <w:lvlJc w:val="left"/>
      <w:pPr>
        <w:ind w:left="5012" w:hanging="360"/>
      </w:pPr>
      <w:rPr>
        <w:rFonts w:ascii="Courier New" w:hAnsi="Courier New" w:cs="Courier New" w:hint="default"/>
      </w:rPr>
    </w:lvl>
    <w:lvl w:ilvl="5" w:tplc="080A0005" w:tentative="1">
      <w:start w:val="1"/>
      <w:numFmt w:val="bullet"/>
      <w:lvlText w:val=""/>
      <w:lvlJc w:val="left"/>
      <w:pPr>
        <w:ind w:left="5732" w:hanging="360"/>
      </w:pPr>
      <w:rPr>
        <w:rFonts w:ascii="Wingdings" w:hAnsi="Wingdings" w:hint="default"/>
      </w:rPr>
    </w:lvl>
    <w:lvl w:ilvl="6" w:tplc="080A0001" w:tentative="1">
      <w:start w:val="1"/>
      <w:numFmt w:val="bullet"/>
      <w:lvlText w:val=""/>
      <w:lvlJc w:val="left"/>
      <w:pPr>
        <w:ind w:left="6452" w:hanging="360"/>
      </w:pPr>
      <w:rPr>
        <w:rFonts w:ascii="Symbol" w:hAnsi="Symbol" w:hint="default"/>
      </w:rPr>
    </w:lvl>
    <w:lvl w:ilvl="7" w:tplc="080A0003" w:tentative="1">
      <w:start w:val="1"/>
      <w:numFmt w:val="bullet"/>
      <w:lvlText w:val="o"/>
      <w:lvlJc w:val="left"/>
      <w:pPr>
        <w:ind w:left="7172" w:hanging="360"/>
      </w:pPr>
      <w:rPr>
        <w:rFonts w:ascii="Courier New" w:hAnsi="Courier New" w:cs="Courier New" w:hint="default"/>
      </w:rPr>
    </w:lvl>
    <w:lvl w:ilvl="8" w:tplc="080A0005" w:tentative="1">
      <w:start w:val="1"/>
      <w:numFmt w:val="bullet"/>
      <w:lvlText w:val=""/>
      <w:lvlJc w:val="left"/>
      <w:pPr>
        <w:ind w:left="7892" w:hanging="360"/>
      </w:pPr>
      <w:rPr>
        <w:rFonts w:ascii="Wingdings" w:hAnsi="Wingdings" w:hint="default"/>
      </w:rPr>
    </w:lvl>
  </w:abstractNum>
  <w:abstractNum w:abstractNumId="7"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403560D5"/>
    <w:multiLevelType w:val="hybridMultilevel"/>
    <w:tmpl w:val="C94624A2"/>
    <w:lvl w:ilvl="0" w:tplc="E0F26742">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5EE7362"/>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7041590"/>
    <w:multiLevelType w:val="hybridMultilevel"/>
    <w:tmpl w:val="E75A207C"/>
    <w:lvl w:ilvl="0" w:tplc="080A0001">
      <w:start w:val="1"/>
      <w:numFmt w:val="bullet"/>
      <w:lvlText w:val=""/>
      <w:lvlJc w:val="left"/>
      <w:pPr>
        <w:ind w:left="1080" w:hanging="720"/>
      </w:pPr>
      <w:rPr>
        <w:rFonts w:ascii="Symbol" w:hAnsi="Symbo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2" w15:restartNumberingAfterBreak="0">
    <w:nsid w:val="537E5918"/>
    <w:multiLevelType w:val="hybridMultilevel"/>
    <w:tmpl w:val="D74E4446"/>
    <w:lvl w:ilvl="0" w:tplc="3044EACA">
      <w:start w:val="1"/>
      <w:numFmt w:val="lowerRoman"/>
      <w:lvlText w:val="%1)"/>
      <w:lvlJc w:val="left"/>
      <w:pPr>
        <w:ind w:left="1287" w:hanging="720"/>
      </w:pPr>
      <w:rPr>
        <w:rFonts w:cs="Times New Roman"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8C22816"/>
    <w:multiLevelType w:val="hybridMultilevel"/>
    <w:tmpl w:val="15107BB8"/>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15" w15:restartNumberingAfterBreak="0">
    <w:nsid w:val="6B9040B4"/>
    <w:multiLevelType w:val="hybridMultilevel"/>
    <w:tmpl w:val="D95C20E8"/>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6" w15:restartNumberingAfterBreak="0">
    <w:nsid w:val="6BA67DE5"/>
    <w:multiLevelType w:val="hybridMultilevel"/>
    <w:tmpl w:val="74EAA874"/>
    <w:lvl w:ilvl="0" w:tplc="DE1EA58C">
      <w:start w:val="3"/>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DB8712D"/>
    <w:multiLevelType w:val="hybridMultilevel"/>
    <w:tmpl w:val="11A2B2C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97668DA"/>
    <w:multiLevelType w:val="hybridMultilevel"/>
    <w:tmpl w:val="07CA34CA"/>
    <w:lvl w:ilvl="0" w:tplc="3028E522">
      <w:start w:val="20"/>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FA65F3B"/>
    <w:multiLevelType w:val="hybridMultilevel"/>
    <w:tmpl w:val="67EE6C9A"/>
    <w:lvl w:ilvl="0" w:tplc="7A349674">
      <w:start w:val="20"/>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7"/>
  </w:num>
  <w:num w:numId="2">
    <w:abstractNumId w:val="13"/>
  </w:num>
  <w:num w:numId="3">
    <w:abstractNumId w:val="5"/>
  </w:num>
  <w:num w:numId="4">
    <w:abstractNumId w:val="9"/>
  </w:num>
  <w:num w:numId="5">
    <w:abstractNumId w:val="11"/>
  </w:num>
  <w:num w:numId="6">
    <w:abstractNumId w:val="17"/>
  </w:num>
  <w:num w:numId="7">
    <w:abstractNumId w:val="1"/>
  </w:num>
  <w:num w:numId="8">
    <w:abstractNumId w:val="2"/>
  </w:num>
  <w:num w:numId="9">
    <w:abstractNumId w:val="4"/>
  </w:num>
  <w:num w:numId="10">
    <w:abstractNumId w:val="16"/>
  </w:num>
  <w:num w:numId="11">
    <w:abstractNumId w:val="3"/>
  </w:num>
  <w:num w:numId="12">
    <w:abstractNumId w:val="18"/>
  </w:num>
  <w:num w:numId="13">
    <w:abstractNumId w:val="19"/>
  </w:num>
  <w:num w:numId="14">
    <w:abstractNumId w:val="15"/>
  </w:num>
  <w:num w:numId="15">
    <w:abstractNumId w:val="8"/>
  </w:num>
  <w:num w:numId="16">
    <w:abstractNumId w:val="0"/>
  </w:num>
  <w:num w:numId="17">
    <w:abstractNumId w:val="14"/>
  </w:num>
  <w:num w:numId="18">
    <w:abstractNumId w:val="10"/>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0D3"/>
    <w:rsid w:val="0000011E"/>
    <w:rsid w:val="00000AF6"/>
    <w:rsid w:val="000013E4"/>
    <w:rsid w:val="0000341D"/>
    <w:rsid w:val="00004139"/>
    <w:rsid w:val="00004279"/>
    <w:rsid w:val="00010FB7"/>
    <w:rsid w:val="0001105B"/>
    <w:rsid w:val="000116D0"/>
    <w:rsid w:val="00011FCA"/>
    <w:rsid w:val="0001314F"/>
    <w:rsid w:val="00014EFF"/>
    <w:rsid w:val="000154B0"/>
    <w:rsid w:val="00016AC9"/>
    <w:rsid w:val="00016C54"/>
    <w:rsid w:val="000173C1"/>
    <w:rsid w:val="00020418"/>
    <w:rsid w:val="00022A13"/>
    <w:rsid w:val="00022B85"/>
    <w:rsid w:val="00023EF7"/>
    <w:rsid w:val="00024F70"/>
    <w:rsid w:val="0002568E"/>
    <w:rsid w:val="00037344"/>
    <w:rsid w:val="00037D31"/>
    <w:rsid w:val="000417FF"/>
    <w:rsid w:val="000448E7"/>
    <w:rsid w:val="0004564C"/>
    <w:rsid w:val="000500D9"/>
    <w:rsid w:val="00052CFA"/>
    <w:rsid w:val="00053141"/>
    <w:rsid w:val="0005470B"/>
    <w:rsid w:val="000611AD"/>
    <w:rsid w:val="00062C40"/>
    <w:rsid w:val="000645F4"/>
    <w:rsid w:val="000646C5"/>
    <w:rsid w:val="00066E53"/>
    <w:rsid w:val="00071026"/>
    <w:rsid w:val="00072221"/>
    <w:rsid w:val="00072BC8"/>
    <w:rsid w:val="00072D11"/>
    <w:rsid w:val="00074BE0"/>
    <w:rsid w:val="00074C09"/>
    <w:rsid w:val="00075254"/>
    <w:rsid w:val="000775ED"/>
    <w:rsid w:val="000816BE"/>
    <w:rsid w:val="00082D03"/>
    <w:rsid w:val="000837C7"/>
    <w:rsid w:val="00085181"/>
    <w:rsid w:val="000851CE"/>
    <w:rsid w:val="00090D4C"/>
    <w:rsid w:val="00096CC8"/>
    <w:rsid w:val="000A1861"/>
    <w:rsid w:val="000A1E6A"/>
    <w:rsid w:val="000A22CB"/>
    <w:rsid w:val="000A3B10"/>
    <w:rsid w:val="000A3E65"/>
    <w:rsid w:val="000A3F27"/>
    <w:rsid w:val="000A62EA"/>
    <w:rsid w:val="000B01DE"/>
    <w:rsid w:val="000B109B"/>
    <w:rsid w:val="000B1B50"/>
    <w:rsid w:val="000B1DF8"/>
    <w:rsid w:val="000B5E58"/>
    <w:rsid w:val="000B7FD1"/>
    <w:rsid w:val="000C1A62"/>
    <w:rsid w:val="000C474A"/>
    <w:rsid w:val="000C4C55"/>
    <w:rsid w:val="000C5AC2"/>
    <w:rsid w:val="000D2318"/>
    <w:rsid w:val="000D31F4"/>
    <w:rsid w:val="000E3F73"/>
    <w:rsid w:val="000F17CF"/>
    <w:rsid w:val="000F30D6"/>
    <w:rsid w:val="000F4D94"/>
    <w:rsid w:val="000F5345"/>
    <w:rsid w:val="000F5AC1"/>
    <w:rsid w:val="000F5E4B"/>
    <w:rsid w:val="00100DE3"/>
    <w:rsid w:val="00106523"/>
    <w:rsid w:val="001074E7"/>
    <w:rsid w:val="00112C0E"/>
    <w:rsid w:val="00112EF1"/>
    <w:rsid w:val="00113076"/>
    <w:rsid w:val="00114E54"/>
    <w:rsid w:val="00115272"/>
    <w:rsid w:val="001154FD"/>
    <w:rsid w:val="001168E5"/>
    <w:rsid w:val="00116E48"/>
    <w:rsid w:val="0012257F"/>
    <w:rsid w:val="001246FE"/>
    <w:rsid w:val="00126DEC"/>
    <w:rsid w:val="00127F83"/>
    <w:rsid w:val="001332E8"/>
    <w:rsid w:val="00136292"/>
    <w:rsid w:val="00136C0E"/>
    <w:rsid w:val="00137407"/>
    <w:rsid w:val="00137A66"/>
    <w:rsid w:val="00141FE7"/>
    <w:rsid w:val="001425EA"/>
    <w:rsid w:val="00144765"/>
    <w:rsid w:val="0014549E"/>
    <w:rsid w:val="0014766B"/>
    <w:rsid w:val="0014770A"/>
    <w:rsid w:val="00147884"/>
    <w:rsid w:val="001503CA"/>
    <w:rsid w:val="00150EFA"/>
    <w:rsid w:val="00151C5F"/>
    <w:rsid w:val="001523E6"/>
    <w:rsid w:val="00153356"/>
    <w:rsid w:val="0016161E"/>
    <w:rsid w:val="00163FD3"/>
    <w:rsid w:val="00164246"/>
    <w:rsid w:val="0016577A"/>
    <w:rsid w:val="0017406A"/>
    <w:rsid w:val="00175D28"/>
    <w:rsid w:val="00176654"/>
    <w:rsid w:val="00177FB0"/>
    <w:rsid w:val="001801FE"/>
    <w:rsid w:val="00180454"/>
    <w:rsid w:val="00180C08"/>
    <w:rsid w:val="00181018"/>
    <w:rsid w:val="00183D8B"/>
    <w:rsid w:val="0018572D"/>
    <w:rsid w:val="00190FBB"/>
    <w:rsid w:val="00193FA8"/>
    <w:rsid w:val="001A3049"/>
    <w:rsid w:val="001A58D7"/>
    <w:rsid w:val="001A62B7"/>
    <w:rsid w:val="001A64C7"/>
    <w:rsid w:val="001A6B6F"/>
    <w:rsid w:val="001B12B0"/>
    <w:rsid w:val="001B2763"/>
    <w:rsid w:val="001B58A1"/>
    <w:rsid w:val="001B6D97"/>
    <w:rsid w:val="001B7748"/>
    <w:rsid w:val="001B7EA2"/>
    <w:rsid w:val="001C15FF"/>
    <w:rsid w:val="001C4618"/>
    <w:rsid w:val="001C59C5"/>
    <w:rsid w:val="001C71A8"/>
    <w:rsid w:val="001D0F10"/>
    <w:rsid w:val="001D4B81"/>
    <w:rsid w:val="001D7AC9"/>
    <w:rsid w:val="001D7B26"/>
    <w:rsid w:val="001E285C"/>
    <w:rsid w:val="001E3808"/>
    <w:rsid w:val="001E5C52"/>
    <w:rsid w:val="001E7493"/>
    <w:rsid w:val="001E7950"/>
    <w:rsid w:val="001F198E"/>
    <w:rsid w:val="001F631A"/>
    <w:rsid w:val="001F666E"/>
    <w:rsid w:val="001F68A3"/>
    <w:rsid w:val="001F70DB"/>
    <w:rsid w:val="001F7833"/>
    <w:rsid w:val="002006D7"/>
    <w:rsid w:val="00202E7B"/>
    <w:rsid w:val="002052C0"/>
    <w:rsid w:val="002104B6"/>
    <w:rsid w:val="0021629B"/>
    <w:rsid w:val="00216D6B"/>
    <w:rsid w:val="0022041E"/>
    <w:rsid w:val="00221568"/>
    <w:rsid w:val="00221CD0"/>
    <w:rsid w:val="00223483"/>
    <w:rsid w:val="00223FEF"/>
    <w:rsid w:val="00224AFA"/>
    <w:rsid w:val="00224BA8"/>
    <w:rsid w:val="00225232"/>
    <w:rsid w:val="00225323"/>
    <w:rsid w:val="00226F42"/>
    <w:rsid w:val="0022735C"/>
    <w:rsid w:val="0022796A"/>
    <w:rsid w:val="002315C3"/>
    <w:rsid w:val="00235B48"/>
    <w:rsid w:val="0023752B"/>
    <w:rsid w:val="002407D9"/>
    <w:rsid w:val="002512DD"/>
    <w:rsid w:val="002518F4"/>
    <w:rsid w:val="00253E0D"/>
    <w:rsid w:val="00254051"/>
    <w:rsid w:val="0025762E"/>
    <w:rsid w:val="00262345"/>
    <w:rsid w:val="002656A1"/>
    <w:rsid w:val="00265997"/>
    <w:rsid w:val="00267C6A"/>
    <w:rsid w:val="002731B7"/>
    <w:rsid w:val="00274C72"/>
    <w:rsid w:val="002760D7"/>
    <w:rsid w:val="00276B73"/>
    <w:rsid w:val="00276D2C"/>
    <w:rsid w:val="00276FC3"/>
    <w:rsid w:val="002779D1"/>
    <w:rsid w:val="00277BFB"/>
    <w:rsid w:val="00281886"/>
    <w:rsid w:val="00281968"/>
    <w:rsid w:val="00286D88"/>
    <w:rsid w:val="0028770F"/>
    <w:rsid w:val="002901D8"/>
    <w:rsid w:val="002915DF"/>
    <w:rsid w:val="00291D3B"/>
    <w:rsid w:val="0029348C"/>
    <w:rsid w:val="002937F4"/>
    <w:rsid w:val="00296480"/>
    <w:rsid w:val="002A489F"/>
    <w:rsid w:val="002A5CD0"/>
    <w:rsid w:val="002B00D1"/>
    <w:rsid w:val="002B35AD"/>
    <w:rsid w:val="002B5CCD"/>
    <w:rsid w:val="002B794C"/>
    <w:rsid w:val="002C0B06"/>
    <w:rsid w:val="002C2F8D"/>
    <w:rsid w:val="002C324A"/>
    <w:rsid w:val="002C3B54"/>
    <w:rsid w:val="002C3EAE"/>
    <w:rsid w:val="002C4DD5"/>
    <w:rsid w:val="002C50F9"/>
    <w:rsid w:val="002C5612"/>
    <w:rsid w:val="002C5AE0"/>
    <w:rsid w:val="002D08D4"/>
    <w:rsid w:val="002D0F52"/>
    <w:rsid w:val="002D287C"/>
    <w:rsid w:val="002D52BD"/>
    <w:rsid w:val="002D7BFA"/>
    <w:rsid w:val="002E1806"/>
    <w:rsid w:val="002E4A09"/>
    <w:rsid w:val="002E4C83"/>
    <w:rsid w:val="002E6CEC"/>
    <w:rsid w:val="002E6D11"/>
    <w:rsid w:val="002E772F"/>
    <w:rsid w:val="002F047E"/>
    <w:rsid w:val="002F19A3"/>
    <w:rsid w:val="002F42D9"/>
    <w:rsid w:val="0030086B"/>
    <w:rsid w:val="00302C8B"/>
    <w:rsid w:val="003043AE"/>
    <w:rsid w:val="003050F2"/>
    <w:rsid w:val="0030593F"/>
    <w:rsid w:val="00306582"/>
    <w:rsid w:val="00306A37"/>
    <w:rsid w:val="00306B89"/>
    <w:rsid w:val="00311B0A"/>
    <w:rsid w:val="003120FF"/>
    <w:rsid w:val="003139D2"/>
    <w:rsid w:val="00315BCE"/>
    <w:rsid w:val="00317244"/>
    <w:rsid w:val="003172FD"/>
    <w:rsid w:val="00317E61"/>
    <w:rsid w:val="00320141"/>
    <w:rsid w:val="0032128F"/>
    <w:rsid w:val="00322C94"/>
    <w:rsid w:val="00326D29"/>
    <w:rsid w:val="00331BF9"/>
    <w:rsid w:val="003335A6"/>
    <w:rsid w:val="003349D8"/>
    <w:rsid w:val="00334D4F"/>
    <w:rsid w:val="00335F51"/>
    <w:rsid w:val="00336651"/>
    <w:rsid w:val="00341067"/>
    <w:rsid w:val="00342A5A"/>
    <w:rsid w:val="00342F03"/>
    <w:rsid w:val="003453A2"/>
    <w:rsid w:val="00345EE1"/>
    <w:rsid w:val="00347BAD"/>
    <w:rsid w:val="003501A4"/>
    <w:rsid w:val="00350911"/>
    <w:rsid w:val="00351D52"/>
    <w:rsid w:val="00353CD8"/>
    <w:rsid w:val="003546A7"/>
    <w:rsid w:val="003555E9"/>
    <w:rsid w:val="00362444"/>
    <w:rsid w:val="00363D3F"/>
    <w:rsid w:val="00367EE9"/>
    <w:rsid w:val="00371021"/>
    <w:rsid w:val="00371986"/>
    <w:rsid w:val="003733A5"/>
    <w:rsid w:val="003753BE"/>
    <w:rsid w:val="003753ED"/>
    <w:rsid w:val="003765D8"/>
    <w:rsid w:val="00377637"/>
    <w:rsid w:val="00380710"/>
    <w:rsid w:val="00380D53"/>
    <w:rsid w:val="003818A7"/>
    <w:rsid w:val="00385C0C"/>
    <w:rsid w:val="00387BAB"/>
    <w:rsid w:val="00390C9D"/>
    <w:rsid w:val="003919D8"/>
    <w:rsid w:val="00393242"/>
    <w:rsid w:val="00395231"/>
    <w:rsid w:val="003A19FB"/>
    <w:rsid w:val="003A1B0D"/>
    <w:rsid w:val="003A59B8"/>
    <w:rsid w:val="003A5ED7"/>
    <w:rsid w:val="003B0784"/>
    <w:rsid w:val="003B22D6"/>
    <w:rsid w:val="003B2407"/>
    <w:rsid w:val="003B4299"/>
    <w:rsid w:val="003B440E"/>
    <w:rsid w:val="003B51E6"/>
    <w:rsid w:val="003B589E"/>
    <w:rsid w:val="003B6BAC"/>
    <w:rsid w:val="003C29D1"/>
    <w:rsid w:val="003D2D2F"/>
    <w:rsid w:val="003D549F"/>
    <w:rsid w:val="003D6094"/>
    <w:rsid w:val="003E1E59"/>
    <w:rsid w:val="003E3F7C"/>
    <w:rsid w:val="003E4054"/>
    <w:rsid w:val="003E4F3A"/>
    <w:rsid w:val="003E4FDE"/>
    <w:rsid w:val="003E5B75"/>
    <w:rsid w:val="003F1974"/>
    <w:rsid w:val="003F3B5A"/>
    <w:rsid w:val="003F4AF2"/>
    <w:rsid w:val="003F5EA8"/>
    <w:rsid w:val="003F6566"/>
    <w:rsid w:val="003F6DC0"/>
    <w:rsid w:val="00404708"/>
    <w:rsid w:val="00404EF4"/>
    <w:rsid w:val="004125E6"/>
    <w:rsid w:val="004133E4"/>
    <w:rsid w:val="00414F53"/>
    <w:rsid w:val="00415E0A"/>
    <w:rsid w:val="00416051"/>
    <w:rsid w:val="004174FC"/>
    <w:rsid w:val="00420FA3"/>
    <w:rsid w:val="00421F83"/>
    <w:rsid w:val="00425C17"/>
    <w:rsid w:val="00427278"/>
    <w:rsid w:val="00427C38"/>
    <w:rsid w:val="004309F6"/>
    <w:rsid w:val="00431BC9"/>
    <w:rsid w:val="00440EBB"/>
    <w:rsid w:val="00441755"/>
    <w:rsid w:val="004424A1"/>
    <w:rsid w:val="00446858"/>
    <w:rsid w:val="00450A26"/>
    <w:rsid w:val="004518C5"/>
    <w:rsid w:val="00452045"/>
    <w:rsid w:val="00453E39"/>
    <w:rsid w:val="00454A27"/>
    <w:rsid w:val="00460657"/>
    <w:rsid w:val="00460750"/>
    <w:rsid w:val="00461DE8"/>
    <w:rsid w:val="00463AC8"/>
    <w:rsid w:val="00473665"/>
    <w:rsid w:val="00476447"/>
    <w:rsid w:val="00483994"/>
    <w:rsid w:val="004848FF"/>
    <w:rsid w:val="00485093"/>
    <w:rsid w:val="00490B25"/>
    <w:rsid w:val="004964D7"/>
    <w:rsid w:val="004A1C34"/>
    <w:rsid w:val="004A37DE"/>
    <w:rsid w:val="004A3EF0"/>
    <w:rsid w:val="004A5250"/>
    <w:rsid w:val="004A58E3"/>
    <w:rsid w:val="004A71B3"/>
    <w:rsid w:val="004B08AA"/>
    <w:rsid w:val="004B12EE"/>
    <w:rsid w:val="004B323F"/>
    <w:rsid w:val="004B4C83"/>
    <w:rsid w:val="004B56B1"/>
    <w:rsid w:val="004B5A48"/>
    <w:rsid w:val="004B79A0"/>
    <w:rsid w:val="004C00EE"/>
    <w:rsid w:val="004C0BCC"/>
    <w:rsid w:val="004C0E44"/>
    <w:rsid w:val="004C1528"/>
    <w:rsid w:val="004C249C"/>
    <w:rsid w:val="004C3ABA"/>
    <w:rsid w:val="004D15F9"/>
    <w:rsid w:val="004D1AAD"/>
    <w:rsid w:val="004D3822"/>
    <w:rsid w:val="004D43D6"/>
    <w:rsid w:val="004D7684"/>
    <w:rsid w:val="004E15EF"/>
    <w:rsid w:val="004E2743"/>
    <w:rsid w:val="004E775E"/>
    <w:rsid w:val="004F1332"/>
    <w:rsid w:val="004F4E8E"/>
    <w:rsid w:val="004F5813"/>
    <w:rsid w:val="004F6E26"/>
    <w:rsid w:val="005005BE"/>
    <w:rsid w:val="0050163C"/>
    <w:rsid w:val="00502BE6"/>
    <w:rsid w:val="00504F34"/>
    <w:rsid w:val="00504FF0"/>
    <w:rsid w:val="00505436"/>
    <w:rsid w:val="005062A1"/>
    <w:rsid w:val="00510452"/>
    <w:rsid w:val="00511A1F"/>
    <w:rsid w:val="0051488F"/>
    <w:rsid w:val="005161E4"/>
    <w:rsid w:val="00524115"/>
    <w:rsid w:val="00525EB2"/>
    <w:rsid w:val="00530F3C"/>
    <w:rsid w:val="00531675"/>
    <w:rsid w:val="00531726"/>
    <w:rsid w:val="00531873"/>
    <w:rsid w:val="00531E83"/>
    <w:rsid w:val="00532AFB"/>
    <w:rsid w:val="005331CC"/>
    <w:rsid w:val="0053565F"/>
    <w:rsid w:val="00535D48"/>
    <w:rsid w:val="00536B06"/>
    <w:rsid w:val="00537226"/>
    <w:rsid w:val="005374C2"/>
    <w:rsid w:val="005375DB"/>
    <w:rsid w:val="0053789B"/>
    <w:rsid w:val="00542B97"/>
    <w:rsid w:val="00543990"/>
    <w:rsid w:val="00543F7C"/>
    <w:rsid w:val="0055304D"/>
    <w:rsid w:val="00553828"/>
    <w:rsid w:val="0055497B"/>
    <w:rsid w:val="00554FF3"/>
    <w:rsid w:val="00560794"/>
    <w:rsid w:val="005616D6"/>
    <w:rsid w:val="0056245E"/>
    <w:rsid w:val="00563E87"/>
    <w:rsid w:val="00566419"/>
    <w:rsid w:val="00570BE8"/>
    <w:rsid w:val="005717F6"/>
    <w:rsid w:val="00572775"/>
    <w:rsid w:val="0057333B"/>
    <w:rsid w:val="00573382"/>
    <w:rsid w:val="00575941"/>
    <w:rsid w:val="00577A20"/>
    <w:rsid w:val="00581FDE"/>
    <w:rsid w:val="0058409A"/>
    <w:rsid w:val="005840B5"/>
    <w:rsid w:val="00584E1B"/>
    <w:rsid w:val="00585535"/>
    <w:rsid w:val="00585784"/>
    <w:rsid w:val="005866C9"/>
    <w:rsid w:val="005903DD"/>
    <w:rsid w:val="00594B56"/>
    <w:rsid w:val="005A1056"/>
    <w:rsid w:val="005A1FD9"/>
    <w:rsid w:val="005A4FB1"/>
    <w:rsid w:val="005A5075"/>
    <w:rsid w:val="005B0C52"/>
    <w:rsid w:val="005B716E"/>
    <w:rsid w:val="005B782D"/>
    <w:rsid w:val="005B7D0F"/>
    <w:rsid w:val="005C086D"/>
    <w:rsid w:val="005C6080"/>
    <w:rsid w:val="005C6CB9"/>
    <w:rsid w:val="005D0313"/>
    <w:rsid w:val="005D16B2"/>
    <w:rsid w:val="005D4A72"/>
    <w:rsid w:val="005D5063"/>
    <w:rsid w:val="005D58F5"/>
    <w:rsid w:val="005D60EC"/>
    <w:rsid w:val="005D6385"/>
    <w:rsid w:val="005D7D7C"/>
    <w:rsid w:val="005E0907"/>
    <w:rsid w:val="005E164A"/>
    <w:rsid w:val="005E37DE"/>
    <w:rsid w:val="005E4149"/>
    <w:rsid w:val="005E462B"/>
    <w:rsid w:val="005E6658"/>
    <w:rsid w:val="005F2A3E"/>
    <w:rsid w:val="005F5B4B"/>
    <w:rsid w:val="005F60D7"/>
    <w:rsid w:val="005F6492"/>
    <w:rsid w:val="005F64A1"/>
    <w:rsid w:val="00601DFB"/>
    <w:rsid w:val="00612D3D"/>
    <w:rsid w:val="0062270B"/>
    <w:rsid w:val="00622ABA"/>
    <w:rsid w:val="00622E34"/>
    <w:rsid w:val="00623650"/>
    <w:rsid w:val="00623B3E"/>
    <w:rsid w:val="00625CA5"/>
    <w:rsid w:val="00626EF3"/>
    <w:rsid w:val="006277D4"/>
    <w:rsid w:val="00632357"/>
    <w:rsid w:val="00634D8E"/>
    <w:rsid w:val="006376CC"/>
    <w:rsid w:val="00637B22"/>
    <w:rsid w:val="00642EC8"/>
    <w:rsid w:val="00644702"/>
    <w:rsid w:val="00644755"/>
    <w:rsid w:val="00644F4E"/>
    <w:rsid w:val="0064694C"/>
    <w:rsid w:val="006479C5"/>
    <w:rsid w:val="0065009F"/>
    <w:rsid w:val="006527CB"/>
    <w:rsid w:val="00654467"/>
    <w:rsid w:val="00655179"/>
    <w:rsid w:val="0065585C"/>
    <w:rsid w:val="00661C6B"/>
    <w:rsid w:val="006621D6"/>
    <w:rsid w:val="006649DC"/>
    <w:rsid w:val="00664C11"/>
    <w:rsid w:val="006651D2"/>
    <w:rsid w:val="00670C4E"/>
    <w:rsid w:val="0067323D"/>
    <w:rsid w:val="00674E5F"/>
    <w:rsid w:val="00675D53"/>
    <w:rsid w:val="0067717E"/>
    <w:rsid w:val="00683723"/>
    <w:rsid w:val="0068412C"/>
    <w:rsid w:val="006902A6"/>
    <w:rsid w:val="00692585"/>
    <w:rsid w:val="00693930"/>
    <w:rsid w:val="006958E8"/>
    <w:rsid w:val="00695C99"/>
    <w:rsid w:val="00697F26"/>
    <w:rsid w:val="006A095E"/>
    <w:rsid w:val="006A26FC"/>
    <w:rsid w:val="006A38C6"/>
    <w:rsid w:val="006A4E88"/>
    <w:rsid w:val="006A53AA"/>
    <w:rsid w:val="006A65F2"/>
    <w:rsid w:val="006B0BB4"/>
    <w:rsid w:val="006B191F"/>
    <w:rsid w:val="006B2C48"/>
    <w:rsid w:val="006B4376"/>
    <w:rsid w:val="006B6504"/>
    <w:rsid w:val="006B72B8"/>
    <w:rsid w:val="006C37D1"/>
    <w:rsid w:val="006C4E42"/>
    <w:rsid w:val="006C76B3"/>
    <w:rsid w:val="006D1E43"/>
    <w:rsid w:val="006D21C8"/>
    <w:rsid w:val="006D3367"/>
    <w:rsid w:val="006D59CB"/>
    <w:rsid w:val="006E13FD"/>
    <w:rsid w:val="006E1D6B"/>
    <w:rsid w:val="006E2D8C"/>
    <w:rsid w:val="006E6056"/>
    <w:rsid w:val="006F0187"/>
    <w:rsid w:val="006F18DD"/>
    <w:rsid w:val="006F257F"/>
    <w:rsid w:val="006F4357"/>
    <w:rsid w:val="006F4F25"/>
    <w:rsid w:val="006F5467"/>
    <w:rsid w:val="006F59FB"/>
    <w:rsid w:val="00700FD3"/>
    <w:rsid w:val="00701B8C"/>
    <w:rsid w:val="00702F7A"/>
    <w:rsid w:val="007052CA"/>
    <w:rsid w:val="0070679A"/>
    <w:rsid w:val="0071059B"/>
    <w:rsid w:val="00711548"/>
    <w:rsid w:val="0071165B"/>
    <w:rsid w:val="00714FBE"/>
    <w:rsid w:val="0072029C"/>
    <w:rsid w:val="00721F23"/>
    <w:rsid w:val="0072207F"/>
    <w:rsid w:val="00723791"/>
    <w:rsid w:val="00724197"/>
    <w:rsid w:val="0072686B"/>
    <w:rsid w:val="00726BA0"/>
    <w:rsid w:val="00727387"/>
    <w:rsid w:val="0073223B"/>
    <w:rsid w:val="0073345E"/>
    <w:rsid w:val="0073457C"/>
    <w:rsid w:val="007350D4"/>
    <w:rsid w:val="00737250"/>
    <w:rsid w:val="007422FB"/>
    <w:rsid w:val="0074689A"/>
    <w:rsid w:val="007504EE"/>
    <w:rsid w:val="00750D1B"/>
    <w:rsid w:val="00751110"/>
    <w:rsid w:val="00754CAE"/>
    <w:rsid w:val="00760528"/>
    <w:rsid w:val="007619AB"/>
    <w:rsid w:val="00761C83"/>
    <w:rsid w:val="007631AF"/>
    <w:rsid w:val="00763340"/>
    <w:rsid w:val="007660E8"/>
    <w:rsid w:val="00771541"/>
    <w:rsid w:val="0077468A"/>
    <w:rsid w:val="007775B6"/>
    <w:rsid w:val="00777666"/>
    <w:rsid w:val="00777877"/>
    <w:rsid w:val="00780B84"/>
    <w:rsid w:val="0078216C"/>
    <w:rsid w:val="0078578F"/>
    <w:rsid w:val="00785FF6"/>
    <w:rsid w:val="00787527"/>
    <w:rsid w:val="00787EFC"/>
    <w:rsid w:val="0079033D"/>
    <w:rsid w:val="007942D6"/>
    <w:rsid w:val="00795C0A"/>
    <w:rsid w:val="007961CB"/>
    <w:rsid w:val="0079766B"/>
    <w:rsid w:val="007A1D0E"/>
    <w:rsid w:val="007A2B10"/>
    <w:rsid w:val="007A3687"/>
    <w:rsid w:val="007A6F80"/>
    <w:rsid w:val="007B1149"/>
    <w:rsid w:val="007B2E45"/>
    <w:rsid w:val="007B2E7C"/>
    <w:rsid w:val="007B32ED"/>
    <w:rsid w:val="007B67A2"/>
    <w:rsid w:val="007B75EF"/>
    <w:rsid w:val="007B7D80"/>
    <w:rsid w:val="007C0890"/>
    <w:rsid w:val="007C20C8"/>
    <w:rsid w:val="007C255C"/>
    <w:rsid w:val="007C5464"/>
    <w:rsid w:val="007D2020"/>
    <w:rsid w:val="007D3BBA"/>
    <w:rsid w:val="007D50F7"/>
    <w:rsid w:val="007D71AF"/>
    <w:rsid w:val="007E0B84"/>
    <w:rsid w:val="007E1CCE"/>
    <w:rsid w:val="007E4EFA"/>
    <w:rsid w:val="007E5272"/>
    <w:rsid w:val="007E5CEC"/>
    <w:rsid w:val="007E5E60"/>
    <w:rsid w:val="007E6022"/>
    <w:rsid w:val="007E6235"/>
    <w:rsid w:val="007F0799"/>
    <w:rsid w:val="007F237A"/>
    <w:rsid w:val="007F33CB"/>
    <w:rsid w:val="007F47D5"/>
    <w:rsid w:val="007F695A"/>
    <w:rsid w:val="00800A0D"/>
    <w:rsid w:val="00800D47"/>
    <w:rsid w:val="00801488"/>
    <w:rsid w:val="00801866"/>
    <w:rsid w:val="00801C10"/>
    <w:rsid w:val="0080212D"/>
    <w:rsid w:val="008026B1"/>
    <w:rsid w:val="00804013"/>
    <w:rsid w:val="00806E32"/>
    <w:rsid w:val="0080773D"/>
    <w:rsid w:val="00807FBE"/>
    <w:rsid w:val="00812122"/>
    <w:rsid w:val="00813D1F"/>
    <w:rsid w:val="008147F1"/>
    <w:rsid w:val="00815766"/>
    <w:rsid w:val="00817BEA"/>
    <w:rsid w:val="00824E5F"/>
    <w:rsid w:val="00836972"/>
    <w:rsid w:val="0083749F"/>
    <w:rsid w:val="008423FC"/>
    <w:rsid w:val="0084259E"/>
    <w:rsid w:val="00844F9C"/>
    <w:rsid w:val="008451E9"/>
    <w:rsid w:val="00845762"/>
    <w:rsid w:val="00846937"/>
    <w:rsid w:val="00846A5F"/>
    <w:rsid w:val="00847626"/>
    <w:rsid w:val="00847E64"/>
    <w:rsid w:val="00852A0A"/>
    <w:rsid w:val="00852C0D"/>
    <w:rsid w:val="00854371"/>
    <w:rsid w:val="00855F4D"/>
    <w:rsid w:val="00856778"/>
    <w:rsid w:val="008606E6"/>
    <w:rsid w:val="00860B94"/>
    <w:rsid w:val="00862533"/>
    <w:rsid w:val="00862D8E"/>
    <w:rsid w:val="00863B4A"/>
    <w:rsid w:val="00864E1F"/>
    <w:rsid w:val="008678C2"/>
    <w:rsid w:val="00872B46"/>
    <w:rsid w:val="00874BF8"/>
    <w:rsid w:val="00875F59"/>
    <w:rsid w:val="008810B4"/>
    <w:rsid w:val="008815FA"/>
    <w:rsid w:val="00881C9B"/>
    <w:rsid w:val="0088666F"/>
    <w:rsid w:val="00890752"/>
    <w:rsid w:val="0089190F"/>
    <w:rsid w:val="00893CB1"/>
    <w:rsid w:val="008964DE"/>
    <w:rsid w:val="00896FD7"/>
    <w:rsid w:val="00897FD3"/>
    <w:rsid w:val="008A363B"/>
    <w:rsid w:val="008A622F"/>
    <w:rsid w:val="008B04E6"/>
    <w:rsid w:val="008B2DEB"/>
    <w:rsid w:val="008B3B05"/>
    <w:rsid w:val="008B3C2A"/>
    <w:rsid w:val="008B4088"/>
    <w:rsid w:val="008B565F"/>
    <w:rsid w:val="008B6A26"/>
    <w:rsid w:val="008B6B2A"/>
    <w:rsid w:val="008B75EA"/>
    <w:rsid w:val="008C1C90"/>
    <w:rsid w:val="008C66F1"/>
    <w:rsid w:val="008C754C"/>
    <w:rsid w:val="008D0688"/>
    <w:rsid w:val="008D22DC"/>
    <w:rsid w:val="008D4107"/>
    <w:rsid w:val="008D4681"/>
    <w:rsid w:val="008E1B1A"/>
    <w:rsid w:val="008E25B3"/>
    <w:rsid w:val="008E2F50"/>
    <w:rsid w:val="008E405B"/>
    <w:rsid w:val="008E46F0"/>
    <w:rsid w:val="008E5282"/>
    <w:rsid w:val="008E66CB"/>
    <w:rsid w:val="008E7D10"/>
    <w:rsid w:val="008F21EB"/>
    <w:rsid w:val="008F318F"/>
    <w:rsid w:val="008F5111"/>
    <w:rsid w:val="008F516F"/>
    <w:rsid w:val="008F5A07"/>
    <w:rsid w:val="008F5FE1"/>
    <w:rsid w:val="008F6219"/>
    <w:rsid w:val="0090537E"/>
    <w:rsid w:val="009061F9"/>
    <w:rsid w:val="00906442"/>
    <w:rsid w:val="00906D98"/>
    <w:rsid w:val="00906DAA"/>
    <w:rsid w:val="009075F1"/>
    <w:rsid w:val="00910B3F"/>
    <w:rsid w:val="00910F22"/>
    <w:rsid w:val="00911BFF"/>
    <w:rsid w:val="00912184"/>
    <w:rsid w:val="00912C6D"/>
    <w:rsid w:val="009133DA"/>
    <w:rsid w:val="00913964"/>
    <w:rsid w:val="00913A3C"/>
    <w:rsid w:val="009166F8"/>
    <w:rsid w:val="00916A7E"/>
    <w:rsid w:val="00920E19"/>
    <w:rsid w:val="009216A5"/>
    <w:rsid w:val="00922A37"/>
    <w:rsid w:val="009246C3"/>
    <w:rsid w:val="009249E3"/>
    <w:rsid w:val="00925378"/>
    <w:rsid w:val="0092587C"/>
    <w:rsid w:val="00927D2D"/>
    <w:rsid w:val="00930132"/>
    <w:rsid w:val="00930A17"/>
    <w:rsid w:val="00931A48"/>
    <w:rsid w:val="00933E4F"/>
    <w:rsid w:val="00934AE3"/>
    <w:rsid w:val="0093666A"/>
    <w:rsid w:val="00936CD8"/>
    <w:rsid w:val="00937A48"/>
    <w:rsid w:val="009403A5"/>
    <w:rsid w:val="00942868"/>
    <w:rsid w:val="00943829"/>
    <w:rsid w:val="0094499A"/>
    <w:rsid w:val="00945BBC"/>
    <w:rsid w:val="00947586"/>
    <w:rsid w:val="00950A84"/>
    <w:rsid w:val="00950DE2"/>
    <w:rsid w:val="00952086"/>
    <w:rsid w:val="00952D23"/>
    <w:rsid w:val="009554C2"/>
    <w:rsid w:val="00955DDB"/>
    <w:rsid w:val="00956773"/>
    <w:rsid w:val="00957776"/>
    <w:rsid w:val="00960A0F"/>
    <w:rsid w:val="00965DA9"/>
    <w:rsid w:val="009673AD"/>
    <w:rsid w:val="0096750B"/>
    <w:rsid w:val="00967B8E"/>
    <w:rsid w:val="00967DAA"/>
    <w:rsid w:val="00967F0A"/>
    <w:rsid w:val="00972ED0"/>
    <w:rsid w:val="00973BF1"/>
    <w:rsid w:val="00981429"/>
    <w:rsid w:val="009815E2"/>
    <w:rsid w:val="00984D44"/>
    <w:rsid w:val="009909E8"/>
    <w:rsid w:val="00990AD9"/>
    <w:rsid w:val="009931CA"/>
    <w:rsid w:val="00995135"/>
    <w:rsid w:val="00996ED5"/>
    <w:rsid w:val="009A16BE"/>
    <w:rsid w:val="009A2AB2"/>
    <w:rsid w:val="009A5FC4"/>
    <w:rsid w:val="009A6296"/>
    <w:rsid w:val="009A758E"/>
    <w:rsid w:val="009B3BA1"/>
    <w:rsid w:val="009B5408"/>
    <w:rsid w:val="009B7ADF"/>
    <w:rsid w:val="009B7C72"/>
    <w:rsid w:val="009C2967"/>
    <w:rsid w:val="009C2D6B"/>
    <w:rsid w:val="009C3C32"/>
    <w:rsid w:val="009C3F87"/>
    <w:rsid w:val="009C4586"/>
    <w:rsid w:val="009D2F6F"/>
    <w:rsid w:val="009D3C28"/>
    <w:rsid w:val="009D568B"/>
    <w:rsid w:val="009D673B"/>
    <w:rsid w:val="009D6D37"/>
    <w:rsid w:val="009D6E1C"/>
    <w:rsid w:val="009D6F4E"/>
    <w:rsid w:val="009E014B"/>
    <w:rsid w:val="009E0304"/>
    <w:rsid w:val="009E0596"/>
    <w:rsid w:val="009E05BC"/>
    <w:rsid w:val="009E6C0C"/>
    <w:rsid w:val="009E79CE"/>
    <w:rsid w:val="009F0BF7"/>
    <w:rsid w:val="009F0F46"/>
    <w:rsid w:val="009F31DD"/>
    <w:rsid w:val="009F3718"/>
    <w:rsid w:val="009F520D"/>
    <w:rsid w:val="009F5D74"/>
    <w:rsid w:val="009F685F"/>
    <w:rsid w:val="009F74AB"/>
    <w:rsid w:val="009F74E8"/>
    <w:rsid w:val="00A0116B"/>
    <w:rsid w:val="00A0248E"/>
    <w:rsid w:val="00A029C5"/>
    <w:rsid w:val="00A04C6C"/>
    <w:rsid w:val="00A069B9"/>
    <w:rsid w:val="00A06D0A"/>
    <w:rsid w:val="00A13BBB"/>
    <w:rsid w:val="00A14782"/>
    <w:rsid w:val="00A15C1A"/>
    <w:rsid w:val="00A15E3B"/>
    <w:rsid w:val="00A16B88"/>
    <w:rsid w:val="00A172BC"/>
    <w:rsid w:val="00A209A2"/>
    <w:rsid w:val="00A2130F"/>
    <w:rsid w:val="00A226B5"/>
    <w:rsid w:val="00A24A56"/>
    <w:rsid w:val="00A24FDC"/>
    <w:rsid w:val="00A252C8"/>
    <w:rsid w:val="00A25303"/>
    <w:rsid w:val="00A271AD"/>
    <w:rsid w:val="00A27AFC"/>
    <w:rsid w:val="00A27CEE"/>
    <w:rsid w:val="00A341D1"/>
    <w:rsid w:val="00A3626C"/>
    <w:rsid w:val="00A3726E"/>
    <w:rsid w:val="00A37CD4"/>
    <w:rsid w:val="00A37ECA"/>
    <w:rsid w:val="00A407D2"/>
    <w:rsid w:val="00A423CF"/>
    <w:rsid w:val="00A50730"/>
    <w:rsid w:val="00A5087D"/>
    <w:rsid w:val="00A522BC"/>
    <w:rsid w:val="00A5582D"/>
    <w:rsid w:val="00A607E8"/>
    <w:rsid w:val="00A61AAB"/>
    <w:rsid w:val="00A62937"/>
    <w:rsid w:val="00A62AEA"/>
    <w:rsid w:val="00A63774"/>
    <w:rsid w:val="00A647C3"/>
    <w:rsid w:val="00A65137"/>
    <w:rsid w:val="00A6521D"/>
    <w:rsid w:val="00A65FC0"/>
    <w:rsid w:val="00A706AA"/>
    <w:rsid w:val="00A7290B"/>
    <w:rsid w:val="00A771B4"/>
    <w:rsid w:val="00A83A95"/>
    <w:rsid w:val="00A870C4"/>
    <w:rsid w:val="00A87756"/>
    <w:rsid w:val="00A92FBE"/>
    <w:rsid w:val="00A94A91"/>
    <w:rsid w:val="00AA140D"/>
    <w:rsid w:val="00AA160B"/>
    <w:rsid w:val="00AA27C4"/>
    <w:rsid w:val="00AA3823"/>
    <w:rsid w:val="00AA5AA5"/>
    <w:rsid w:val="00AB0900"/>
    <w:rsid w:val="00AB118F"/>
    <w:rsid w:val="00AB1D22"/>
    <w:rsid w:val="00AB351B"/>
    <w:rsid w:val="00AC27C4"/>
    <w:rsid w:val="00AC415C"/>
    <w:rsid w:val="00AC4669"/>
    <w:rsid w:val="00AD4541"/>
    <w:rsid w:val="00AD4C88"/>
    <w:rsid w:val="00AD5109"/>
    <w:rsid w:val="00AD79E7"/>
    <w:rsid w:val="00AE0C3C"/>
    <w:rsid w:val="00AE1A21"/>
    <w:rsid w:val="00AE27F2"/>
    <w:rsid w:val="00AE2828"/>
    <w:rsid w:val="00AE4A92"/>
    <w:rsid w:val="00AF03AB"/>
    <w:rsid w:val="00AF2F11"/>
    <w:rsid w:val="00AF3BF0"/>
    <w:rsid w:val="00B03E6F"/>
    <w:rsid w:val="00B048B6"/>
    <w:rsid w:val="00B048BA"/>
    <w:rsid w:val="00B05770"/>
    <w:rsid w:val="00B064BD"/>
    <w:rsid w:val="00B06B4F"/>
    <w:rsid w:val="00B10832"/>
    <w:rsid w:val="00B12672"/>
    <w:rsid w:val="00B12BB1"/>
    <w:rsid w:val="00B14326"/>
    <w:rsid w:val="00B16238"/>
    <w:rsid w:val="00B21DA6"/>
    <w:rsid w:val="00B22A79"/>
    <w:rsid w:val="00B24C85"/>
    <w:rsid w:val="00B26762"/>
    <w:rsid w:val="00B27CA4"/>
    <w:rsid w:val="00B30542"/>
    <w:rsid w:val="00B30AED"/>
    <w:rsid w:val="00B32A54"/>
    <w:rsid w:val="00B40EA8"/>
    <w:rsid w:val="00B41491"/>
    <w:rsid w:val="00B419FA"/>
    <w:rsid w:val="00B440BF"/>
    <w:rsid w:val="00B45B86"/>
    <w:rsid w:val="00B46328"/>
    <w:rsid w:val="00B51993"/>
    <w:rsid w:val="00B5247B"/>
    <w:rsid w:val="00B53CB0"/>
    <w:rsid w:val="00B60429"/>
    <w:rsid w:val="00B645CC"/>
    <w:rsid w:val="00B650EF"/>
    <w:rsid w:val="00B651C4"/>
    <w:rsid w:val="00B71CE0"/>
    <w:rsid w:val="00B72064"/>
    <w:rsid w:val="00B722A7"/>
    <w:rsid w:val="00B73A7D"/>
    <w:rsid w:val="00B74A87"/>
    <w:rsid w:val="00B7554F"/>
    <w:rsid w:val="00B75A2B"/>
    <w:rsid w:val="00B76E10"/>
    <w:rsid w:val="00B80209"/>
    <w:rsid w:val="00B81A8F"/>
    <w:rsid w:val="00B8388F"/>
    <w:rsid w:val="00B84158"/>
    <w:rsid w:val="00B85598"/>
    <w:rsid w:val="00B922C6"/>
    <w:rsid w:val="00B94A8A"/>
    <w:rsid w:val="00B950D9"/>
    <w:rsid w:val="00B95C13"/>
    <w:rsid w:val="00B969C1"/>
    <w:rsid w:val="00BA28CD"/>
    <w:rsid w:val="00BA5A10"/>
    <w:rsid w:val="00BB1A4D"/>
    <w:rsid w:val="00BB22C6"/>
    <w:rsid w:val="00BB2383"/>
    <w:rsid w:val="00BB3331"/>
    <w:rsid w:val="00BB44E2"/>
    <w:rsid w:val="00BB5182"/>
    <w:rsid w:val="00BB5951"/>
    <w:rsid w:val="00BB740D"/>
    <w:rsid w:val="00BB7FE1"/>
    <w:rsid w:val="00BC0ACF"/>
    <w:rsid w:val="00BC2CF2"/>
    <w:rsid w:val="00BC5E18"/>
    <w:rsid w:val="00BC6C0F"/>
    <w:rsid w:val="00BC73E5"/>
    <w:rsid w:val="00BD0CA8"/>
    <w:rsid w:val="00BD0E6B"/>
    <w:rsid w:val="00BD1400"/>
    <w:rsid w:val="00BD2EB2"/>
    <w:rsid w:val="00BD3EE4"/>
    <w:rsid w:val="00BE3074"/>
    <w:rsid w:val="00BE4A62"/>
    <w:rsid w:val="00BE4DCD"/>
    <w:rsid w:val="00BE54B3"/>
    <w:rsid w:val="00BE6098"/>
    <w:rsid w:val="00BE7466"/>
    <w:rsid w:val="00BF0E90"/>
    <w:rsid w:val="00BF1C17"/>
    <w:rsid w:val="00BF502E"/>
    <w:rsid w:val="00BF6187"/>
    <w:rsid w:val="00BF6AA7"/>
    <w:rsid w:val="00BF6C2B"/>
    <w:rsid w:val="00C00AAD"/>
    <w:rsid w:val="00C032E2"/>
    <w:rsid w:val="00C03ACA"/>
    <w:rsid w:val="00C04913"/>
    <w:rsid w:val="00C04B40"/>
    <w:rsid w:val="00C053CB"/>
    <w:rsid w:val="00C06E77"/>
    <w:rsid w:val="00C06F80"/>
    <w:rsid w:val="00C115DC"/>
    <w:rsid w:val="00C139DF"/>
    <w:rsid w:val="00C14F51"/>
    <w:rsid w:val="00C176C7"/>
    <w:rsid w:val="00C20DB5"/>
    <w:rsid w:val="00C2123B"/>
    <w:rsid w:val="00C22BDF"/>
    <w:rsid w:val="00C23D06"/>
    <w:rsid w:val="00C2694C"/>
    <w:rsid w:val="00C32B0E"/>
    <w:rsid w:val="00C32E60"/>
    <w:rsid w:val="00C3629A"/>
    <w:rsid w:val="00C37DA2"/>
    <w:rsid w:val="00C41FBD"/>
    <w:rsid w:val="00C42BF5"/>
    <w:rsid w:val="00C43AD2"/>
    <w:rsid w:val="00C43FD7"/>
    <w:rsid w:val="00C44634"/>
    <w:rsid w:val="00C4495D"/>
    <w:rsid w:val="00C45346"/>
    <w:rsid w:val="00C456FC"/>
    <w:rsid w:val="00C474CC"/>
    <w:rsid w:val="00C50175"/>
    <w:rsid w:val="00C517B5"/>
    <w:rsid w:val="00C57751"/>
    <w:rsid w:val="00C60855"/>
    <w:rsid w:val="00C630FF"/>
    <w:rsid w:val="00C708EA"/>
    <w:rsid w:val="00C7098A"/>
    <w:rsid w:val="00C7171B"/>
    <w:rsid w:val="00C721E1"/>
    <w:rsid w:val="00C72985"/>
    <w:rsid w:val="00C73945"/>
    <w:rsid w:val="00C775CE"/>
    <w:rsid w:val="00C80515"/>
    <w:rsid w:val="00C82159"/>
    <w:rsid w:val="00C82D3B"/>
    <w:rsid w:val="00C844A5"/>
    <w:rsid w:val="00C85A1E"/>
    <w:rsid w:val="00C8772A"/>
    <w:rsid w:val="00C87869"/>
    <w:rsid w:val="00C87BB0"/>
    <w:rsid w:val="00CA0857"/>
    <w:rsid w:val="00CA0C81"/>
    <w:rsid w:val="00CA13A7"/>
    <w:rsid w:val="00CA41DB"/>
    <w:rsid w:val="00CA62D2"/>
    <w:rsid w:val="00CA65CF"/>
    <w:rsid w:val="00CA69D7"/>
    <w:rsid w:val="00CA6C2F"/>
    <w:rsid w:val="00CB14AE"/>
    <w:rsid w:val="00CB20DF"/>
    <w:rsid w:val="00CB22FF"/>
    <w:rsid w:val="00CB232A"/>
    <w:rsid w:val="00CB4DA2"/>
    <w:rsid w:val="00CB53BD"/>
    <w:rsid w:val="00CB7E82"/>
    <w:rsid w:val="00CC3E0A"/>
    <w:rsid w:val="00CC499F"/>
    <w:rsid w:val="00CC4CB6"/>
    <w:rsid w:val="00CC7478"/>
    <w:rsid w:val="00CC78F8"/>
    <w:rsid w:val="00CD037D"/>
    <w:rsid w:val="00CD4E89"/>
    <w:rsid w:val="00CD5C57"/>
    <w:rsid w:val="00CD723F"/>
    <w:rsid w:val="00CD770D"/>
    <w:rsid w:val="00CD7CD4"/>
    <w:rsid w:val="00CE0F87"/>
    <w:rsid w:val="00CE44C6"/>
    <w:rsid w:val="00CE61C7"/>
    <w:rsid w:val="00CF20DB"/>
    <w:rsid w:val="00CF305D"/>
    <w:rsid w:val="00CF3E99"/>
    <w:rsid w:val="00CF5CA1"/>
    <w:rsid w:val="00D0256F"/>
    <w:rsid w:val="00D04074"/>
    <w:rsid w:val="00D04638"/>
    <w:rsid w:val="00D0491D"/>
    <w:rsid w:val="00D0520B"/>
    <w:rsid w:val="00D06882"/>
    <w:rsid w:val="00D07248"/>
    <w:rsid w:val="00D07B84"/>
    <w:rsid w:val="00D11BA4"/>
    <w:rsid w:val="00D11EA4"/>
    <w:rsid w:val="00D1306C"/>
    <w:rsid w:val="00D14256"/>
    <w:rsid w:val="00D16ECF"/>
    <w:rsid w:val="00D20C54"/>
    <w:rsid w:val="00D2148B"/>
    <w:rsid w:val="00D2209D"/>
    <w:rsid w:val="00D314A2"/>
    <w:rsid w:val="00D31D58"/>
    <w:rsid w:val="00D34890"/>
    <w:rsid w:val="00D353F2"/>
    <w:rsid w:val="00D4008B"/>
    <w:rsid w:val="00D4016B"/>
    <w:rsid w:val="00D41514"/>
    <w:rsid w:val="00D41E4B"/>
    <w:rsid w:val="00D42CA3"/>
    <w:rsid w:val="00D450A9"/>
    <w:rsid w:val="00D4606F"/>
    <w:rsid w:val="00D46B1F"/>
    <w:rsid w:val="00D46D14"/>
    <w:rsid w:val="00D4753F"/>
    <w:rsid w:val="00D50A2F"/>
    <w:rsid w:val="00D50FCD"/>
    <w:rsid w:val="00D51916"/>
    <w:rsid w:val="00D523E5"/>
    <w:rsid w:val="00D52D39"/>
    <w:rsid w:val="00D52E34"/>
    <w:rsid w:val="00D544FF"/>
    <w:rsid w:val="00D54872"/>
    <w:rsid w:val="00D57D47"/>
    <w:rsid w:val="00D6466A"/>
    <w:rsid w:val="00D64817"/>
    <w:rsid w:val="00D7060F"/>
    <w:rsid w:val="00D71581"/>
    <w:rsid w:val="00D72549"/>
    <w:rsid w:val="00D72AA0"/>
    <w:rsid w:val="00D74C66"/>
    <w:rsid w:val="00D74D09"/>
    <w:rsid w:val="00D764EB"/>
    <w:rsid w:val="00D7792B"/>
    <w:rsid w:val="00D82729"/>
    <w:rsid w:val="00D82CF7"/>
    <w:rsid w:val="00D8318B"/>
    <w:rsid w:val="00D83D42"/>
    <w:rsid w:val="00D85CF7"/>
    <w:rsid w:val="00D85FB0"/>
    <w:rsid w:val="00D864B7"/>
    <w:rsid w:val="00D866A9"/>
    <w:rsid w:val="00D86EFA"/>
    <w:rsid w:val="00D946FD"/>
    <w:rsid w:val="00D9688C"/>
    <w:rsid w:val="00DA00E5"/>
    <w:rsid w:val="00DA024C"/>
    <w:rsid w:val="00DA25E1"/>
    <w:rsid w:val="00DA2AAD"/>
    <w:rsid w:val="00DA6169"/>
    <w:rsid w:val="00DA773E"/>
    <w:rsid w:val="00DB0279"/>
    <w:rsid w:val="00DB0D6F"/>
    <w:rsid w:val="00DB17AE"/>
    <w:rsid w:val="00DB22BB"/>
    <w:rsid w:val="00DB2586"/>
    <w:rsid w:val="00DB2FDA"/>
    <w:rsid w:val="00DB4D97"/>
    <w:rsid w:val="00DB5631"/>
    <w:rsid w:val="00DC0BB9"/>
    <w:rsid w:val="00DC1E54"/>
    <w:rsid w:val="00DC3990"/>
    <w:rsid w:val="00DC5D03"/>
    <w:rsid w:val="00DC6F45"/>
    <w:rsid w:val="00DC7C50"/>
    <w:rsid w:val="00DC7E98"/>
    <w:rsid w:val="00DD3C1E"/>
    <w:rsid w:val="00DD5383"/>
    <w:rsid w:val="00DE5B40"/>
    <w:rsid w:val="00DE628B"/>
    <w:rsid w:val="00DE77AB"/>
    <w:rsid w:val="00DF183C"/>
    <w:rsid w:val="00DF1A0D"/>
    <w:rsid w:val="00DF2B18"/>
    <w:rsid w:val="00DF3049"/>
    <w:rsid w:val="00DF6D3D"/>
    <w:rsid w:val="00E02B8F"/>
    <w:rsid w:val="00E044CE"/>
    <w:rsid w:val="00E051FB"/>
    <w:rsid w:val="00E05784"/>
    <w:rsid w:val="00E0578F"/>
    <w:rsid w:val="00E10D2B"/>
    <w:rsid w:val="00E127C0"/>
    <w:rsid w:val="00E12FB7"/>
    <w:rsid w:val="00E13581"/>
    <w:rsid w:val="00E151E1"/>
    <w:rsid w:val="00E161A3"/>
    <w:rsid w:val="00E166F5"/>
    <w:rsid w:val="00E16E9B"/>
    <w:rsid w:val="00E17EBE"/>
    <w:rsid w:val="00E204A3"/>
    <w:rsid w:val="00E2673D"/>
    <w:rsid w:val="00E31360"/>
    <w:rsid w:val="00E333FF"/>
    <w:rsid w:val="00E34303"/>
    <w:rsid w:val="00E357A5"/>
    <w:rsid w:val="00E3789C"/>
    <w:rsid w:val="00E40139"/>
    <w:rsid w:val="00E4364C"/>
    <w:rsid w:val="00E43829"/>
    <w:rsid w:val="00E46E60"/>
    <w:rsid w:val="00E4756F"/>
    <w:rsid w:val="00E53E92"/>
    <w:rsid w:val="00E56D7B"/>
    <w:rsid w:val="00E5733A"/>
    <w:rsid w:val="00E631F5"/>
    <w:rsid w:val="00E6350E"/>
    <w:rsid w:val="00E64D51"/>
    <w:rsid w:val="00E67F87"/>
    <w:rsid w:val="00E711C9"/>
    <w:rsid w:val="00E73935"/>
    <w:rsid w:val="00E7416B"/>
    <w:rsid w:val="00E74419"/>
    <w:rsid w:val="00E80ABC"/>
    <w:rsid w:val="00E82D3D"/>
    <w:rsid w:val="00E83F3C"/>
    <w:rsid w:val="00E859C2"/>
    <w:rsid w:val="00E90189"/>
    <w:rsid w:val="00E95A06"/>
    <w:rsid w:val="00EA32ED"/>
    <w:rsid w:val="00EA344E"/>
    <w:rsid w:val="00EA63A8"/>
    <w:rsid w:val="00EA6872"/>
    <w:rsid w:val="00EB2EA7"/>
    <w:rsid w:val="00EB3806"/>
    <w:rsid w:val="00EB38E4"/>
    <w:rsid w:val="00EB3F5E"/>
    <w:rsid w:val="00EB4D56"/>
    <w:rsid w:val="00EB5293"/>
    <w:rsid w:val="00EB5335"/>
    <w:rsid w:val="00EB6286"/>
    <w:rsid w:val="00EC07C1"/>
    <w:rsid w:val="00EC30A8"/>
    <w:rsid w:val="00EC4DFE"/>
    <w:rsid w:val="00EC63AC"/>
    <w:rsid w:val="00EC7353"/>
    <w:rsid w:val="00ED1D21"/>
    <w:rsid w:val="00ED28A5"/>
    <w:rsid w:val="00ED371C"/>
    <w:rsid w:val="00ED674B"/>
    <w:rsid w:val="00EE0F6C"/>
    <w:rsid w:val="00EE19CD"/>
    <w:rsid w:val="00EE35AC"/>
    <w:rsid w:val="00EE44CD"/>
    <w:rsid w:val="00EE4BBE"/>
    <w:rsid w:val="00EE7C64"/>
    <w:rsid w:val="00EF47A4"/>
    <w:rsid w:val="00EF4D94"/>
    <w:rsid w:val="00EF6EB7"/>
    <w:rsid w:val="00EF7858"/>
    <w:rsid w:val="00F00632"/>
    <w:rsid w:val="00F00C9E"/>
    <w:rsid w:val="00F02247"/>
    <w:rsid w:val="00F02BD3"/>
    <w:rsid w:val="00F04757"/>
    <w:rsid w:val="00F05098"/>
    <w:rsid w:val="00F057B5"/>
    <w:rsid w:val="00F06169"/>
    <w:rsid w:val="00F06C7F"/>
    <w:rsid w:val="00F1023B"/>
    <w:rsid w:val="00F13DD3"/>
    <w:rsid w:val="00F15683"/>
    <w:rsid w:val="00F16161"/>
    <w:rsid w:val="00F16D23"/>
    <w:rsid w:val="00F17554"/>
    <w:rsid w:val="00F211A4"/>
    <w:rsid w:val="00F21ABD"/>
    <w:rsid w:val="00F21F6A"/>
    <w:rsid w:val="00F2216C"/>
    <w:rsid w:val="00F24198"/>
    <w:rsid w:val="00F26B2D"/>
    <w:rsid w:val="00F31839"/>
    <w:rsid w:val="00F319EB"/>
    <w:rsid w:val="00F31D76"/>
    <w:rsid w:val="00F32A5D"/>
    <w:rsid w:val="00F3381A"/>
    <w:rsid w:val="00F348AF"/>
    <w:rsid w:val="00F35FF0"/>
    <w:rsid w:val="00F360D2"/>
    <w:rsid w:val="00F44A31"/>
    <w:rsid w:val="00F4692B"/>
    <w:rsid w:val="00F46D69"/>
    <w:rsid w:val="00F46F29"/>
    <w:rsid w:val="00F47BED"/>
    <w:rsid w:val="00F47C55"/>
    <w:rsid w:val="00F50FB0"/>
    <w:rsid w:val="00F520A3"/>
    <w:rsid w:val="00F54187"/>
    <w:rsid w:val="00F56B35"/>
    <w:rsid w:val="00F571C6"/>
    <w:rsid w:val="00F57F75"/>
    <w:rsid w:val="00F6151D"/>
    <w:rsid w:val="00F66D46"/>
    <w:rsid w:val="00F67F8E"/>
    <w:rsid w:val="00F70BB3"/>
    <w:rsid w:val="00F7266D"/>
    <w:rsid w:val="00F74059"/>
    <w:rsid w:val="00F74896"/>
    <w:rsid w:val="00F755A1"/>
    <w:rsid w:val="00F770A4"/>
    <w:rsid w:val="00F774D4"/>
    <w:rsid w:val="00F7772A"/>
    <w:rsid w:val="00F77F3F"/>
    <w:rsid w:val="00F77FE9"/>
    <w:rsid w:val="00F800B2"/>
    <w:rsid w:val="00F80AFD"/>
    <w:rsid w:val="00F81544"/>
    <w:rsid w:val="00F86B70"/>
    <w:rsid w:val="00F873EC"/>
    <w:rsid w:val="00F916B6"/>
    <w:rsid w:val="00F924DF"/>
    <w:rsid w:val="00F94130"/>
    <w:rsid w:val="00FA19A7"/>
    <w:rsid w:val="00FA1BA8"/>
    <w:rsid w:val="00FA26DC"/>
    <w:rsid w:val="00FA65E8"/>
    <w:rsid w:val="00FA6CBF"/>
    <w:rsid w:val="00FB6099"/>
    <w:rsid w:val="00FB6C4A"/>
    <w:rsid w:val="00FB72ED"/>
    <w:rsid w:val="00FC0A1C"/>
    <w:rsid w:val="00FC1D44"/>
    <w:rsid w:val="00FC31C7"/>
    <w:rsid w:val="00FC3298"/>
    <w:rsid w:val="00FC37B5"/>
    <w:rsid w:val="00FC3EBC"/>
    <w:rsid w:val="00FC69A6"/>
    <w:rsid w:val="00FC6E17"/>
    <w:rsid w:val="00FD7279"/>
    <w:rsid w:val="00FD750B"/>
    <w:rsid w:val="00FD7602"/>
    <w:rsid w:val="00FD7685"/>
    <w:rsid w:val="00FE15DC"/>
    <w:rsid w:val="00FE374B"/>
    <w:rsid w:val="00FE483C"/>
    <w:rsid w:val="00FE7975"/>
    <w:rsid w:val="00FF123D"/>
    <w:rsid w:val="00FF15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18B050D"/>
  <w15:docId w15:val="{5CF33E24-E1A4-4079-8789-3DB5B86C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303"/>
    <w:pPr>
      <w:spacing w:after="200" w:line="276" w:lineRule="auto"/>
    </w:pPr>
    <w:rPr>
      <w:sz w:val="22"/>
      <w:szCs w:val="22"/>
      <w:lang w:eastAsia="en-US"/>
    </w:rPr>
  </w:style>
  <w:style w:type="paragraph" w:styleId="Ttulo1">
    <w:name w:val="heading 1"/>
    <w:basedOn w:val="Normal"/>
    <w:next w:val="Normal"/>
    <w:link w:val="Ttulo1Car"/>
    <w:uiPriority w:val="9"/>
    <w:qFormat/>
    <w:rsid w:val="000110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110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semiHidden/>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character" w:customStyle="1" w:styleId="PrrafodelistaCar">
    <w:name w:val="Párrafo de lista Car"/>
    <w:link w:val="Prrafodelista"/>
    <w:uiPriority w:val="34"/>
    <w:rsid w:val="008E25B3"/>
    <w:rPr>
      <w:rFonts w:ascii="Arial" w:eastAsia="Times New Roman" w:hAnsi="Arial"/>
      <w:sz w:val="24"/>
      <w:lang w:val="es-ES" w:eastAsia="es-ES"/>
    </w:rPr>
  </w:style>
  <w:style w:type="paragraph" w:styleId="Revisin">
    <w:name w:val="Revision"/>
    <w:hidden/>
    <w:uiPriority w:val="99"/>
    <w:semiHidden/>
    <w:rsid w:val="00371986"/>
    <w:rPr>
      <w:sz w:val="22"/>
      <w:szCs w:val="22"/>
      <w:lang w:eastAsia="en-US"/>
    </w:rPr>
  </w:style>
  <w:style w:type="table" w:styleId="Tablaconcuadrcula">
    <w:name w:val="Table Grid"/>
    <w:basedOn w:val="Tablanormal"/>
    <w:uiPriority w:val="59"/>
    <w:rsid w:val="00C06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nhideWhenUsed/>
    <w:rsid w:val="00053141"/>
    <w:pPr>
      <w:spacing w:after="0" w:line="240" w:lineRule="auto"/>
      <w:jc w:val="both"/>
    </w:pPr>
    <w:rPr>
      <w:rFonts w:ascii="Arial" w:eastAsia="Times New Roman" w:hAnsi="Arial"/>
      <w:sz w:val="24"/>
      <w:szCs w:val="20"/>
      <w:lang w:val="x-none" w:eastAsia="es-ES"/>
    </w:rPr>
  </w:style>
  <w:style w:type="character" w:customStyle="1" w:styleId="TextoindependienteCar">
    <w:name w:val="Texto independiente Car"/>
    <w:basedOn w:val="Fuentedeprrafopredeter"/>
    <w:link w:val="Textoindependiente"/>
    <w:rsid w:val="00053141"/>
    <w:rPr>
      <w:rFonts w:ascii="Arial" w:eastAsia="Times New Roman" w:hAnsi="Arial"/>
      <w:sz w:val="24"/>
      <w:lang w:val="x-none" w:eastAsia="es-ES"/>
    </w:rPr>
  </w:style>
  <w:style w:type="character" w:customStyle="1" w:styleId="SinespaciadoCar">
    <w:name w:val="Sin espaciado Car"/>
    <w:basedOn w:val="Fuentedeprrafopredeter"/>
    <w:link w:val="Sinespaciado"/>
    <w:uiPriority w:val="1"/>
    <w:locked/>
    <w:rsid w:val="00531E83"/>
  </w:style>
  <w:style w:type="paragraph" w:styleId="Sinespaciado">
    <w:name w:val="No Spacing"/>
    <w:basedOn w:val="Normal"/>
    <w:link w:val="SinespaciadoCar"/>
    <w:uiPriority w:val="1"/>
    <w:qFormat/>
    <w:rsid w:val="00531E83"/>
    <w:pPr>
      <w:spacing w:after="0" w:line="240" w:lineRule="auto"/>
    </w:pPr>
    <w:rPr>
      <w:sz w:val="20"/>
      <w:szCs w:val="20"/>
      <w:lang w:eastAsia="es-MX"/>
    </w:rPr>
  </w:style>
  <w:style w:type="character" w:customStyle="1" w:styleId="Ttulo1Car">
    <w:name w:val="Título 1 Car"/>
    <w:basedOn w:val="Fuentedeprrafopredeter"/>
    <w:link w:val="Ttulo1"/>
    <w:uiPriority w:val="9"/>
    <w:rsid w:val="0001105B"/>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01105B"/>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762699">
      <w:bodyDiv w:val="1"/>
      <w:marLeft w:val="0"/>
      <w:marRight w:val="0"/>
      <w:marTop w:val="0"/>
      <w:marBottom w:val="0"/>
      <w:divBdr>
        <w:top w:val="none" w:sz="0" w:space="0" w:color="auto"/>
        <w:left w:val="none" w:sz="0" w:space="0" w:color="auto"/>
        <w:bottom w:val="none" w:sz="0" w:space="0" w:color="auto"/>
        <w:right w:val="none" w:sz="0" w:space="0" w:color="auto"/>
      </w:divBdr>
    </w:div>
    <w:div w:id="666789632">
      <w:bodyDiv w:val="1"/>
      <w:marLeft w:val="0"/>
      <w:marRight w:val="0"/>
      <w:marTop w:val="0"/>
      <w:marBottom w:val="0"/>
      <w:divBdr>
        <w:top w:val="none" w:sz="0" w:space="0" w:color="auto"/>
        <w:left w:val="none" w:sz="0" w:space="0" w:color="auto"/>
        <w:bottom w:val="none" w:sz="0" w:space="0" w:color="auto"/>
        <w:right w:val="none" w:sz="0" w:space="0" w:color="auto"/>
      </w:divBdr>
    </w:div>
    <w:div w:id="1377319793">
      <w:bodyDiv w:val="1"/>
      <w:marLeft w:val="0"/>
      <w:marRight w:val="0"/>
      <w:marTop w:val="0"/>
      <w:marBottom w:val="0"/>
      <w:divBdr>
        <w:top w:val="none" w:sz="0" w:space="0" w:color="auto"/>
        <w:left w:val="none" w:sz="0" w:space="0" w:color="auto"/>
        <w:bottom w:val="none" w:sz="0" w:space="0" w:color="auto"/>
        <w:right w:val="none" w:sz="0" w:space="0" w:color="auto"/>
      </w:divBdr>
    </w:div>
    <w:div w:id="171148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35D93-CF46-4F37-93FA-5DFFC84CC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4743</Words>
  <Characters>26091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5</cp:revision>
  <cp:lastPrinted>2016-01-12T15:19:00Z</cp:lastPrinted>
  <dcterms:created xsi:type="dcterms:W3CDTF">2016-07-01T19:15:00Z</dcterms:created>
  <dcterms:modified xsi:type="dcterms:W3CDTF">2016-07-04T15:20:00Z</dcterms:modified>
</cp:coreProperties>
</file>