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927D3" w14:textId="51A30022" w:rsidR="000014DC" w:rsidRPr="008207B5" w:rsidRDefault="000014DC" w:rsidP="008207B5">
      <w:pPr>
        <w:pStyle w:val="Ttulo1"/>
        <w:jc w:val="both"/>
        <w:rPr>
          <w:rFonts w:ascii="ITC Avant Garde" w:eastAsia="Arial" w:hAnsi="ITC Avant Garde"/>
          <w:b/>
          <w:color w:val="000000" w:themeColor="text1"/>
          <w:sz w:val="22"/>
          <w:szCs w:val="22"/>
        </w:rPr>
      </w:pPr>
      <w:r w:rsidRPr="008207B5">
        <w:rPr>
          <w:rFonts w:ascii="ITC Avant Garde" w:eastAsia="Times New Roman" w:hAnsi="ITC Avant Garde"/>
          <w:b/>
          <w:color w:val="000000" w:themeColor="text1"/>
          <w:sz w:val="22"/>
          <w:szCs w:val="22"/>
          <w:lang w:eastAsia="ar-SA"/>
        </w:rPr>
        <w:t xml:space="preserve">RESOLUCIÓN </w:t>
      </w:r>
      <w:r w:rsidR="00046C04" w:rsidRPr="008207B5">
        <w:rPr>
          <w:rFonts w:ascii="ITC Avant Garde" w:eastAsia="Times New Roman" w:hAnsi="ITC Avant Garde"/>
          <w:b/>
          <w:color w:val="000000" w:themeColor="text1"/>
          <w:sz w:val="22"/>
          <w:szCs w:val="22"/>
          <w:lang w:eastAsia="ar-SA"/>
        </w:rPr>
        <w:t>MEDIANTE</w:t>
      </w:r>
      <w:r w:rsidRPr="008207B5">
        <w:rPr>
          <w:rFonts w:ascii="ITC Avant Garde" w:eastAsia="Times New Roman" w:hAnsi="ITC Avant Garde"/>
          <w:b/>
          <w:color w:val="000000" w:themeColor="text1"/>
          <w:sz w:val="22"/>
          <w:szCs w:val="22"/>
          <w:lang w:eastAsia="ar-SA"/>
        </w:rPr>
        <w:t xml:space="preserve"> </w:t>
      </w:r>
      <w:r w:rsidR="00046C04" w:rsidRPr="008207B5">
        <w:rPr>
          <w:rFonts w:ascii="ITC Avant Garde" w:eastAsia="Times New Roman" w:hAnsi="ITC Avant Garde"/>
          <w:b/>
          <w:color w:val="000000" w:themeColor="text1"/>
          <w:sz w:val="22"/>
          <w:szCs w:val="22"/>
          <w:lang w:eastAsia="ar-SA"/>
        </w:rPr>
        <w:t>LA CUAL EL</w:t>
      </w:r>
      <w:r w:rsidRPr="008207B5">
        <w:rPr>
          <w:rFonts w:ascii="ITC Avant Garde" w:eastAsia="Times New Roman" w:hAnsi="ITC Avant Garde"/>
          <w:b/>
          <w:color w:val="000000" w:themeColor="text1"/>
          <w:sz w:val="22"/>
          <w:szCs w:val="22"/>
          <w:lang w:eastAsia="ar-SA"/>
        </w:rPr>
        <w:t xml:space="preserve"> PLENO DEL INSTITUTO FEDERAL DE TELECOMUNICACIONES </w:t>
      </w:r>
      <w:r w:rsidR="00046C04" w:rsidRPr="008207B5">
        <w:rPr>
          <w:rFonts w:ascii="ITC Avant Garde" w:eastAsia="Times New Roman" w:hAnsi="ITC Avant Garde"/>
          <w:b/>
          <w:color w:val="000000" w:themeColor="text1"/>
          <w:sz w:val="22"/>
          <w:szCs w:val="22"/>
          <w:lang w:eastAsia="ar-SA"/>
        </w:rPr>
        <w:t>DA</w:t>
      </w:r>
      <w:r w:rsidRPr="008207B5">
        <w:rPr>
          <w:rFonts w:ascii="ITC Avant Garde" w:eastAsia="Times New Roman" w:hAnsi="ITC Avant Garde"/>
          <w:b/>
          <w:color w:val="000000" w:themeColor="text1"/>
          <w:sz w:val="22"/>
          <w:szCs w:val="22"/>
          <w:lang w:eastAsia="ar-SA"/>
        </w:rPr>
        <w:t xml:space="preserve"> CUMPLIMIENTO A LA EJECUTORIA </w:t>
      </w:r>
      <w:r w:rsidR="00D725CA" w:rsidRPr="008207B5">
        <w:rPr>
          <w:rFonts w:ascii="ITC Avant Garde" w:eastAsia="Times New Roman" w:hAnsi="ITC Avant Garde"/>
          <w:b/>
          <w:color w:val="000000" w:themeColor="text1"/>
          <w:sz w:val="22"/>
          <w:szCs w:val="22"/>
          <w:lang w:eastAsia="ar-SA"/>
        </w:rPr>
        <w:t xml:space="preserve">DE LA ACCIÓN DE AMPARO </w:t>
      </w:r>
      <w:r w:rsidR="00C005F9" w:rsidRPr="008207B5">
        <w:rPr>
          <w:rFonts w:ascii="ITC Avant Garde" w:eastAsia="Times New Roman" w:hAnsi="ITC Avant Garde"/>
          <w:b/>
          <w:color w:val="000000" w:themeColor="text1"/>
          <w:sz w:val="22"/>
          <w:szCs w:val="22"/>
          <w:lang w:eastAsia="ar-SA"/>
        </w:rPr>
        <w:t xml:space="preserve">NÚMERO </w:t>
      </w:r>
      <w:r w:rsidR="00A403B6" w:rsidRPr="008207B5">
        <w:rPr>
          <w:rFonts w:ascii="ITC Avant Garde" w:eastAsia="Times New Roman" w:hAnsi="ITC Avant Garde"/>
          <w:b/>
          <w:color w:val="000000" w:themeColor="text1"/>
          <w:sz w:val="22"/>
          <w:szCs w:val="22"/>
          <w:lang w:eastAsia="ar-SA"/>
        </w:rPr>
        <w:t>1665/2015</w:t>
      </w:r>
      <w:r w:rsidRPr="008207B5">
        <w:rPr>
          <w:rFonts w:ascii="ITC Avant Garde" w:eastAsia="Times New Roman" w:hAnsi="ITC Avant Garde"/>
          <w:b/>
          <w:color w:val="000000" w:themeColor="text1"/>
          <w:sz w:val="22"/>
          <w:szCs w:val="22"/>
          <w:lang w:eastAsia="ar-SA"/>
        </w:rPr>
        <w:t xml:space="preserve"> RADICADO ANTE EL JUZGADO SEGUNDO DE DISTRITO EN MATERIA ADMINISTRATIVA ESPECIALIZADO EN COMPETENCIA ECONÓMICA, RADIODIFUSIÓN Y TELECOMUNICACIONES CON RESIDENCIA EN </w:t>
      </w:r>
      <w:r w:rsidR="006701DA" w:rsidRPr="008207B5">
        <w:rPr>
          <w:rFonts w:ascii="ITC Avant Garde" w:eastAsia="Times New Roman" w:hAnsi="ITC Avant Garde"/>
          <w:b/>
          <w:color w:val="000000" w:themeColor="text1"/>
          <w:sz w:val="22"/>
          <w:szCs w:val="22"/>
          <w:lang w:eastAsia="ar-SA"/>
        </w:rPr>
        <w:t>LA CIUDAD DE MÉXICO</w:t>
      </w:r>
      <w:r w:rsidRPr="008207B5">
        <w:rPr>
          <w:rFonts w:ascii="ITC Avant Garde" w:eastAsia="Times New Roman" w:hAnsi="ITC Avant Garde"/>
          <w:b/>
          <w:color w:val="000000" w:themeColor="text1"/>
          <w:sz w:val="22"/>
          <w:szCs w:val="22"/>
          <w:lang w:eastAsia="ar-SA"/>
        </w:rPr>
        <w:t xml:space="preserve"> Y JURISDICCIÓN EN TODA LA REPÚBLICA.</w:t>
      </w:r>
    </w:p>
    <w:p w14:paraId="33A9515E" w14:textId="77777777" w:rsidR="002D45C6" w:rsidRPr="00C007AB" w:rsidRDefault="002D45C6" w:rsidP="008207B5">
      <w:pPr>
        <w:suppressAutoHyphens/>
        <w:spacing w:after="0" w:line="240" w:lineRule="auto"/>
        <w:jc w:val="both"/>
        <w:rPr>
          <w:rFonts w:ascii="ITC Avant Garde" w:eastAsia="Arial" w:hAnsi="ITC Avant Garde"/>
        </w:rPr>
      </w:pPr>
    </w:p>
    <w:p w14:paraId="0F065233" w14:textId="4A98CF2A" w:rsidR="00AD63D2" w:rsidRPr="00C007AB" w:rsidRDefault="000014DC" w:rsidP="002D45C6">
      <w:pPr>
        <w:suppressAutoHyphens/>
        <w:spacing w:after="0" w:line="240" w:lineRule="auto"/>
        <w:jc w:val="both"/>
        <w:rPr>
          <w:rFonts w:ascii="ITC Avant Garde" w:eastAsia="Arial" w:hAnsi="ITC Avant Garde"/>
        </w:rPr>
      </w:pPr>
      <w:r w:rsidRPr="00C007AB">
        <w:rPr>
          <w:rFonts w:ascii="ITC Avant Garde" w:eastAsia="Arial" w:hAnsi="ITC Avant Garde"/>
          <w:b/>
        </w:rPr>
        <w:t>VISTA</w:t>
      </w:r>
      <w:r w:rsidRPr="00C007AB">
        <w:rPr>
          <w:rFonts w:ascii="ITC Avant Garde" w:eastAsia="Arial" w:hAnsi="ITC Avant Garde"/>
        </w:rPr>
        <w:t xml:space="preserve"> </w:t>
      </w:r>
      <w:r w:rsidRPr="00C007AB">
        <w:rPr>
          <w:rFonts w:ascii="ITC Avant Garde" w:eastAsia="Arial" w:hAnsi="ITC Avant Garde"/>
          <w:b/>
        </w:rPr>
        <w:t xml:space="preserve">la ejecutoria </w:t>
      </w:r>
      <w:r w:rsidRPr="00C007AB">
        <w:rPr>
          <w:rFonts w:ascii="ITC Avant Garde" w:eastAsia="Arial" w:hAnsi="ITC Avant Garde"/>
        </w:rPr>
        <w:t xml:space="preserve">de fecha </w:t>
      </w:r>
      <w:r w:rsidR="00C005F9" w:rsidRPr="00C007AB">
        <w:rPr>
          <w:rFonts w:ascii="ITC Avant Garde" w:eastAsia="Arial" w:hAnsi="ITC Avant Garde"/>
          <w:b/>
        </w:rPr>
        <w:t>25</w:t>
      </w:r>
      <w:r w:rsidRPr="00C007AB">
        <w:rPr>
          <w:rFonts w:ascii="ITC Avant Garde" w:eastAsia="Arial" w:hAnsi="ITC Avant Garde"/>
          <w:b/>
        </w:rPr>
        <w:t xml:space="preserve"> de </w:t>
      </w:r>
      <w:r w:rsidR="00C005F9" w:rsidRPr="00C007AB">
        <w:rPr>
          <w:rFonts w:ascii="ITC Avant Garde" w:eastAsia="Arial" w:hAnsi="ITC Avant Garde"/>
          <w:b/>
        </w:rPr>
        <w:t>febrero de</w:t>
      </w:r>
      <w:r w:rsidRPr="00C007AB">
        <w:rPr>
          <w:rFonts w:ascii="ITC Avant Garde" w:eastAsia="Arial" w:hAnsi="ITC Avant Garde"/>
          <w:b/>
        </w:rPr>
        <w:t xml:space="preserve"> 201</w:t>
      </w:r>
      <w:r w:rsidR="00C005F9" w:rsidRPr="00C007AB">
        <w:rPr>
          <w:rFonts w:ascii="ITC Avant Garde" w:eastAsia="Arial" w:hAnsi="ITC Avant Garde"/>
          <w:b/>
        </w:rPr>
        <w:t>6</w:t>
      </w:r>
      <w:r w:rsidRPr="00C007AB">
        <w:rPr>
          <w:rFonts w:ascii="ITC Avant Garde" w:eastAsia="Arial" w:hAnsi="ITC Avant Garde"/>
        </w:rPr>
        <w:t xml:space="preserve">, dictada por el </w:t>
      </w:r>
      <w:r w:rsidR="00D725CA" w:rsidRPr="00C007AB">
        <w:rPr>
          <w:rFonts w:ascii="ITC Avant Garde" w:eastAsia="Arial" w:hAnsi="ITC Avant Garde"/>
        </w:rPr>
        <w:t>Segundo Tribunal</w:t>
      </w:r>
      <w:r w:rsidRPr="00C007AB">
        <w:rPr>
          <w:rFonts w:ascii="ITC Avant Garde" w:eastAsia="Arial" w:hAnsi="ITC Avant Garde"/>
        </w:rPr>
        <w:t xml:space="preserve"> Colegiado de Circuito en Materia Administrativa Especializado en Competencia Económica, Radiodifusión y Telecomunicaciones con residencia en </w:t>
      </w:r>
      <w:r w:rsidR="006701DA">
        <w:rPr>
          <w:rFonts w:ascii="ITC Avant Garde" w:eastAsia="Arial" w:hAnsi="ITC Avant Garde"/>
        </w:rPr>
        <w:t>la Ciudad de México</w:t>
      </w:r>
      <w:r w:rsidRPr="00C007AB">
        <w:rPr>
          <w:rFonts w:ascii="ITC Avant Garde" w:eastAsia="Arial" w:hAnsi="ITC Avant Garde"/>
        </w:rPr>
        <w:t xml:space="preserve"> y jurisdicción en toda la República (en lo sucesivo, el “</w:t>
      </w:r>
      <w:r w:rsidR="00D725CA" w:rsidRPr="00C007AB">
        <w:rPr>
          <w:rFonts w:ascii="ITC Avant Garde" w:eastAsia="Arial" w:hAnsi="ITC Avant Garde"/>
        </w:rPr>
        <w:t>Segundo Tribunal</w:t>
      </w:r>
      <w:r w:rsidRPr="00C007AB">
        <w:rPr>
          <w:rFonts w:ascii="ITC Avant Garde" w:eastAsia="Arial" w:hAnsi="ITC Avant Garde"/>
        </w:rPr>
        <w:t xml:space="preserve"> Colegiado”) en el expediente </w:t>
      </w:r>
      <w:r w:rsidR="00D43D17" w:rsidRPr="00C007AB">
        <w:rPr>
          <w:rFonts w:ascii="ITC Avant Garde" w:eastAsia="Arial" w:hAnsi="ITC Avant Garde"/>
          <w:b/>
        </w:rPr>
        <w:t>R.A. 12/2016</w:t>
      </w:r>
      <w:r w:rsidRPr="00C007AB">
        <w:rPr>
          <w:rFonts w:ascii="ITC Avant Garde" w:eastAsia="Arial" w:hAnsi="ITC Avant Garde"/>
        </w:rPr>
        <w:t xml:space="preserve">, en la que se revoca la sentencia </w:t>
      </w:r>
      <w:bookmarkStart w:id="0" w:name="_GoBack"/>
      <w:bookmarkEnd w:id="0"/>
      <w:r w:rsidRPr="00C007AB">
        <w:rPr>
          <w:rFonts w:ascii="ITC Avant Garde" w:eastAsia="Arial" w:hAnsi="ITC Avant Garde"/>
        </w:rPr>
        <w:t xml:space="preserve">definitiva de fecha </w:t>
      </w:r>
      <w:r w:rsidR="00D43D17" w:rsidRPr="00C007AB">
        <w:rPr>
          <w:rFonts w:ascii="ITC Avant Garde" w:eastAsia="Arial" w:hAnsi="ITC Avant Garde"/>
        </w:rPr>
        <w:t>16 de diciembre de 201</w:t>
      </w:r>
      <w:r w:rsidR="00C005F9" w:rsidRPr="00C007AB">
        <w:rPr>
          <w:rFonts w:ascii="ITC Avant Garde" w:eastAsia="Arial" w:hAnsi="ITC Avant Garde"/>
        </w:rPr>
        <w:t>5</w:t>
      </w:r>
      <w:r w:rsidRPr="00C007AB">
        <w:rPr>
          <w:rFonts w:ascii="ITC Avant Garde" w:eastAsia="Arial" w:hAnsi="ITC Avant Garde"/>
        </w:rPr>
        <w:t xml:space="preserve"> en los autos del juicio de amparo </w:t>
      </w:r>
      <w:r w:rsidR="00A403B6" w:rsidRPr="00C007AB">
        <w:rPr>
          <w:rFonts w:ascii="ITC Avant Garde" w:eastAsia="Arial" w:hAnsi="ITC Avant Garde"/>
          <w:b/>
        </w:rPr>
        <w:t>1665/2015</w:t>
      </w:r>
      <w:r w:rsidRPr="00C007AB">
        <w:rPr>
          <w:rFonts w:ascii="ITC Avant Garde" w:eastAsia="Arial" w:hAnsi="ITC Avant Garde"/>
        </w:rPr>
        <w:t xml:space="preserve">, promovido por </w:t>
      </w:r>
      <w:r w:rsidR="00606359">
        <w:rPr>
          <w:rFonts w:ascii="ITC Avant Garde" w:eastAsia="Arial" w:hAnsi="ITC Avant Garde"/>
          <w:bCs/>
        </w:rPr>
        <w:t>e</w:t>
      </w:r>
      <w:r w:rsidR="00D43D17" w:rsidRPr="00C007AB">
        <w:rPr>
          <w:rFonts w:ascii="ITC Avant Garde" w:eastAsia="Arial" w:hAnsi="ITC Avant Garde"/>
          <w:bCs/>
        </w:rPr>
        <w:t>l C. José Pérez Ramírez</w:t>
      </w:r>
      <w:r w:rsidRPr="00C007AB">
        <w:rPr>
          <w:rFonts w:ascii="ITC Avant Garde" w:eastAsia="Arial" w:hAnsi="ITC Avant Garde"/>
        </w:rPr>
        <w:t xml:space="preserve">, radicado en el Juzgado Segundo de Distrito en Materia Administrativa Especializado en Competencia Económica, Radiodifusión y Telecomunicaciones con residencia en </w:t>
      </w:r>
      <w:r w:rsidR="006701DA">
        <w:rPr>
          <w:rFonts w:ascii="ITC Avant Garde" w:eastAsia="Arial" w:hAnsi="ITC Avant Garde"/>
        </w:rPr>
        <w:t>la Ciudad de México</w:t>
      </w:r>
      <w:r w:rsidRPr="00C007AB">
        <w:rPr>
          <w:rFonts w:ascii="ITC Avant Garde" w:eastAsia="Arial" w:hAnsi="ITC Avant Garde"/>
        </w:rPr>
        <w:t xml:space="preserve"> y jurisdicción en toda la República (en lo sucesivo, “Juzgado Segundo”), a efecto de </w:t>
      </w:r>
      <w:r w:rsidRPr="00C007AB">
        <w:rPr>
          <w:rFonts w:ascii="ITC Avant Garde" w:eastAsia="Arial" w:hAnsi="ITC Avant Garde"/>
          <w:b/>
        </w:rPr>
        <w:t>CONCEDER EL AMPARO</w:t>
      </w:r>
      <w:r w:rsidRPr="00C007AB">
        <w:rPr>
          <w:rFonts w:ascii="ITC Avant Garde" w:eastAsia="Arial" w:hAnsi="ITC Avant Garde"/>
        </w:rPr>
        <w:t xml:space="preserve"> respecto del acto reclamado consistente en</w:t>
      </w:r>
      <w:r w:rsidR="00AD63D2" w:rsidRPr="00C007AB">
        <w:rPr>
          <w:rFonts w:ascii="ITC Avant Garde" w:eastAsia="Arial" w:hAnsi="ITC Avant Garde"/>
        </w:rPr>
        <w:t xml:space="preserve"> la resolución contenida en el oficio </w:t>
      </w:r>
      <w:r w:rsidR="00D43D17" w:rsidRPr="00110B5B">
        <w:rPr>
          <w:rFonts w:ascii="ITC Avant Garde" w:eastAsia="Arial" w:hAnsi="ITC Avant Garde"/>
          <w:b/>
          <w:u w:val="single"/>
        </w:rPr>
        <w:t>P/IFT/250815/390 de fecha 25 de agosto de 2015</w:t>
      </w:r>
      <w:r w:rsidR="00AD63D2" w:rsidRPr="00C007AB">
        <w:rPr>
          <w:rFonts w:ascii="ITC Avant Garde" w:eastAsia="Arial" w:hAnsi="ITC Avant Garde"/>
        </w:rPr>
        <w:t xml:space="preserve">, en el cual señaló como autoridad responsable al </w:t>
      </w:r>
      <w:r w:rsidR="00D43D17" w:rsidRPr="00C007AB">
        <w:rPr>
          <w:rFonts w:ascii="ITC Avant Garde" w:eastAsia="Arial" w:hAnsi="ITC Avant Garde"/>
        </w:rPr>
        <w:t>Pleno del Instituto Federal de Telecomunicaciones</w:t>
      </w:r>
      <w:r w:rsidRPr="00C007AB">
        <w:rPr>
          <w:rFonts w:ascii="ITC Avant Garde" w:eastAsia="Arial" w:hAnsi="ITC Avant Garde"/>
        </w:rPr>
        <w:t xml:space="preserve"> y tomando en cuenta los siguientes:</w:t>
      </w:r>
    </w:p>
    <w:p w14:paraId="008C1C50" w14:textId="77777777" w:rsidR="00AD63D2" w:rsidRDefault="00AD63D2" w:rsidP="002D45C6">
      <w:pPr>
        <w:suppressAutoHyphens/>
        <w:spacing w:after="0" w:line="240" w:lineRule="auto"/>
        <w:jc w:val="both"/>
        <w:rPr>
          <w:spacing w:val="-3"/>
        </w:rPr>
      </w:pPr>
    </w:p>
    <w:p w14:paraId="1A26DBDE" w14:textId="77777777" w:rsidR="00B06E22" w:rsidRPr="008207B5" w:rsidRDefault="00B06E22" w:rsidP="008207B5">
      <w:pPr>
        <w:pStyle w:val="Ttulo2"/>
        <w:jc w:val="center"/>
        <w:rPr>
          <w:rFonts w:ascii="ITC Avant Garde" w:eastAsia="Times New Roman" w:hAnsi="ITC Avant Garde" w:cs="Arial"/>
          <w:b/>
          <w:color w:val="000000" w:themeColor="text1"/>
          <w:kern w:val="1"/>
          <w:sz w:val="22"/>
          <w:szCs w:val="22"/>
          <w:lang w:eastAsia="ar-SA"/>
        </w:rPr>
      </w:pPr>
      <w:r w:rsidRPr="008207B5">
        <w:rPr>
          <w:rFonts w:ascii="ITC Avant Garde" w:hAnsi="ITC Avant Garde"/>
          <w:b/>
          <w:color w:val="000000" w:themeColor="text1"/>
          <w:sz w:val="22"/>
          <w:szCs w:val="22"/>
        </w:rPr>
        <w:t>ANTECEDENTES</w:t>
      </w:r>
    </w:p>
    <w:p w14:paraId="5FCD8CF8" w14:textId="77777777" w:rsidR="00B06E22" w:rsidRDefault="00B06E22" w:rsidP="008207B5">
      <w:pPr>
        <w:suppressAutoHyphens/>
        <w:spacing w:after="0" w:line="240" w:lineRule="auto"/>
        <w:jc w:val="both"/>
        <w:rPr>
          <w:rFonts w:ascii="ITC Avant Garde" w:hAnsi="ITC Avant Garde" w:cs="Arial"/>
          <w:bCs/>
          <w:lang w:eastAsia="es-MX"/>
        </w:rPr>
      </w:pPr>
    </w:p>
    <w:p w14:paraId="6BA5E9B5" w14:textId="0165C0F3" w:rsidR="00C005F9" w:rsidRPr="00C007AB" w:rsidRDefault="00B06E22" w:rsidP="008207B5">
      <w:pPr>
        <w:spacing w:after="0" w:line="240" w:lineRule="auto"/>
        <w:jc w:val="both"/>
        <w:rPr>
          <w:rFonts w:ascii="ITC Avant Garde" w:eastAsia="Arial" w:hAnsi="ITC Avant Garde"/>
        </w:rPr>
      </w:pPr>
      <w:r w:rsidRPr="00C007AB">
        <w:rPr>
          <w:rFonts w:ascii="ITC Avant Garde" w:eastAsia="Arial" w:hAnsi="ITC Avant Garde"/>
          <w:b/>
        </w:rPr>
        <w:t xml:space="preserve">I.- </w:t>
      </w:r>
      <w:r w:rsidR="00C005F9" w:rsidRPr="008207B5">
        <w:rPr>
          <w:rFonts w:ascii="ITC Avant Garde" w:hAnsi="ITC Avant Garde" w:cs="Arial"/>
          <w:b/>
        </w:rPr>
        <w:t>Publicación</w:t>
      </w:r>
      <w:r w:rsidR="00C005F9" w:rsidRPr="00C007AB">
        <w:rPr>
          <w:rFonts w:ascii="ITC Avant Garde" w:eastAsia="Arial" w:hAnsi="ITC Avant Garde"/>
          <w:b/>
        </w:rPr>
        <w:t xml:space="preserve"> del Acuerdo de Susceptibilidad.-</w:t>
      </w:r>
      <w:r w:rsidR="00C005F9" w:rsidRPr="00C007AB">
        <w:rPr>
          <w:rFonts w:ascii="ITC Avant Garde" w:eastAsia="Arial" w:hAnsi="ITC Avant Garde"/>
        </w:rPr>
        <w:t xml:space="preserve"> El 10 de abril de 2000, se publicó en el Diario Oficial de la Federación</w:t>
      </w:r>
      <w:r w:rsidR="00930BD1">
        <w:rPr>
          <w:rFonts w:ascii="ITC Avant Garde" w:eastAsia="Arial" w:hAnsi="ITC Avant Garde"/>
        </w:rPr>
        <w:t xml:space="preserve"> </w:t>
      </w:r>
      <w:r w:rsidR="00C005F9" w:rsidRPr="00C007AB">
        <w:rPr>
          <w:rFonts w:ascii="ITC Avant Garde" w:eastAsia="Arial" w:hAnsi="ITC Avant Garde"/>
        </w:rPr>
        <w:t xml:space="preserve">(en lo sucesivo DOF), el </w:t>
      </w:r>
      <w:r w:rsidR="007B6D83">
        <w:rPr>
          <w:rFonts w:ascii="ITC Avant Garde" w:eastAsia="Arial" w:hAnsi="ITC Avant Garde"/>
        </w:rPr>
        <w:t>“</w:t>
      </w:r>
      <w:r w:rsidR="00C005F9" w:rsidRPr="00D85C35">
        <w:rPr>
          <w:rFonts w:ascii="ITC Avant Garde" w:eastAsia="Arial" w:hAnsi="ITC Avant Garde"/>
          <w:i/>
        </w:rPr>
        <w:t>Acuerdo por el que se declara susceptibles de operarse y explotarse diversas frecuencias atribuidas a radiodifusión</w:t>
      </w:r>
      <w:r w:rsidR="00C005F9" w:rsidRPr="00C007AB">
        <w:rPr>
          <w:rFonts w:ascii="ITC Avant Garde" w:eastAsia="Arial" w:hAnsi="ITC Avant Garde"/>
        </w:rPr>
        <w:t xml:space="preserve">” (en lo sucesivo “Acuerdo de Susceptibilidad”), mediante el cual se declararon susceptibles de operarse y explotarse 39 frecuencias atribuidas a radiodifusión, en cuyo contenido se </w:t>
      </w:r>
      <w:r w:rsidR="00080504" w:rsidRPr="00C007AB">
        <w:rPr>
          <w:rFonts w:ascii="ITC Avant Garde" w:eastAsia="Arial" w:hAnsi="ITC Avant Garde"/>
        </w:rPr>
        <w:t>encontraba la frecuencia 98.9 MH</w:t>
      </w:r>
      <w:r w:rsidR="00C005F9" w:rsidRPr="00C007AB">
        <w:rPr>
          <w:rFonts w:ascii="ITC Avant Garde" w:eastAsia="Arial" w:hAnsi="ITC Avant Garde"/>
        </w:rPr>
        <w:t>z, con distintivo de llamada XHDGM-FM, y población principal a servir Playa del Carmen, Quintana Roo.</w:t>
      </w:r>
    </w:p>
    <w:p w14:paraId="5703C495" w14:textId="77777777" w:rsidR="00C005F9" w:rsidRPr="00C007AB" w:rsidRDefault="00C005F9" w:rsidP="008207B5">
      <w:pPr>
        <w:suppressAutoHyphens/>
        <w:spacing w:after="0" w:line="240" w:lineRule="auto"/>
        <w:jc w:val="both"/>
        <w:rPr>
          <w:rFonts w:ascii="ITC Avant Garde" w:eastAsia="Arial" w:hAnsi="ITC Avant Garde"/>
        </w:rPr>
      </w:pPr>
    </w:p>
    <w:p w14:paraId="46995D79" w14:textId="045DA455" w:rsidR="00B06E22" w:rsidRDefault="00B06E22" w:rsidP="008207B5">
      <w:pPr>
        <w:spacing w:after="0" w:line="240" w:lineRule="auto"/>
        <w:jc w:val="both"/>
        <w:rPr>
          <w:rFonts w:ascii="ITC Avant Garde" w:hAnsi="ITC Avant Garde"/>
          <w:lang w:eastAsia="es-MX"/>
        </w:rPr>
      </w:pPr>
      <w:r w:rsidRPr="00C007AB">
        <w:rPr>
          <w:rFonts w:ascii="ITC Avant Garde" w:eastAsia="Arial" w:hAnsi="ITC Avant Garde"/>
          <w:b/>
        </w:rPr>
        <w:t xml:space="preserve">II.- Solicitud de </w:t>
      </w:r>
      <w:r w:rsidR="00080504" w:rsidRPr="00C007AB">
        <w:rPr>
          <w:rFonts w:ascii="ITC Avant Garde" w:eastAsia="Arial" w:hAnsi="ITC Avant Garde"/>
          <w:b/>
        </w:rPr>
        <w:t>otorgamiento de concesión.-</w:t>
      </w:r>
      <w:r w:rsidR="00080504" w:rsidRPr="00C007AB">
        <w:rPr>
          <w:rFonts w:ascii="ITC Avant Garde" w:eastAsia="Arial" w:hAnsi="ITC Avant Garde"/>
        </w:rPr>
        <w:t xml:space="preserve"> Mediante escrito de fecha 6 de junio de 2000, presentado el día 7 del mismo mes y a</w:t>
      </w:r>
      <w:r w:rsidR="00AD4A04" w:rsidRPr="00C007AB">
        <w:rPr>
          <w:rFonts w:ascii="ITC Avant Garde" w:eastAsia="Arial" w:hAnsi="ITC Avant Garde"/>
        </w:rPr>
        <w:t>ñ</w:t>
      </w:r>
      <w:r w:rsidR="00080504" w:rsidRPr="00C007AB">
        <w:rPr>
          <w:rFonts w:ascii="ITC Avant Garde" w:eastAsia="Arial" w:hAnsi="ITC Avant Garde"/>
        </w:rPr>
        <w:t>o</w:t>
      </w:r>
      <w:r w:rsidR="00AD4A04" w:rsidRPr="00C007AB">
        <w:rPr>
          <w:rFonts w:ascii="ITC Avant Garde" w:eastAsia="Arial" w:hAnsi="ITC Avant Garde"/>
        </w:rPr>
        <w:t>, en la entonces Dirección General de Sistemas de Radio y Televisión de la Secretaría de Comunicaciones y Transportes se registró con el folio número 351, la solicitud de concesión de José Pérez Ramírez, para instalar, operar</w:t>
      </w:r>
      <w:r w:rsidR="00AD4A04" w:rsidRPr="00C007AB">
        <w:rPr>
          <w:rFonts w:ascii="ITC Avant Garde" w:hAnsi="ITC Avant Garde"/>
          <w:lang w:eastAsia="es-MX"/>
        </w:rPr>
        <w:t xml:space="preserve"> y explotar comercialmente la frecuencia 98.9 MHz, con </w:t>
      </w:r>
      <w:r w:rsidR="008960DB">
        <w:rPr>
          <w:rFonts w:ascii="ITC Avant Garde" w:hAnsi="ITC Avant Garde"/>
          <w:lang w:eastAsia="es-MX"/>
        </w:rPr>
        <w:t>distintivo de llamada XHDGM-FM</w:t>
      </w:r>
      <w:r w:rsidR="00AD4A04" w:rsidRPr="00C007AB">
        <w:rPr>
          <w:rFonts w:ascii="ITC Avant Garde" w:hAnsi="ITC Avant Garde"/>
          <w:lang w:eastAsia="es-MX"/>
        </w:rPr>
        <w:t xml:space="preserve"> y población principal a servir Playa del Carmen, Quintana Roo</w:t>
      </w:r>
      <w:r w:rsidR="007B6D83">
        <w:rPr>
          <w:rFonts w:ascii="ITC Avant Garde" w:hAnsi="ITC Avant Garde"/>
          <w:lang w:eastAsia="es-MX"/>
        </w:rPr>
        <w:t xml:space="preserve"> (en lo sucesivo, la ”Solicitud”)</w:t>
      </w:r>
      <w:r w:rsidR="00AD4A04" w:rsidRPr="00C007AB">
        <w:rPr>
          <w:rFonts w:ascii="ITC Avant Garde" w:hAnsi="ITC Avant Garde"/>
          <w:lang w:eastAsia="es-MX"/>
        </w:rPr>
        <w:t>.</w:t>
      </w:r>
    </w:p>
    <w:p w14:paraId="1C9D68DD" w14:textId="77777777" w:rsidR="002D45C6" w:rsidRDefault="002D45C6" w:rsidP="008207B5">
      <w:pPr>
        <w:suppressAutoHyphens/>
        <w:spacing w:after="0" w:line="240" w:lineRule="auto"/>
        <w:jc w:val="both"/>
        <w:rPr>
          <w:rFonts w:ascii="ITC Avant Garde" w:hAnsi="ITC Avant Garde"/>
          <w:lang w:eastAsia="es-MX"/>
        </w:rPr>
      </w:pPr>
    </w:p>
    <w:p w14:paraId="67459806" w14:textId="1D87D11F" w:rsidR="00952D01" w:rsidRPr="00C007AB" w:rsidRDefault="007B6D83" w:rsidP="002D45C6">
      <w:pPr>
        <w:spacing w:after="0" w:line="240" w:lineRule="auto"/>
        <w:jc w:val="both"/>
        <w:rPr>
          <w:rFonts w:ascii="ITC Avant Garde" w:eastAsia="Arial" w:hAnsi="ITC Avant Garde"/>
        </w:rPr>
      </w:pPr>
      <w:r>
        <w:rPr>
          <w:rFonts w:ascii="ITC Avant Garde" w:hAnsi="ITC Avant Garde" w:cs="Arial"/>
          <w:b/>
        </w:rPr>
        <w:t>III</w:t>
      </w:r>
      <w:r w:rsidR="00952D01" w:rsidRPr="00C007AB">
        <w:rPr>
          <w:rFonts w:ascii="ITC Avant Garde" w:hAnsi="ITC Avant Garde" w:cs="Arial"/>
          <w:b/>
        </w:rPr>
        <w:t>.</w:t>
      </w:r>
      <w:r w:rsidR="008E5235" w:rsidRPr="00C007AB">
        <w:rPr>
          <w:rFonts w:ascii="ITC Avant Garde" w:hAnsi="ITC Avant Garde" w:cs="Arial"/>
          <w:b/>
        </w:rPr>
        <w:t xml:space="preserve">- </w:t>
      </w:r>
      <w:r w:rsidR="000A5DBC" w:rsidRPr="00C007AB">
        <w:rPr>
          <w:rFonts w:ascii="ITC Avant Garde" w:hAnsi="ITC Avant Garde" w:cs="Arial"/>
          <w:b/>
        </w:rPr>
        <w:t>Juic</w:t>
      </w:r>
      <w:r w:rsidR="00606359">
        <w:rPr>
          <w:rFonts w:ascii="ITC Avant Garde" w:hAnsi="ITC Avant Garde" w:cs="Arial"/>
          <w:b/>
        </w:rPr>
        <w:t>i</w:t>
      </w:r>
      <w:r w:rsidR="000A5DBC" w:rsidRPr="00C007AB">
        <w:rPr>
          <w:rFonts w:ascii="ITC Avant Garde" w:hAnsi="ITC Avant Garde" w:cs="Arial"/>
          <w:b/>
        </w:rPr>
        <w:t>o de Amparo por falta de respuesta.-</w:t>
      </w:r>
      <w:r w:rsidR="000A5DBC" w:rsidRPr="00C007AB">
        <w:rPr>
          <w:rFonts w:ascii="ITC Avant Garde" w:hAnsi="ITC Avant Garde" w:cs="Arial"/>
        </w:rPr>
        <w:t xml:space="preserve"> El 13 de abril de 2011, con motivo de la ausencia de respuesta a la solicitud de concesión presentada por José Pérez Ramírez, promovió juicio de amparo mismo que fue radicado bajo el número de </w:t>
      </w:r>
      <w:r w:rsidR="000A5DBC" w:rsidRPr="00C007AB">
        <w:rPr>
          <w:rFonts w:ascii="ITC Avant Garde" w:hAnsi="ITC Avant Garde" w:cs="Arial"/>
        </w:rPr>
        <w:lastRenderedPageBreak/>
        <w:t xml:space="preserve">expediente </w:t>
      </w:r>
      <w:r w:rsidR="000A5DBC" w:rsidRPr="00C007AB">
        <w:rPr>
          <w:rFonts w:ascii="ITC Avant Garde" w:hAnsi="ITC Avant Garde" w:cs="Arial"/>
          <w:b/>
        </w:rPr>
        <w:t>499/2011</w:t>
      </w:r>
      <w:r w:rsidR="000A5DBC" w:rsidRPr="00C007AB">
        <w:rPr>
          <w:rFonts w:ascii="ITC Avant Garde" w:hAnsi="ITC Avant Garde" w:cs="Arial"/>
        </w:rPr>
        <w:t xml:space="preserve"> del índice del Juzgado Primero de Distrito en Materia Administrativa en </w:t>
      </w:r>
      <w:r w:rsidR="006701DA">
        <w:rPr>
          <w:rFonts w:ascii="ITC Avant Garde" w:hAnsi="ITC Avant Garde" w:cs="Arial"/>
        </w:rPr>
        <w:t>la Ciudad de México</w:t>
      </w:r>
      <w:r w:rsidR="000A5DBC" w:rsidRPr="00C007AB">
        <w:rPr>
          <w:rFonts w:ascii="ITC Avant Garde" w:hAnsi="ITC Avant Garde" w:cs="Arial"/>
        </w:rPr>
        <w:t>, el que una vez tramitado conforme a la ley de la materia, se dictó sentencia en la que concedió el amparo y protección de la justicia de la unión, a efecto de que se diera respuesta a la petición formulada por el quejoso.</w:t>
      </w:r>
    </w:p>
    <w:p w14:paraId="73E61936" w14:textId="77777777" w:rsidR="00096391" w:rsidRPr="00C007AB" w:rsidRDefault="00096391" w:rsidP="002D45C6">
      <w:pPr>
        <w:spacing w:after="0" w:line="240" w:lineRule="auto"/>
        <w:jc w:val="both"/>
        <w:rPr>
          <w:rFonts w:ascii="ITC Avant Garde" w:eastAsia="Arial" w:hAnsi="ITC Avant Garde"/>
        </w:rPr>
      </w:pPr>
    </w:p>
    <w:p w14:paraId="5D621032" w14:textId="37A7D789" w:rsidR="00865E3D" w:rsidRPr="00C007AB" w:rsidRDefault="007B6D83" w:rsidP="002D45C6">
      <w:pPr>
        <w:spacing w:after="0" w:line="240" w:lineRule="auto"/>
        <w:jc w:val="both"/>
        <w:rPr>
          <w:rFonts w:ascii="ITC Avant Garde" w:eastAsia="Arial" w:hAnsi="ITC Avant Garde"/>
        </w:rPr>
      </w:pPr>
      <w:r>
        <w:rPr>
          <w:rFonts w:ascii="ITC Avant Garde" w:eastAsia="Arial" w:hAnsi="ITC Avant Garde"/>
          <w:b/>
        </w:rPr>
        <w:t>I</w:t>
      </w:r>
      <w:r w:rsidR="00952D01" w:rsidRPr="00C007AB">
        <w:rPr>
          <w:rFonts w:ascii="ITC Avant Garde" w:eastAsia="Arial" w:hAnsi="ITC Avant Garde"/>
          <w:b/>
        </w:rPr>
        <w:t>V</w:t>
      </w:r>
      <w:r w:rsidR="00B06E22" w:rsidRPr="00C007AB">
        <w:rPr>
          <w:rFonts w:ascii="ITC Avant Garde" w:eastAsia="Arial" w:hAnsi="ITC Avant Garde"/>
          <w:b/>
        </w:rPr>
        <w:t xml:space="preserve">.- </w:t>
      </w:r>
      <w:r w:rsidR="000A5DBC" w:rsidRPr="00C007AB">
        <w:rPr>
          <w:rFonts w:ascii="ITC Avant Garde" w:eastAsia="Arial" w:hAnsi="ITC Avant Garde"/>
          <w:b/>
        </w:rPr>
        <w:t>Recurso de Revisión en el amparo 499/2011</w:t>
      </w:r>
      <w:r w:rsidR="00BF5466" w:rsidRPr="00C007AB">
        <w:rPr>
          <w:rFonts w:ascii="ITC Avant Garde" w:hAnsi="ITC Avant Garde" w:cs="Arial"/>
        </w:rPr>
        <w:t>.</w:t>
      </w:r>
      <w:r w:rsidR="000A5DBC" w:rsidRPr="00C007AB">
        <w:rPr>
          <w:rFonts w:ascii="ITC Avant Garde" w:hAnsi="ITC Avant Garde" w:cs="Arial"/>
        </w:rPr>
        <w:t xml:space="preserve">- El 1º de julio de 2011, la extinta Comisión Federal de Telecomunicaciones (en lo sucesivo “COFETEL”), interpuso recurso de revisión del cual tocó conocer al Tercer Tribunal Colegiado en Materia Administrativa del Primer Circuito, mismo que fue registrado bajo el número de toca </w:t>
      </w:r>
      <w:r w:rsidR="000A5DBC" w:rsidRPr="00C007AB">
        <w:rPr>
          <w:rFonts w:ascii="ITC Avant Garde" w:hAnsi="ITC Avant Garde" w:cs="Arial"/>
          <w:b/>
        </w:rPr>
        <w:t>R.A. 371/2011</w:t>
      </w:r>
      <w:r w:rsidR="000A5DBC" w:rsidRPr="00C007AB">
        <w:rPr>
          <w:rFonts w:ascii="ITC Avant Garde" w:hAnsi="ITC Avant Garde" w:cs="Arial"/>
        </w:rPr>
        <w:t>, en el que se resolvió confirmar la sentencia recurrida.</w:t>
      </w:r>
    </w:p>
    <w:p w14:paraId="16143771" w14:textId="77777777" w:rsidR="00865E3D" w:rsidRPr="00C007AB" w:rsidRDefault="00865E3D" w:rsidP="002D45C6">
      <w:pPr>
        <w:spacing w:after="0" w:line="240" w:lineRule="auto"/>
        <w:jc w:val="both"/>
        <w:rPr>
          <w:rFonts w:ascii="ITC Avant Garde" w:eastAsia="Arial" w:hAnsi="ITC Avant Garde"/>
        </w:rPr>
      </w:pPr>
    </w:p>
    <w:p w14:paraId="209FA565" w14:textId="4D0BB84E" w:rsidR="00A37306" w:rsidRPr="00C007AB" w:rsidRDefault="00952D01" w:rsidP="002D45C6">
      <w:pPr>
        <w:spacing w:after="0" w:line="240" w:lineRule="auto"/>
        <w:jc w:val="both"/>
        <w:rPr>
          <w:rFonts w:ascii="ITC Avant Garde" w:eastAsia="Arial" w:hAnsi="ITC Avant Garde"/>
          <w:b/>
        </w:rPr>
      </w:pPr>
      <w:r w:rsidRPr="00C007AB">
        <w:rPr>
          <w:rFonts w:ascii="ITC Avant Garde" w:eastAsia="Arial" w:hAnsi="ITC Avant Garde"/>
          <w:b/>
        </w:rPr>
        <w:t>V</w:t>
      </w:r>
      <w:r w:rsidR="00583F9A" w:rsidRPr="00C007AB">
        <w:rPr>
          <w:rFonts w:ascii="ITC Avant Garde" w:eastAsia="Arial" w:hAnsi="ITC Avant Garde"/>
          <w:b/>
        </w:rPr>
        <w:t>.-</w:t>
      </w:r>
      <w:r w:rsidR="00042565" w:rsidRPr="00C007AB">
        <w:rPr>
          <w:rFonts w:ascii="ITC Avant Garde" w:eastAsia="Arial" w:hAnsi="ITC Avant Garde"/>
          <w:b/>
        </w:rPr>
        <w:t xml:space="preserve"> </w:t>
      </w:r>
      <w:r w:rsidR="000A5DBC" w:rsidRPr="00C007AB">
        <w:rPr>
          <w:rFonts w:ascii="ITC Avant Garde" w:eastAsia="Arial" w:hAnsi="ITC Avant Garde"/>
          <w:b/>
        </w:rPr>
        <w:t>Ejecutoria de Amparo 499/2011.-</w:t>
      </w:r>
      <w:r w:rsidR="000A5DBC" w:rsidRPr="00C007AB">
        <w:rPr>
          <w:rFonts w:ascii="ITC Avant Garde" w:eastAsia="Arial" w:hAnsi="ITC Avant Garde"/>
        </w:rPr>
        <w:t xml:space="preserve"> A efecto de dar cumplimiento al fallo protector, mediante resolución contenida en el oficio </w:t>
      </w:r>
      <w:r w:rsidR="000A5DBC" w:rsidRPr="00C007AB">
        <w:rPr>
          <w:rFonts w:ascii="ITC Avant Garde" w:eastAsia="Arial" w:hAnsi="ITC Avant Garde"/>
          <w:b/>
        </w:rPr>
        <w:t>CFT/D01/STP/724/12</w:t>
      </w:r>
      <w:r w:rsidR="000A5DBC" w:rsidRPr="00C007AB">
        <w:rPr>
          <w:rFonts w:ascii="ITC Avant Garde" w:eastAsia="Arial" w:hAnsi="ITC Avant Garde"/>
        </w:rPr>
        <w:t xml:space="preserve">, de fecha </w:t>
      </w:r>
      <w:r w:rsidR="001E65A6" w:rsidRPr="00C007AB">
        <w:rPr>
          <w:rFonts w:ascii="ITC Avant Garde" w:eastAsia="Arial" w:hAnsi="ITC Avant Garde"/>
        </w:rPr>
        <w:t xml:space="preserve">23 de febrero de 2012, emitida por el Pleno de la COFETEL y aprobada mediante acuerdo </w:t>
      </w:r>
      <w:r w:rsidR="001E65A6" w:rsidRPr="00C007AB">
        <w:rPr>
          <w:rFonts w:ascii="ITC Avant Garde" w:eastAsia="Arial" w:hAnsi="ITC Avant Garde"/>
          <w:b/>
        </w:rPr>
        <w:t>P/EXT/230214/4,</w:t>
      </w:r>
      <w:r w:rsidR="001E65A6" w:rsidRPr="00C007AB">
        <w:rPr>
          <w:rFonts w:ascii="ITC Avant Garde" w:eastAsia="Arial" w:hAnsi="ITC Avant Garde"/>
        </w:rPr>
        <w:t xml:space="preserve"> de la </w:t>
      </w:r>
      <w:r w:rsidR="008506EE">
        <w:rPr>
          <w:rFonts w:ascii="ITC Avant Garde" w:eastAsia="Arial" w:hAnsi="ITC Avant Garde"/>
        </w:rPr>
        <w:t xml:space="preserve">I </w:t>
      </w:r>
      <w:r w:rsidR="001E65A6" w:rsidRPr="00C007AB">
        <w:rPr>
          <w:rFonts w:ascii="ITC Avant Garde" w:eastAsia="Arial" w:hAnsi="ITC Avant Garde"/>
        </w:rPr>
        <w:t>Sesión Extraordinaria, se resolvió declarar improcedente la solicitud de concesión presentada por José Pérez Ramírez, para instalar, operar</w:t>
      </w:r>
      <w:r w:rsidR="001E65A6" w:rsidRPr="00C007AB">
        <w:rPr>
          <w:rFonts w:ascii="ITC Avant Garde" w:hAnsi="ITC Avant Garde"/>
          <w:lang w:eastAsia="es-MX"/>
        </w:rPr>
        <w:t xml:space="preserve"> y explotar comercialmente la frecuencia 98.9 MHz, con distintivo </w:t>
      </w:r>
      <w:r w:rsidR="008506EE">
        <w:rPr>
          <w:rFonts w:ascii="ITC Avant Garde" w:hAnsi="ITC Avant Garde"/>
          <w:lang w:eastAsia="es-MX"/>
        </w:rPr>
        <w:t xml:space="preserve"> de llamada </w:t>
      </w:r>
      <w:r w:rsidR="001E65A6" w:rsidRPr="00C007AB">
        <w:rPr>
          <w:rFonts w:ascii="ITC Avant Garde" w:hAnsi="ITC Avant Garde"/>
          <w:lang w:eastAsia="es-MX"/>
        </w:rPr>
        <w:t>XHDGM-FM y población principal a servir Playa del Carmen, Quintana Roo, por considerar que no cumplieron con los requisitos del Acuerdo de Susceptibilidad establecidos en los numerales 2.2.2., 2.2.2.1., 2.2.2.2., 2.2.3.2., 2.2.1.1.4., 6, 8 y 9, así como porque la información proporcionada no se ajustó a las disposiciones contenida en los numerales 10.7.3 y 10.7.4 del Capítulo 10 de la Norma Oficial Mexicana NOM-02SCT1-199.</w:t>
      </w:r>
    </w:p>
    <w:p w14:paraId="2798E823" w14:textId="77777777" w:rsidR="00952D01" w:rsidRPr="00C007AB" w:rsidRDefault="00952D01" w:rsidP="002D45C6">
      <w:pPr>
        <w:spacing w:after="0" w:line="240" w:lineRule="auto"/>
        <w:jc w:val="both"/>
        <w:rPr>
          <w:rFonts w:ascii="ITC Avant Garde" w:eastAsia="Arial" w:hAnsi="ITC Avant Garde"/>
        </w:rPr>
      </w:pPr>
    </w:p>
    <w:p w14:paraId="300E5564" w14:textId="55AA7727" w:rsidR="001E65A6" w:rsidRPr="00C007AB" w:rsidRDefault="001E65A6" w:rsidP="002D45C6">
      <w:pPr>
        <w:spacing w:after="0" w:line="240" w:lineRule="auto"/>
        <w:jc w:val="both"/>
        <w:rPr>
          <w:rFonts w:ascii="ITC Avant Garde" w:eastAsia="Arial" w:hAnsi="ITC Avant Garde"/>
        </w:rPr>
      </w:pPr>
      <w:r w:rsidRPr="00C007AB">
        <w:rPr>
          <w:rFonts w:ascii="ITC Avant Garde" w:eastAsia="Arial" w:hAnsi="ITC Avant Garde"/>
          <w:b/>
        </w:rPr>
        <w:t>VI.</w:t>
      </w:r>
      <w:r w:rsidRPr="00C007AB">
        <w:rPr>
          <w:rFonts w:ascii="ITC Avant Garde" w:eastAsia="Arial" w:hAnsi="ITC Avant Garde"/>
        </w:rPr>
        <w:t xml:space="preserve"> </w:t>
      </w:r>
      <w:r w:rsidRPr="00C007AB">
        <w:rPr>
          <w:rFonts w:ascii="ITC Avant Garde" w:eastAsia="Arial" w:hAnsi="ITC Avant Garde"/>
          <w:b/>
        </w:rPr>
        <w:t>Juicio de nulidad.-</w:t>
      </w:r>
      <w:r w:rsidRPr="00C007AB">
        <w:rPr>
          <w:rFonts w:ascii="ITC Avant Garde" w:eastAsia="Arial" w:hAnsi="ITC Avant Garde"/>
        </w:rPr>
        <w:t xml:space="preserve"> El 22 de marzo de 2012, José Pérez Ramírez promovió juicio de nulidad en contra de la resolución descrita en el párrafo anterior, mismo que toc</w:t>
      </w:r>
      <w:r w:rsidR="00965563">
        <w:rPr>
          <w:rFonts w:ascii="ITC Avant Garde" w:eastAsia="Arial" w:hAnsi="ITC Avant Garde"/>
        </w:rPr>
        <w:t>ó</w:t>
      </w:r>
      <w:r w:rsidRPr="00C007AB">
        <w:rPr>
          <w:rFonts w:ascii="ITC Avant Garde" w:eastAsia="Arial" w:hAnsi="ITC Avant Garde"/>
        </w:rPr>
        <w:t xml:space="preserve"> conocer a la Sala Especializada en Resoluciones de Órg</w:t>
      </w:r>
      <w:r w:rsidR="00BD25E8" w:rsidRPr="00C007AB">
        <w:rPr>
          <w:rFonts w:ascii="ITC Avant Garde" w:eastAsia="Arial" w:hAnsi="ITC Avant Garde"/>
        </w:rPr>
        <w:t>a</w:t>
      </w:r>
      <w:r w:rsidRPr="00C007AB">
        <w:rPr>
          <w:rFonts w:ascii="ITC Avant Garde" w:eastAsia="Arial" w:hAnsi="ITC Avant Garde"/>
        </w:rPr>
        <w:t xml:space="preserve">nos </w:t>
      </w:r>
      <w:r w:rsidR="00BD25E8" w:rsidRPr="00C007AB">
        <w:rPr>
          <w:rFonts w:ascii="ITC Avant Garde" w:eastAsia="Arial" w:hAnsi="ITC Avant Garde"/>
        </w:rPr>
        <w:t xml:space="preserve">Reguladores </w:t>
      </w:r>
      <w:r w:rsidRPr="00C007AB">
        <w:rPr>
          <w:rFonts w:ascii="ITC Avant Garde" w:eastAsia="Arial" w:hAnsi="ITC Avant Garde"/>
        </w:rPr>
        <w:t xml:space="preserve">de la Actividad del Estado del </w:t>
      </w:r>
      <w:r w:rsidR="00BD25E8" w:rsidRPr="00C007AB">
        <w:rPr>
          <w:rFonts w:ascii="ITC Avant Garde" w:eastAsia="Arial" w:hAnsi="ITC Avant Garde"/>
        </w:rPr>
        <w:t xml:space="preserve">Tribunal Federal Justicia Fiscal y Administrativa, la cual fue registrada con el número  del expediente </w:t>
      </w:r>
      <w:r w:rsidR="00BD25E8" w:rsidRPr="00C007AB">
        <w:rPr>
          <w:rFonts w:ascii="ITC Avant Garde" w:eastAsia="Arial" w:hAnsi="ITC Avant Garde"/>
          <w:b/>
        </w:rPr>
        <w:t>574/12-EOR-01-7</w:t>
      </w:r>
      <w:r w:rsidR="00BD25E8" w:rsidRPr="00C007AB">
        <w:rPr>
          <w:rFonts w:ascii="ITC Avant Garde" w:eastAsia="Arial" w:hAnsi="ITC Avant Garde"/>
        </w:rPr>
        <w:t>.</w:t>
      </w:r>
    </w:p>
    <w:p w14:paraId="30EEAC87" w14:textId="77777777" w:rsidR="001E65A6" w:rsidRPr="00C007AB" w:rsidRDefault="001E65A6" w:rsidP="002D45C6">
      <w:pPr>
        <w:spacing w:after="0" w:line="240" w:lineRule="auto"/>
        <w:jc w:val="both"/>
        <w:rPr>
          <w:rFonts w:ascii="ITC Avant Garde" w:eastAsia="Arial" w:hAnsi="ITC Avant Garde"/>
        </w:rPr>
      </w:pPr>
    </w:p>
    <w:p w14:paraId="4F5D90A8" w14:textId="07AA05D0" w:rsidR="001E65A6" w:rsidRPr="00C007AB" w:rsidRDefault="00BD25E8" w:rsidP="002D45C6">
      <w:pPr>
        <w:spacing w:after="0" w:line="240" w:lineRule="auto"/>
        <w:jc w:val="both"/>
        <w:rPr>
          <w:rFonts w:ascii="ITC Avant Garde" w:eastAsia="Arial" w:hAnsi="ITC Avant Garde"/>
        </w:rPr>
      </w:pPr>
      <w:r w:rsidRPr="00C007AB">
        <w:rPr>
          <w:rFonts w:ascii="ITC Avant Garde" w:eastAsia="Arial" w:hAnsi="ITC Avant Garde"/>
          <w:b/>
        </w:rPr>
        <w:t>VII.-</w:t>
      </w:r>
      <w:r w:rsidRPr="00C007AB">
        <w:rPr>
          <w:rFonts w:ascii="ITC Avant Garde" w:eastAsia="Arial" w:hAnsi="ITC Avant Garde"/>
        </w:rPr>
        <w:t xml:space="preserve"> </w:t>
      </w:r>
      <w:r w:rsidRPr="00C007AB">
        <w:rPr>
          <w:rFonts w:ascii="ITC Avant Garde" w:eastAsia="Arial" w:hAnsi="ITC Avant Garde"/>
          <w:b/>
        </w:rPr>
        <w:t>Sentencia de juicio de nulidad.-</w:t>
      </w:r>
      <w:r w:rsidRPr="00C007AB">
        <w:rPr>
          <w:rFonts w:ascii="ITC Avant Garde" w:eastAsia="Arial" w:hAnsi="ITC Avant Garde"/>
        </w:rPr>
        <w:t xml:space="preserve"> Una vez sustanciado en sus términos el juicio de nulidad, mediante sentencia de fecha 30 de agosto de 2012, se resolvió declarar la nulidad de la resolución contenida en el oficio </w:t>
      </w:r>
      <w:r w:rsidRPr="00C007AB">
        <w:rPr>
          <w:rFonts w:ascii="ITC Avant Garde" w:eastAsia="Arial" w:hAnsi="ITC Avant Garde"/>
          <w:b/>
        </w:rPr>
        <w:t>CFT/D01/STP/724/12</w:t>
      </w:r>
      <w:r w:rsidRPr="00C007AB">
        <w:rPr>
          <w:rFonts w:ascii="ITC Avant Garde" w:eastAsia="Arial" w:hAnsi="ITC Avant Garde"/>
        </w:rPr>
        <w:t>, de fecha 23 de febrero de 2012, para el efecto de que la autoridad demandada con fundamento en el artículo 17-A de la Ley Federal de Procedimiento Administrativo, requiriera a la actora, para que subsanara las omisiones detectadas en su solicitud de concesión, a efecto de estar en posibilidad de resolver lo conducente.</w:t>
      </w:r>
    </w:p>
    <w:p w14:paraId="53836029" w14:textId="77777777" w:rsidR="001E65A6" w:rsidRPr="00C007AB" w:rsidRDefault="001E65A6" w:rsidP="002D45C6">
      <w:pPr>
        <w:spacing w:after="0" w:line="240" w:lineRule="auto"/>
        <w:jc w:val="both"/>
        <w:rPr>
          <w:rFonts w:ascii="ITC Avant Garde" w:eastAsia="Arial" w:hAnsi="ITC Avant Garde"/>
        </w:rPr>
      </w:pPr>
    </w:p>
    <w:p w14:paraId="720CEAA5" w14:textId="41C30741" w:rsidR="001E65A6" w:rsidRPr="00C007AB" w:rsidRDefault="007B6D83" w:rsidP="002D45C6">
      <w:pPr>
        <w:spacing w:after="0" w:line="240" w:lineRule="auto"/>
        <w:jc w:val="both"/>
        <w:rPr>
          <w:rFonts w:ascii="ITC Avant Garde" w:eastAsia="Arial" w:hAnsi="ITC Avant Garde"/>
        </w:rPr>
      </w:pPr>
      <w:r>
        <w:rPr>
          <w:rFonts w:ascii="ITC Avant Garde" w:eastAsia="Arial" w:hAnsi="ITC Avant Garde"/>
          <w:b/>
        </w:rPr>
        <w:t>VIII</w:t>
      </w:r>
      <w:r w:rsidR="00BD25E8" w:rsidRPr="00C007AB">
        <w:rPr>
          <w:rFonts w:ascii="ITC Avant Garde" w:eastAsia="Arial" w:hAnsi="ITC Avant Garde"/>
          <w:b/>
        </w:rPr>
        <w:t>.- Decreto de Reforma Constitucional.-</w:t>
      </w:r>
      <w:r w:rsidR="00BD25E8" w:rsidRPr="00C007AB">
        <w:rPr>
          <w:rFonts w:ascii="ITC Avant Garde" w:eastAsia="Arial" w:hAnsi="ITC Avant Garde"/>
        </w:rPr>
        <w:t xml:space="preserve"> El 11 de</w:t>
      </w:r>
      <w:r w:rsidR="00844E4C" w:rsidRPr="00C007AB">
        <w:rPr>
          <w:rFonts w:ascii="ITC Avant Garde" w:eastAsia="Arial" w:hAnsi="ITC Avant Garde"/>
        </w:rPr>
        <w:t xml:space="preserve"> </w:t>
      </w:r>
      <w:r w:rsidR="00BD25E8" w:rsidRPr="00C007AB">
        <w:rPr>
          <w:rFonts w:ascii="ITC Avant Garde" w:eastAsia="Arial" w:hAnsi="ITC Avant Garde"/>
        </w:rPr>
        <w:t xml:space="preserve">junio de 2013, </w:t>
      </w:r>
      <w:r w:rsidR="00844E4C" w:rsidRPr="00C007AB">
        <w:rPr>
          <w:rFonts w:ascii="ITC Avant Garde" w:eastAsia="Arial" w:hAnsi="ITC Avant Garde"/>
        </w:rPr>
        <w:t>se publicó en el Diario Oficial de la Federación el “</w:t>
      </w:r>
      <w:r w:rsidR="00844E4C" w:rsidRPr="00D85C35">
        <w:rPr>
          <w:rFonts w:ascii="ITC Avant Garde" w:eastAsia="Arial" w:hAnsi="ITC Avant Garde"/>
          <w:i/>
        </w:rPr>
        <w:t>Decreto por el que se reforman y adicionan diversas disposiciones de los artículos 6º, 7º, 27, 28, 73, 78, 94 y 105 de la Constitución Política de los Estados Unidos Mexicanos, en materia de telecomunicaciones</w:t>
      </w:r>
      <w:r w:rsidR="00844E4C" w:rsidRPr="00C007AB">
        <w:rPr>
          <w:rFonts w:ascii="ITC Avant Garde" w:eastAsia="Arial" w:hAnsi="ITC Avant Garde"/>
        </w:rPr>
        <w:t>” (en lo sucesivo, el “Decreto de Reforma Constitucional”), mediante el cual se creó el Instituto Federal de Telecomunicaciones (en lo sucesivo, el “Instituto”).</w:t>
      </w:r>
    </w:p>
    <w:p w14:paraId="7492AF67" w14:textId="77777777" w:rsidR="00844E4C" w:rsidRPr="00C007AB" w:rsidRDefault="00844E4C" w:rsidP="002D45C6">
      <w:pPr>
        <w:spacing w:after="0" w:line="240" w:lineRule="auto"/>
        <w:jc w:val="both"/>
        <w:rPr>
          <w:rFonts w:ascii="ITC Avant Garde" w:eastAsia="Arial" w:hAnsi="ITC Avant Garde"/>
        </w:rPr>
      </w:pPr>
    </w:p>
    <w:p w14:paraId="3A5FFF2D" w14:textId="1CACF4C2" w:rsidR="00844E4C" w:rsidRPr="00C007AB" w:rsidRDefault="007B6D83" w:rsidP="002D45C6">
      <w:pPr>
        <w:spacing w:after="0" w:line="240" w:lineRule="auto"/>
        <w:jc w:val="both"/>
        <w:rPr>
          <w:rFonts w:ascii="ITC Avant Garde" w:eastAsia="Arial" w:hAnsi="ITC Avant Garde"/>
        </w:rPr>
      </w:pPr>
      <w:r>
        <w:rPr>
          <w:rFonts w:ascii="ITC Avant Garde" w:eastAsia="Arial" w:hAnsi="ITC Avant Garde"/>
          <w:b/>
        </w:rPr>
        <w:lastRenderedPageBreak/>
        <w:t>I</w:t>
      </w:r>
      <w:r w:rsidR="00844E4C" w:rsidRPr="00C007AB">
        <w:rPr>
          <w:rFonts w:ascii="ITC Avant Garde" w:eastAsia="Arial" w:hAnsi="ITC Avant Garde"/>
          <w:b/>
        </w:rPr>
        <w:t>X.- Cumplimiento a la sentencia del juicio de nulidad.-</w:t>
      </w:r>
      <w:r w:rsidR="00844E4C" w:rsidRPr="00C007AB">
        <w:rPr>
          <w:rFonts w:ascii="ITC Avant Garde" w:eastAsia="Arial" w:hAnsi="ITC Avant Garde"/>
        </w:rPr>
        <w:t xml:space="preserve"> Mediante oficio </w:t>
      </w:r>
      <w:r w:rsidR="00A45587" w:rsidRPr="00C007AB">
        <w:rPr>
          <w:rFonts w:ascii="ITC Avant Garde" w:eastAsia="Arial" w:hAnsi="ITC Avant Garde"/>
          <w:b/>
        </w:rPr>
        <w:t>IFT</w:t>
      </w:r>
      <w:r w:rsidR="00844E4C" w:rsidRPr="00C007AB">
        <w:rPr>
          <w:rFonts w:ascii="ITC Avant Garde" w:eastAsia="Arial" w:hAnsi="ITC Avant Garde"/>
          <w:b/>
        </w:rPr>
        <w:t>/D02/USRTV/DGATS/065/2013</w:t>
      </w:r>
      <w:r w:rsidR="00A05AEE">
        <w:rPr>
          <w:rFonts w:ascii="ITC Avant Garde" w:eastAsia="Arial" w:hAnsi="ITC Avant Garde"/>
          <w:b/>
        </w:rPr>
        <w:t>,</w:t>
      </w:r>
      <w:r w:rsidR="00844E4C" w:rsidRPr="00C007AB">
        <w:rPr>
          <w:rFonts w:ascii="ITC Avant Garde" w:eastAsia="Arial" w:hAnsi="ITC Avant Garde"/>
        </w:rPr>
        <w:t xml:space="preserve"> de fecha 22 de noviembre de 2013 y notificado personalmente el 25 del mismo mes y año, en cumplimiento de la resolución emitida en el juicio de nulidad, el Instituto Federal de Telecomunicaciones, requirió a José Pérez Ramírez en los términos preci</w:t>
      </w:r>
      <w:r w:rsidR="00A45587" w:rsidRPr="00C007AB">
        <w:rPr>
          <w:rFonts w:ascii="ITC Avant Garde" w:eastAsia="Arial" w:hAnsi="ITC Avant Garde"/>
        </w:rPr>
        <w:t>sados</w:t>
      </w:r>
      <w:r w:rsidR="006844F7">
        <w:rPr>
          <w:rFonts w:ascii="ITC Avant Garde" w:eastAsia="Arial" w:hAnsi="ITC Avant Garde"/>
        </w:rPr>
        <w:t xml:space="preserve"> por la </w:t>
      </w:r>
      <w:r w:rsidR="006844F7" w:rsidRPr="00C007AB">
        <w:rPr>
          <w:rFonts w:ascii="ITC Avant Garde" w:eastAsia="Arial" w:hAnsi="ITC Avant Garde"/>
        </w:rPr>
        <w:t>Sala del Tribunal Federal Justicia Fiscal y Administrativa</w:t>
      </w:r>
      <w:r w:rsidR="006844F7">
        <w:rPr>
          <w:rFonts w:ascii="ITC Avant Garde" w:eastAsia="Arial" w:hAnsi="ITC Avant Garde"/>
        </w:rPr>
        <w:t xml:space="preserve"> en </w:t>
      </w:r>
      <w:r w:rsidR="006844F7" w:rsidRPr="00C007AB">
        <w:rPr>
          <w:rFonts w:ascii="ITC Avant Garde" w:eastAsia="Arial" w:hAnsi="ITC Avant Garde"/>
        </w:rPr>
        <w:t>sentencia de fecha 30 de agosto de 2012</w:t>
      </w:r>
      <w:r w:rsidR="00A45587" w:rsidRPr="00C007AB">
        <w:rPr>
          <w:rFonts w:ascii="ITC Avant Garde" w:eastAsia="Arial" w:hAnsi="ITC Avant Garde"/>
        </w:rPr>
        <w:t>.</w:t>
      </w:r>
    </w:p>
    <w:p w14:paraId="0FCD2576" w14:textId="77777777" w:rsidR="00A45587" w:rsidRPr="00C007AB" w:rsidRDefault="00A45587" w:rsidP="002D45C6">
      <w:pPr>
        <w:spacing w:after="0" w:line="240" w:lineRule="auto"/>
        <w:jc w:val="both"/>
        <w:rPr>
          <w:rFonts w:ascii="ITC Avant Garde" w:eastAsia="Arial" w:hAnsi="ITC Avant Garde"/>
        </w:rPr>
      </w:pPr>
    </w:p>
    <w:p w14:paraId="4C22D79D" w14:textId="71FA1FC1" w:rsidR="001E65A6" w:rsidRPr="00C007AB" w:rsidRDefault="00A45587" w:rsidP="002D45C6">
      <w:pPr>
        <w:spacing w:after="0" w:line="240" w:lineRule="auto"/>
        <w:jc w:val="both"/>
        <w:rPr>
          <w:rFonts w:ascii="ITC Avant Garde" w:hAnsi="ITC Avant Garde"/>
          <w:lang w:eastAsia="es-MX"/>
        </w:rPr>
      </w:pPr>
      <w:r w:rsidRPr="00C007AB">
        <w:rPr>
          <w:rFonts w:ascii="ITC Avant Garde" w:eastAsia="Arial" w:hAnsi="ITC Avant Garde"/>
          <w:b/>
        </w:rPr>
        <w:t xml:space="preserve">X.- </w:t>
      </w:r>
      <w:r w:rsidR="00A05AEE">
        <w:rPr>
          <w:rFonts w:ascii="ITC Avant Garde" w:eastAsia="Arial" w:hAnsi="ITC Avant Garde"/>
          <w:b/>
        </w:rPr>
        <w:t>Respuesta al R</w:t>
      </w:r>
      <w:r w:rsidR="00A025BD" w:rsidRPr="00C007AB">
        <w:rPr>
          <w:rFonts w:ascii="ITC Avant Garde" w:eastAsia="Arial" w:hAnsi="ITC Avant Garde"/>
          <w:b/>
        </w:rPr>
        <w:t>equerimiento.-</w:t>
      </w:r>
      <w:r w:rsidR="00A025BD" w:rsidRPr="00C007AB">
        <w:rPr>
          <w:rFonts w:ascii="ITC Avant Garde" w:eastAsia="Arial" w:hAnsi="ITC Avant Garde"/>
        </w:rPr>
        <w:t xml:space="preserve"> El 2 de diciembre del 2013, a través del escrito registrado con el número de folio de entrada </w:t>
      </w:r>
      <w:r w:rsidR="00A025BD" w:rsidRPr="00C007AB">
        <w:rPr>
          <w:rFonts w:ascii="ITC Avant Garde" w:eastAsia="Arial" w:hAnsi="ITC Avant Garde"/>
          <w:b/>
        </w:rPr>
        <w:t>010098</w:t>
      </w:r>
      <w:r w:rsidR="00A025BD" w:rsidRPr="00C007AB">
        <w:rPr>
          <w:rFonts w:ascii="ITC Avant Garde" w:eastAsia="Arial" w:hAnsi="ITC Avant Garde"/>
        </w:rPr>
        <w:t xml:space="preserve">, presentado ante este Instituto, José Pérez Ramírez, en su carácter de solicitante de una concesión </w:t>
      </w:r>
      <w:r w:rsidR="00A05AEE">
        <w:rPr>
          <w:rFonts w:ascii="ITC Avant Garde" w:eastAsia="Arial" w:hAnsi="ITC Avant Garde"/>
        </w:rPr>
        <w:t xml:space="preserve">para </w:t>
      </w:r>
      <w:r w:rsidR="00A025BD" w:rsidRPr="00C007AB">
        <w:rPr>
          <w:rFonts w:ascii="ITC Avant Garde" w:eastAsia="Arial" w:hAnsi="ITC Avant Garde"/>
        </w:rPr>
        <w:t>instalar, operar</w:t>
      </w:r>
      <w:r w:rsidR="00A025BD" w:rsidRPr="00C007AB">
        <w:rPr>
          <w:rFonts w:ascii="ITC Avant Garde" w:hAnsi="ITC Avant Garde"/>
          <w:lang w:eastAsia="es-MX"/>
        </w:rPr>
        <w:t xml:space="preserve"> y explotar comercialmente la frecuencia 98.9 MHz, con distintivo </w:t>
      </w:r>
      <w:r w:rsidR="00A05AEE">
        <w:rPr>
          <w:rFonts w:ascii="ITC Avant Garde" w:hAnsi="ITC Avant Garde"/>
          <w:lang w:eastAsia="es-MX"/>
        </w:rPr>
        <w:t xml:space="preserve">de llamada </w:t>
      </w:r>
      <w:r w:rsidR="00A025BD" w:rsidRPr="00C007AB">
        <w:rPr>
          <w:rFonts w:ascii="ITC Avant Garde" w:hAnsi="ITC Avant Garde"/>
          <w:lang w:eastAsia="es-MX"/>
        </w:rPr>
        <w:t>XHDGM-FM y población principal a servir Playa del Carmen dio respuesta al requerimiento que le fuera formulado y solicitó se le otorgara la concesión.</w:t>
      </w:r>
    </w:p>
    <w:p w14:paraId="6FB68144" w14:textId="77777777" w:rsidR="000375C4" w:rsidRPr="00C007AB" w:rsidRDefault="000375C4" w:rsidP="002D45C6">
      <w:pPr>
        <w:spacing w:after="0" w:line="240" w:lineRule="auto"/>
        <w:jc w:val="both"/>
        <w:rPr>
          <w:rFonts w:ascii="ITC Avant Garde" w:eastAsia="Arial" w:hAnsi="ITC Avant Garde"/>
        </w:rPr>
      </w:pPr>
    </w:p>
    <w:p w14:paraId="478A08BC" w14:textId="23A11278" w:rsidR="000375C4" w:rsidRPr="00C007AB" w:rsidRDefault="000375C4" w:rsidP="002D45C6">
      <w:pPr>
        <w:spacing w:after="0" w:line="240" w:lineRule="auto"/>
        <w:jc w:val="both"/>
        <w:rPr>
          <w:rFonts w:ascii="ITC Avant Garde" w:eastAsia="Arial" w:hAnsi="ITC Avant Garde"/>
        </w:rPr>
      </w:pPr>
      <w:r w:rsidRPr="00C007AB">
        <w:rPr>
          <w:rFonts w:ascii="ITC Avant Garde" w:eastAsia="Arial" w:hAnsi="ITC Avant Garde"/>
          <w:b/>
        </w:rPr>
        <w:t>X</w:t>
      </w:r>
      <w:r w:rsidR="00CA3683" w:rsidRPr="00C007AB">
        <w:rPr>
          <w:rFonts w:ascii="ITC Avant Garde" w:eastAsia="Arial" w:hAnsi="ITC Avant Garde"/>
          <w:b/>
        </w:rPr>
        <w:t>I.</w:t>
      </w:r>
      <w:r w:rsidRPr="00C007AB">
        <w:rPr>
          <w:rFonts w:ascii="ITC Avant Garde" w:eastAsia="Arial" w:hAnsi="ITC Avant Garde"/>
          <w:b/>
        </w:rPr>
        <w:t>- Decreto de Ley</w:t>
      </w:r>
      <w:r w:rsidRPr="00C007AB">
        <w:rPr>
          <w:rFonts w:ascii="ITC Avant Garde" w:eastAsia="Arial" w:hAnsi="ITC Avant Garde"/>
        </w:rPr>
        <w:t>.- El 14 de julio de 2014, se publicó en el DOF el “</w:t>
      </w:r>
      <w:r w:rsidRPr="00D85C35">
        <w:rPr>
          <w:rFonts w:ascii="ITC Avant Garde" w:eastAsia="Arial" w:hAnsi="ITC Avant Garde"/>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C007AB">
        <w:rPr>
          <w:rFonts w:ascii="ITC Avant Garde" w:eastAsia="Arial" w:hAnsi="ITC Avant Garde"/>
        </w:rPr>
        <w:t>” (en lo sucesivo el “Decreto de Ley”), el cual entró en vigor el 13 de agosto de 2014.</w:t>
      </w:r>
    </w:p>
    <w:p w14:paraId="157DF808" w14:textId="77777777" w:rsidR="000375C4" w:rsidRPr="00C007AB" w:rsidRDefault="000375C4" w:rsidP="002D45C6">
      <w:pPr>
        <w:spacing w:after="0" w:line="240" w:lineRule="auto"/>
        <w:jc w:val="both"/>
        <w:rPr>
          <w:rFonts w:ascii="ITC Avant Garde" w:eastAsia="Arial" w:hAnsi="ITC Avant Garde"/>
        </w:rPr>
      </w:pPr>
    </w:p>
    <w:p w14:paraId="1CA0F551" w14:textId="754E5A09" w:rsidR="000375C4" w:rsidRDefault="000375C4" w:rsidP="002D45C6">
      <w:pPr>
        <w:pStyle w:val="Prrafodelista"/>
        <w:ind w:left="0"/>
        <w:jc w:val="both"/>
        <w:rPr>
          <w:rFonts w:ascii="ITC Avant Garde" w:eastAsia="Arial" w:hAnsi="ITC Avant Garde"/>
          <w:sz w:val="22"/>
          <w:szCs w:val="22"/>
        </w:rPr>
      </w:pPr>
      <w:r w:rsidRPr="00C007AB">
        <w:rPr>
          <w:rFonts w:ascii="ITC Avant Garde" w:eastAsia="Arial" w:hAnsi="ITC Avant Garde"/>
          <w:b/>
          <w:sz w:val="22"/>
          <w:szCs w:val="22"/>
        </w:rPr>
        <w:t>X</w:t>
      </w:r>
      <w:r w:rsidR="00CA3683" w:rsidRPr="00C007AB">
        <w:rPr>
          <w:rFonts w:ascii="ITC Avant Garde" w:eastAsia="Arial" w:hAnsi="ITC Avant Garde"/>
          <w:b/>
          <w:sz w:val="22"/>
          <w:szCs w:val="22"/>
        </w:rPr>
        <w:t>I</w:t>
      </w:r>
      <w:r w:rsidRPr="00C007AB">
        <w:rPr>
          <w:rFonts w:ascii="ITC Avant Garde" w:eastAsia="Arial" w:hAnsi="ITC Avant Garde"/>
          <w:b/>
          <w:sz w:val="22"/>
          <w:szCs w:val="22"/>
        </w:rPr>
        <w:t>I.- Estatuto Orgánico</w:t>
      </w:r>
      <w:r w:rsidRPr="00C007AB">
        <w:rPr>
          <w:rFonts w:ascii="ITC Avant Garde" w:eastAsia="Arial" w:hAnsi="ITC Avant Garde"/>
          <w:sz w:val="22"/>
          <w:szCs w:val="22"/>
        </w:rPr>
        <w:t>.- El 4 de septiembre de 2014, se publicó en el DOF el “</w:t>
      </w:r>
      <w:r w:rsidRPr="00D85C35">
        <w:rPr>
          <w:rFonts w:ascii="ITC Avant Garde" w:eastAsia="Arial" w:hAnsi="ITC Avant Garde"/>
          <w:i/>
          <w:sz w:val="22"/>
          <w:szCs w:val="22"/>
        </w:rPr>
        <w:t>Estatuto Orgánico del Instituto Federal de Telecomunicaciones</w:t>
      </w:r>
      <w:r w:rsidRPr="00C007AB">
        <w:rPr>
          <w:rFonts w:ascii="ITC Avant Garde" w:eastAsia="Arial" w:hAnsi="ITC Avant Garde"/>
          <w:sz w:val="22"/>
          <w:szCs w:val="22"/>
        </w:rPr>
        <w:t>” (en lo sucesivo, el “Estatuto Orgánico”), mismo que entró en vigor el 26 de septiembre de 2014, el cual se modificó a través del “Acuerdo por el que se modifica el Estatuto Orgánico del Instituto Federal de Telecomunicaciones”, publicado en el DOF el 17 de octubre de 2014.</w:t>
      </w:r>
    </w:p>
    <w:p w14:paraId="01A355F3" w14:textId="77777777" w:rsidR="002D45C6" w:rsidRPr="00C007AB" w:rsidRDefault="002D45C6" w:rsidP="002D45C6">
      <w:pPr>
        <w:pStyle w:val="Prrafodelista"/>
        <w:ind w:left="0"/>
        <w:jc w:val="both"/>
        <w:rPr>
          <w:rFonts w:ascii="ITC Avant Garde" w:eastAsia="Arial" w:hAnsi="ITC Avant Garde"/>
          <w:sz w:val="22"/>
          <w:szCs w:val="22"/>
        </w:rPr>
      </w:pPr>
    </w:p>
    <w:p w14:paraId="41E0950D" w14:textId="59E1004E" w:rsidR="00A025BD" w:rsidRPr="00C007AB" w:rsidRDefault="007B6D83" w:rsidP="002D45C6">
      <w:pPr>
        <w:spacing w:after="0" w:line="240" w:lineRule="auto"/>
        <w:jc w:val="both"/>
        <w:rPr>
          <w:rFonts w:ascii="ITC Avant Garde" w:hAnsi="ITC Avant Garde"/>
          <w:lang w:eastAsia="es-MX"/>
        </w:rPr>
      </w:pPr>
      <w:r>
        <w:rPr>
          <w:rFonts w:ascii="ITC Avant Garde" w:hAnsi="ITC Avant Garde"/>
          <w:b/>
          <w:lang w:eastAsia="es-MX"/>
        </w:rPr>
        <w:t>X</w:t>
      </w:r>
      <w:r w:rsidR="00686CF0" w:rsidRPr="00C007AB">
        <w:rPr>
          <w:rFonts w:ascii="ITC Avant Garde" w:hAnsi="ITC Avant Garde"/>
          <w:b/>
          <w:lang w:eastAsia="es-MX"/>
        </w:rPr>
        <w:t>I</w:t>
      </w:r>
      <w:r>
        <w:rPr>
          <w:rFonts w:ascii="ITC Avant Garde" w:hAnsi="ITC Avant Garde"/>
          <w:b/>
          <w:lang w:eastAsia="es-MX"/>
        </w:rPr>
        <w:t>II</w:t>
      </w:r>
      <w:r w:rsidR="00686CF0" w:rsidRPr="00C007AB">
        <w:rPr>
          <w:rFonts w:ascii="ITC Avant Garde" w:hAnsi="ITC Avant Garde"/>
          <w:b/>
          <w:lang w:eastAsia="es-MX"/>
        </w:rPr>
        <w:t>.- Juicio de Amparo por falta de respuesta al requerimiento.-</w:t>
      </w:r>
      <w:r w:rsidR="00686CF0" w:rsidRPr="00C007AB">
        <w:rPr>
          <w:rFonts w:ascii="ITC Avant Garde" w:hAnsi="ITC Avant Garde"/>
          <w:lang w:eastAsia="es-MX"/>
        </w:rPr>
        <w:t xml:space="preserve"> Ante la falta de respuesta al escrito </w:t>
      </w:r>
      <w:r w:rsidR="00A05AEE">
        <w:rPr>
          <w:rFonts w:ascii="ITC Avant Garde" w:hAnsi="ITC Avant Garde"/>
          <w:lang w:eastAsia="es-MX"/>
        </w:rPr>
        <w:t xml:space="preserve">presentado en desahogo </w:t>
      </w:r>
      <w:r w:rsidR="00C74AFE">
        <w:rPr>
          <w:rFonts w:ascii="ITC Avant Garde" w:hAnsi="ITC Avant Garde"/>
          <w:lang w:eastAsia="es-MX"/>
        </w:rPr>
        <w:t xml:space="preserve">al requerimiento, </w:t>
      </w:r>
      <w:r w:rsidR="00902383" w:rsidRPr="00C007AB">
        <w:rPr>
          <w:rFonts w:ascii="ITC Avant Garde" w:hAnsi="ITC Avant Garde"/>
          <w:lang w:eastAsia="es-MX"/>
        </w:rPr>
        <w:t>el 10 de marzo 2015</w:t>
      </w:r>
      <w:r w:rsidR="00C74AFE">
        <w:rPr>
          <w:rFonts w:ascii="ITC Avant Garde" w:hAnsi="ITC Avant Garde"/>
          <w:lang w:eastAsia="es-MX"/>
        </w:rPr>
        <w:t xml:space="preserve"> </w:t>
      </w:r>
      <w:r w:rsidR="00902383" w:rsidRPr="00C007AB">
        <w:rPr>
          <w:rFonts w:ascii="ITC Avant Garde" w:hAnsi="ITC Avant Garde"/>
          <w:lang w:eastAsia="es-MX"/>
        </w:rPr>
        <w:t>fue notifi</w:t>
      </w:r>
      <w:r w:rsidR="00D44CF8" w:rsidRPr="00C007AB">
        <w:rPr>
          <w:rFonts w:ascii="ITC Avant Garde" w:hAnsi="ITC Avant Garde"/>
          <w:lang w:eastAsia="es-MX"/>
        </w:rPr>
        <w:t>c</w:t>
      </w:r>
      <w:r w:rsidR="00902383" w:rsidRPr="00C007AB">
        <w:rPr>
          <w:rFonts w:ascii="ITC Avant Garde" w:hAnsi="ITC Avant Garde"/>
          <w:lang w:eastAsia="es-MX"/>
        </w:rPr>
        <w:t>ado a</w:t>
      </w:r>
      <w:r w:rsidR="00C74AFE">
        <w:rPr>
          <w:rFonts w:ascii="ITC Avant Garde" w:hAnsi="ITC Avant Garde"/>
          <w:lang w:eastAsia="es-MX"/>
        </w:rPr>
        <w:t>l</w:t>
      </w:r>
      <w:r w:rsidR="00902383" w:rsidRPr="00C007AB">
        <w:rPr>
          <w:rFonts w:ascii="ITC Avant Garde" w:hAnsi="ITC Avant Garde"/>
          <w:lang w:eastAsia="es-MX"/>
        </w:rPr>
        <w:t xml:space="preserve"> Instituto el acuerdo de</w:t>
      </w:r>
      <w:r w:rsidR="00D44CF8" w:rsidRPr="00C007AB">
        <w:rPr>
          <w:rFonts w:ascii="ITC Avant Garde" w:hAnsi="ITC Avant Garde"/>
          <w:lang w:eastAsia="es-MX"/>
        </w:rPr>
        <w:t xml:space="preserve"> fecha 9 del mismo mes y año, a </w:t>
      </w:r>
      <w:r w:rsidR="00902383" w:rsidRPr="00C007AB">
        <w:rPr>
          <w:rFonts w:ascii="ITC Avant Garde" w:hAnsi="ITC Avant Garde"/>
          <w:lang w:eastAsia="es-MX"/>
        </w:rPr>
        <w:t>tr</w:t>
      </w:r>
      <w:r w:rsidR="00D44CF8" w:rsidRPr="00C007AB">
        <w:rPr>
          <w:rFonts w:ascii="ITC Avant Garde" w:hAnsi="ITC Avant Garde"/>
          <w:lang w:eastAsia="es-MX"/>
        </w:rPr>
        <w:t>a</w:t>
      </w:r>
      <w:r w:rsidR="00902383" w:rsidRPr="00C007AB">
        <w:rPr>
          <w:rFonts w:ascii="ITC Avant Garde" w:hAnsi="ITC Avant Garde"/>
          <w:lang w:eastAsia="es-MX"/>
        </w:rPr>
        <w:t>v</w:t>
      </w:r>
      <w:r w:rsidR="00911E10">
        <w:rPr>
          <w:rFonts w:ascii="ITC Avant Garde" w:hAnsi="ITC Avant Garde"/>
          <w:lang w:eastAsia="es-MX"/>
        </w:rPr>
        <w:t>és de cual, el Juzgado Segundo a</w:t>
      </w:r>
      <w:r w:rsidR="00902383" w:rsidRPr="00C007AB">
        <w:rPr>
          <w:rFonts w:ascii="ITC Avant Garde" w:hAnsi="ITC Avant Garde"/>
          <w:lang w:eastAsia="es-MX"/>
        </w:rPr>
        <w:t>dmitió a tr</w:t>
      </w:r>
      <w:r w:rsidR="00D44CF8" w:rsidRPr="00C007AB">
        <w:rPr>
          <w:rFonts w:ascii="ITC Avant Garde" w:hAnsi="ITC Avant Garde"/>
          <w:lang w:eastAsia="es-MX"/>
        </w:rPr>
        <w:t>ámite la deman</w:t>
      </w:r>
      <w:r w:rsidR="00902383" w:rsidRPr="00C007AB">
        <w:rPr>
          <w:rFonts w:ascii="ITC Avant Garde" w:hAnsi="ITC Avant Garde"/>
          <w:lang w:eastAsia="es-MX"/>
        </w:rPr>
        <w:t>da de juicio de amparo promovid</w:t>
      </w:r>
      <w:r w:rsidR="002E603C">
        <w:rPr>
          <w:rFonts w:ascii="ITC Avant Garde" w:hAnsi="ITC Avant Garde"/>
          <w:lang w:eastAsia="es-MX"/>
        </w:rPr>
        <w:t>a</w:t>
      </w:r>
      <w:r w:rsidR="00902383" w:rsidRPr="00C007AB">
        <w:rPr>
          <w:rFonts w:ascii="ITC Avant Garde" w:hAnsi="ITC Avant Garde"/>
          <w:lang w:eastAsia="es-MX"/>
        </w:rPr>
        <w:t xml:space="preserve"> por José Pérez Ramírez, mismo que fue registrado con el número de expediente </w:t>
      </w:r>
      <w:r w:rsidR="00902383" w:rsidRPr="00C007AB">
        <w:rPr>
          <w:rFonts w:ascii="ITC Avant Garde" w:hAnsi="ITC Avant Garde"/>
          <w:b/>
          <w:lang w:eastAsia="es-MX"/>
        </w:rPr>
        <w:t>54/2015</w:t>
      </w:r>
      <w:r w:rsidR="00D44CF8" w:rsidRPr="00C007AB">
        <w:rPr>
          <w:rFonts w:ascii="ITC Avant Garde" w:hAnsi="ITC Avant Garde"/>
          <w:lang w:eastAsia="es-MX"/>
        </w:rPr>
        <w:t>.</w:t>
      </w:r>
    </w:p>
    <w:p w14:paraId="5FC2DAFA" w14:textId="77777777" w:rsidR="00A025BD" w:rsidRPr="00C007AB" w:rsidRDefault="00A025BD" w:rsidP="002D45C6">
      <w:pPr>
        <w:spacing w:after="0" w:line="240" w:lineRule="auto"/>
        <w:jc w:val="both"/>
        <w:rPr>
          <w:rFonts w:ascii="ITC Avant Garde" w:eastAsia="Arial" w:hAnsi="ITC Avant Garde"/>
        </w:rPr>
      </w:pPr>
    </w:p>
    <w:p w14:paraId="51579F0E" w14:textId="37AF66FD" w:rsidR="00D44CF8" w:rsidRPr="00C007AB" w:rsidRDefault="00E60F61" w:rsidP="002D45C6">
      <w:pPr>
        <w:spacing w:after="0" w:line="240" w:lineRule="auto"/>
        <w:jc w:val="both"/>
        <w:rPr>
          <w:rFonts w:ascii="ITC Avant Garde" w:hAnsi="ITC Avant Garde"/>
          <w:lang w:eastAsia="es-MX"/>
        </w:rPr>
      </w:pPr>
      <w:r>
        <w:rPr>
          <w:rFonts w:ascii="ITC Avant Garde" w:eastAsia="Arial" w:hAnsi="ITC Avant Garde"/>
          <w:b/>
        </w:rPr>
        <w:t>X</w:t>
      </w:r>
      <w:r w:rsidR="007B6D83">
        <w:rPr>
          <w:rFonts w:ascii="ITC Avant Garde" w:eastAsia="Arial" w:hAnsi="ITC Avant Garde"/>
          <w:b/>
        </w:rPr>
        <w:t>I</w:t>
      </w:r>
      <w:r w:rsidR="00CA3683" w:rsidRPr="00C007AB">
        <w:rPr>
          <w:rFonts w:ascii="ITC Avant Garde" w:eastAsia="Arial" w:hAnsi="ITC Avant Garde"/>
          <w:b/>
        </w:rPr>
        <w:t>V</w:t>
      </w:r>
      <w:r w:rsidR="00D44CF8" w:rsidRPr="00C007AB">
        <w:rPr>
          <w:rFonts w:ascii="ITC Avant Garde" w:eastAsia="Arial" w:hAnsi="ITC Avant Garde"/>
          <w:b/>
        </w:rPr>
        <w:t>.</w:t>
      </w:r>
      <w:r w:rsidR="007B6D83">
        <w:rPr>
          <w:rFonts w:ascii="ITC Avant Garde" w:eastAsia="Arial" w:hAnsi="ITC Avant Garde"/>
          <w:b/>
        </w:rPr>
        <w:t>-</w:t>
      </w:r>
      <w:r w:rsidR="00D44CF8" w:rsidRPr="00C007AB">
        <w:rPr>
          <w:rFonts w:ascii="ITC Avant Garde" w:eastAsia="Arial" w:hAnsi="ITC Avant Garde"/>
        </w:rPr>
        <w:t xml:space="preserve"> </w:t>
      </w:r>
      <w:r w:rsidR="00D44CF8" w:rsidRPr="00C007AB">
        <w:rPr>
          <w:rFonts w:ascii="ITC Avant Garde" w:eastAsia="Arial" w:hAnsi="ITC Avant Garde"/>
          <w:b/>
        </w:rPr>
        <w:t>Sentencia de juicio de amparo 54/2015</w:t>
      </w:r>
      <w:r w:rsidR="00E570C4" w:rsidRPr="00C007AB">
        <w:rPr>
          <w:rFonts w:ascii="ITC Avant Garde" w:eastAsia="Arial" w:hAnsi="ITC Avant Garde"/>
        </w:rPr>
        <w:t>.-</w:t>
      </w:r>
      <w:r w:rsidR="00E570C4" w:rsidRPr="00C007AB">
        <w:t xml:space="preserve"> </w:t>
      </w:r>
      <w:r w:rsidR="00E570C4" w:rsidRPr="00C007AB">
        <w:rPr>
          <w:rFonts w:ascii="ITC Avant Garde" w:hAnsi="ITC Avant Garde"/>
          <w:lang w:eastAsia="es-MX"/>
        </w:rPr>
        <w:t>El 21 de mayo de 2015, una vez agotadas las etapas procesales en el juicio de amparo de referencia, el Juzgado Segundo emitió la sentencia definitiva, en la cual resolvió amparar y proteger a</w:t>
      </w:r>
      <w:r w:rsidR="00C74AFE">
        <w:rPr>
          <w:rFonts w:ascii="ITC Avant Garde" w:hAnsi="ITC Avant Garde"/>
          <w:lang w:eastAsia="es-MX"/>
        </w:rPr>
        <w:t>l C.</w:t>
      </w:r>
      <w:r w:rsidR="00E570C4" w:rsidRPr="00C007AB">
        <w:rPr>
          <w:rFonts w:ascii="ITC Avant Garde" w:hAnsi="ITC Avant Garde"/>
          <w:lang w:eastAsia="es-MX"/>
        </w:rPr>
        <w:t xml:space="preserve"> José Pérez Ramírez.</w:t>
      </w:r>
    </w:p>
    <w:p w14:paraId="297DCE0E" w14:textId="77777777" w:rsidR="00D44CF8" w:rsidRPr="00C007AB" w:rsidRDefault="00D44CF8" w:rsidP="002D45C6">
      <w:pPr>
        <w:spacing w:after="0" w:line="240" w:lineRule="auto"/>
        <w:jc w:val="both"/>
        <w:rPr>
          <w:rFonts w:ascii="ITC Avant Garde" w:hAnsi="ITC Avant Garde"/>
          <w:lang w:eastAsia="es-MX"/>
        </w:rPr>
      </w:pPr>
    </w:p>
    <w:p w14:paraId="5A56AD20" w14:textId="27D5A60D" w:rsidR="00F923B2" w:rsidRPr="00C007AB" w:rsidRDefault="00E570C4" w:rsidP="002D45C6">
      <w:pPr>
        <w:spacing w:after="0" w:line="240" w:lineRule="auto"/>
        <w:jc w:val="both"/>
        <w:rPr>
          <w:rFonts w:ascii="ITC Avant Garde" w:hAnsi="ITC Avant Garde"/>
          <w:lang w:eastAsia="es-MX"/>
        </w:rPr>
      </w:pPr>
      <w:r w:rsidRPr="00C007AB">
        <w:rPr>
          <w:rFonts w:ascii="ITC Avant Garde" w:hAnsi="ITC Avant Garde"/>
          <w:b/>
          <w:lang w:eastAsia="es-MX"/>
        </w:rPr>
        <w:t>X</w:t>
      </w:r>
      <w:r w:rsidR="00CA3683" w:rsidRPr="00C007AB">
        <w:rPr>
          <w:rFonts w:ascii="ITC Avant Garde" w:hAnsi="ITC Avant Garde"/>
          <w:b/>
          <w:lang w:eastAsia="es-MX"/>
        </w:rPr>
        <w:t>V</w:t>
      </w:r>
      <w:r w:rsidRPr="00C007AB">
        <w:rPr>
          <w:rFonts w:ascii="ITC Avant Garde" w:hAnsi="ITC Avant Garde"/>
          <w:b/>
          <w:lang w:eastAsia="es-MX"/>
        </w:rPr>
        <w:t>.-</w:t>
      </w:r>
      <w:r w:rsidRPr="00C007AB">
        <w:rPr>
          <w:rFonts w:ascii="ITC Avant Garde" w:hAnsi="ITC Avant Garde"/>
          <w:lang w:eastAsia="es-MX"/>
        </w:rPr>
        <w:t xml:space="preserve"> </w:t>
      </w:r>
      <w:r w:rsidRPr="00C007AB">
        <w:rPr>
          <w:rFonts w:ascii="ITC Avant Garde" w:hAnsi="ITC Avant Garde"/>
          <w:b/>
          <w:lang w:eastAsia="es-MX"/>
        </w:rPr>
        <w:t>Recurso de Revisión en el amparo 54/2015</w:t>
      </w:r>
      <w:r w:rsidRPr="00C007AB">
        <w:rPr>
          <w:rFonts w:ascii="ITC Avant Garde" w:hAnsi="ITC Avant Garde"/>
          <w:lang w:eastAsia="es-MX"/>
        </w:rPr>
        <w:t xml:space="preserve">.- El 4 de junio de 2015, Director General de Defensa Jurídica del Instituto, interpuso recurso de revisión en contra de la sentencia definitiva descrita en el numeral que antecede, el cual fue admitido por el Tribunal </w:t>
      </w:r>
      <w:r w:rsidR="00D35BD4">
        <w:rPr>
          <w:rFonts w:ascii="ITC Avant Garde" w:hAnsi="ITC Avant Garde"/>
          <w:lang w:eastAsia="es-MX"/>
        </w:rPr>
        <w:t xml:space="preserve">Segundo </w:t>
      </w:r>
      <w:r w:rsidRPr="00C007AB">
        <w:rPr>
          <w:rFonts w:ascii="ITC Avant Garde" w:hAnsi="ITC Avant Garde"/>
          <w:lang w:eastAsia="es-MX"/>
        </w:rPr>
        <w:t>Colegiado mediante auto de fecha 12 de junio de 2015, ordenándose su registro bajo e</w:t>
      </w:r>
      <w:r w:rsidR="00BC1114">
        <w:rPr>
          <w:rFonts w:ascii="ITC Avant Garde" w:hAnsi="ITC Avant Garde"/>
          <w:lang w:eastAsia="es-MX"/>
        </w:rPr>
        <w:t>l</w:t>
      </w:r>
      <w:r w:rsidRPr="00C007AB">
        <w:rPr>
          <w:rFonts w:ascii="ITC Avant Garde" w:hAnsi="ITC Avant Garde"/>
          <w:lang w:eastAsia="es-MX"/>
        </w:rPr>
        <w:t xml:space="preserve"> número </w:t>
      </w:r>
      <w:r w:rsidRPr="00C007AB">
        <w:rPr>
          <w:rFonts w:ascii="ITC Avant Garde" w:hAnsi="ITC Avant Garde"/>
          <w:b/>
          <w:lang w:eastAsia="es-MX"/>
        </w:rPr>
        <w:t>R.A. 77/2014</w:t>
      </w:r>
      <w:r w:rsidR="00F923B2" w:rsidRPr="00C007AB">
        <w:rPr>
          <w:rFonts w:ascii="ITC Avant Garde" w:hAnsi="ITC Avant Garde"/>
          <w:lang w:eastAsia="es-MX"/>
        </w:rPr>
        <w:t xml:space="preserve"> y el 23 de julio de 2015, el </w:t>
      </w:r>
      <w:r w:rsidR="002E603C">
        <w:rPr>
          <w:rFonts w:ascii="ITC Avant Garde" w:hAnsi="ITC Avant Garde"/>
          <w:lang w:eastAsia="es-MX"/>
        </w:rPr>
        <w:t xml:space="preserve">Segundo </w:t>
      </w:r>
      <w:r w:rsidR="00F923B2" w:rsidRPr="00C007AB">
        <w:rPr>
          <w:rFonts w:ascii="ITC Avant Garde" w:hAnsi="ITC Avant Garde"/>
          <w:lang w:eastAsia="es-MX"/>
        </w:rPr>
        <w:t xml:space="preserve">Tribunal Colegiado dictó la sentencia correspondiente a través de la cual </w:t>
      </w:r>
      <w:r w:rsidR="00F923B2" w:rsidRPr="00C007AB">
        <w:rPr>
          <w:rFonts w:ascii="ITC Avant Garde" w:hAnsi="ITC Avant Garde"/>
          <w:lang w:eastAsia="es-MX"/>
        </w:rPr>
        <w:lastRenderedPageBreak/>
        <w:t>determinó c</w:t>
      </w:r>
      <w:r w:rsidR="00C74AFE">
        <w:rPr>
          <w:rFonts w:ascii="ITC Avant Garde" w:hAnsi="ITC Avant Garde"/>
          <w:lang w:eastAsia="es-MX"/>
        </w:rPr>
        <w:t>onfirmar la sentencia recurrida y amparar y proteger a José Pérez Ramírez</w:t>
      </w:r>
      <w:r w:rsidR="006844F7">
        <w:rPr>
          <w:rFonts w:ascii="ITC Avant Garde" w:hAnsi="ITC Avant Garde"/>
          <w:lang w:eastAsia="es-MX"/>
        </w:rPr>
        <w:t>.</w:t>
      </w:r>
    </w:p>
    <w:p w14:paraId="4A3C8DC0" w14:textId="77777777" w:rsidR="00D44CF8" w:rsidRPr="00C007AB" w:rsidRDefault="00D44CF8" w:rsidP="002D45C6">
      <w:pPr>
        <w:spacing w:after="0" w:line="240" w:lineRule="auto"/>
        <w:jc w:val="both"/>
        <w:rPr>
          <w:rFonts w:ascii="ITC Avant Garde" w:hAnsi="ITC Avant Garde"/>
          <w:lang w:eastAsia="es-MX"/>
        </w:rPr>
      </w:pPr>
    </w:p>
    <w:p w14:paraId="1016D286" w14:textId="4A5001E9" w:rsidR="00D44CF8" w:rsidRPr="00C007AB" w:rsidRDefault="004F19F1" w:rsidP="002D45C6">
      <w:pPr>
        <w:spacing w:after="0" w:line="240" w:lineRule="auto"/>
        <w:jc w:val="both"/>
        <w:rPr>
          <w:rFonts w:ascii="ITC Avant Garde" w:hAnsi="ITC Avant Garde"/>
          <w:lang w:eastAsia="es-MX"/>
        </w:rPr>
      </w:pPr>
      <w:r w:rsidRPr="00C007AB">
        <w:rPr>
          <w:rFonts w:ascii="ITC Avant Garde" w:hAnsi="ITC Avant Garde"/>
          <w:b/>
          <w:lang w:eastAsia="es-MX"/>
        </w:rPr>
        <w:t>XV</w:t>
      </w:r>
      <w:r w:rsidR="00CA3683" w:rsidRPr="00C007AB">
        <w:rPr>
          <w:rFonts w:ascii="ITC Avant Garde" w:hAnsi="ITC Avant Garde"/>
          <w:b/>
          <w:lang w:eastAsia="es-MX"/>
        </w:rPr>
        <w:t>I</w:t>
      </w:r>
      <w:r w:rsidRPr="00C007AB">
        <w:rPr>
          <w:rFonts w:ascii="ITC Avant Garde" w:hAnsi="ITC Avant Garde"/>
          <w:b/>
          <w:lang w:eastAsia="es-MX"/>
        </w:rPr>
        <w:t>.- Cumplimiento de la ejecutoria de la acción de amparo 54/2015.-</w:t>
      </w:r>
      <w:r w:rsidRPr="00C007AB">
        <w:rPr>
          <w:rFonts w:ascii="ITC Avant Garde" w:hAnsi="ITC Avant Garde"/>
          <w:lang w:eastAsia="es-MX"/>
        </w:rPr>
        <w:t xml:space="preserve"> Mediante acuerdo de fecha 28 de juli</w:t>
      </w:r>
      <w:r w:rsidR="00707E76" w:rsidRPr="00C007AB">
        <w:rPr>
          <w:rFonts w:ascii="ITC Avant Garde" w:hAnsi="ITC Avant Garde"/>
          <w:lang w:eastAsia="es-MX"/>
        </w:rPr>
        <w:t xml:space="preserve">o </w:t>
      </w:r>
      <w:r w:rsidRPr="00C007AB">
        <w:rPr>
          <w:rFonts w:ascii="ITC Avant Garde" w:hAnsi="ITC Avant Garde"/>
          <w:lang w:eastAsia="es-MX"/>
        </w:rPr>
        <w:t xml:space="preserve">del </w:t>
      </w:r>
      <w:r w:rsidR="00707E76" w:rsidRPr="00C007AB">
        <w:rPr>
          <w:rFonts w:ascii="ITC Avant Garde" w:hAnsi="ITC Avant Garde"/>
          <w:lang w:eastAsia="es-MX"/>
        </w:rPr>
        <w:t>2015 el Juzgado Segundo requirió</w:t>
      </w:r>
      <w:r w:rsidR="00C74AFE">
        <w:rPr>
          <w:rFonts w:ascii="ITC Avant Garde" w:hAnsi="ITC Avant Garde"/>
          <w:lang w:eastAsia="es-MX"/>
        </w:rPr>
        <w:t xml:space="preserve"> al Instituto</w:t>
      </w:r>
      <w:r w:rsidR="00707E76" w:rsidRPr="00C007AB">
        <w:rPr>
          <w:rFonts w:ascii="ITC Avant Garde" w:hAnsi="ITC Avant Garde"/>
          <w:lang w:eastAsia="es-MX"/>
        </w:rPr>
        <w:t xml:space="preserve"> para que en el término de diez días siguientes contados a partir de aquel en que surtiera efectos la notificación de éste</w:t>
      </w:r>
      <w:r w:rsidR="00C74AFE">
        <w:rPr>
          <w:rFonts w:ascii="ITC Avant Garde" w:hAnsi="ITC Avant Garde"/>
          <w:lang w:eastAsia="es-MX"/>
        </w:rPr>
        <w:t xml:space="preserve"> se acreditará ante el mismo el cumplimiento de la ejecutoria</w:t>
      </w:r>
      <w:r w:rsidR="00707E76" w:rsidRPr="00C007AB">
        <w:rPr>
          <w:rFonts w:ascii="ITC Avant Garde" w:hAnsi="ITC Avant Garde"/>
          <w:lang w:eastAsia="es-MX"/>
        </w:rPr>
        <w:t xml:space="preserve">, </w:t>
      </w:r>
      <w:r w:rsidR="009D0277" w:rsidRPr="00C007AB">
        <w:rPr>
          <w:rFonts w:ascii="ITC Avant Garde" w:hAnsi="ITC Avant Garde"/>
          <w:lang w:eastAsia="es-MX"/>
        </w:rPr>
        <w:t xml:space="preserve">al efecto </w:t>
      </w:r>
      <w:r w:rsidR="00707E76" w:rsidRPr="00C007AB">
        <w:rPr>
          <w:rFonts w:ascii="ITC Avant Garde" w:hAnsi="ITC Avant Garde"/>
          <w:lang w:eastAsia="es-MX"/>
        </w:rPr>
        <w:t>el Pl</w:t>
      </w:r>
      <w:r w:rsidR="009D0277" w:rsidRPr="00C007AB">
        <w:rPr>
          <w:rFonts w:ascii="ITC Avant Garde" w:hAnsi="ITC Avant Garde"/>
          <w:lang w:eastAsia="es-MX"/>
        </w:rPr>
        <w:t>e</w:t>
      </w:r>
      <w:r w:rsidR="00707E76" w:rsidRPr="00C007AB">
        <w:rPr>
          <w:rFonts w:ascii="ITC Avant Garde" w:hAnsi="ITC Avant Garde"/>
          <w:lang w:eastAsia="es-MX"/>
        </w:rPr>
        <w:t xml:space="preserve">no del Instituto Federal de Telecomunicaciones emitió </w:t>
      </w:r>
      <w:r w:rsidR="009D0277" w:rsidRPr="00C007AB">
        <w:rPr>
          <w:rFonts w:ascii="ITC Avant Garde" w:hAnsi="ITC Avant Garde"/>
          <w:lang w:eastAsia="es-MX"/>
        </w:rPr>
        <w:t xml:space="preserve">Acuerdo </w:t>
      </w:r>
      <w:r w:rsidR="009D0277" w:rsidRPr="00C007AB">
        <w:rPr>
          <w:rFonts w:ascii="ITC Avant Garde" w:hAnsi="ITC Avant Garde"/>
          <w:b/>
          <w:lang w:eastAsia="es-MX"/>
        </w:rPr>
        <w:t>P/IFT/250815/390</w:t>
      </w:r>
      <w:r w:rsidR="009D0277" w:rsidRPr="00C007AB">
        <w:rPr>
          <w:rFonts w:ascii="ITC Avant Garde" w:hAnsi="ITC Avant Garde"/>
          <w:lang w:eastAsia="es-MX"/>
        </w:rPr>
        <w:t xml:space="preserve"> en la XVII Sesión Ordinaria celebrada el 25 de agosto de 2015</w:t>
      </w:r>
      <w:r w:rsidR="009045EA">
        <w:rPr>
          <w:rFonts w:ascii="ITC Avant Garde" w:hAnsi="ITC Avant Garde"/>
          <w:lang w:eastAsia="es-MX"/>
        </w:rPr>
        <w:t xml:space="preserve"> y en su </w:t>
      </w:r>
      <w:r w:rsidR="006844F7">
        <w:rPr>
          <w:rFonts w:ascii="ITC Avant Garde" w:hAnsi="ITC Avant Garde"/>
          <w:lang w:eastAsia="es-MX"/>
        </w:rPr>
        <w:t xml:space="preserve">Considerando Cuarto </w:t>
      </w:r>
      <w:r w:rsidR="009045EA">
        <w:rPr>
          <w:rFonts w:ascii="ITC Avant Garde" w:hAnsi="ITC Avant Garde"/>
          <w:lang w:eastAsia="es-MX"/>
        </w:rPr>
        <w:t>se señaló</w:t>
      </w:r>
      <w:r w:rsidR="00B3426F" w:rsidRPr="00C007AB">
        <w:rPr>
          <w:rFonts w:ascii="ITC Avant Garde" w:hAnsi="ITC Avant Garde"/>
          <w:lang w:eastAsia="es-MX"/>
        </w:rPr>
        <w:t>:</w:t>
      </w:r>
    </w:p>
    <w:p w14:paraId="56971500" w14:textId="77777777" w:rsidR="00B3426F" w:rsidRPr="00C007AB" w:rsidRDefault="00B3426F" w:rsidP="00186CEE">
      <w:pPr>
        <w:spacing w:after="0"/>
        <w:jc w:val="both"/>
        <w:rPr>
          <w:rFonts w:ascii="ITC Avant Garde" w:hAnsi="ITC Avant Garde"/>
          <w:lang w:eastAsia="es-MX"/>
        </w:rPr>
      </w:pPr>
    </w:p>
    <w:p w14:paraId="7D0D9549" w14:textId="77777777" w:rsidR="00B3426F" w:rsidRPr="00C007AB" w:rsidRDefault="00B3426F" w:rsidP="00C24137">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t xml:space="preserve">“… de conformidad con lo dispuesto en los artículos 27, 28 y 134 de la Constitución Política de los Estados Unidos Mexicanos, en las normas previstas en el Decreto de Reformas de 2006, en particular el artículo 17 de la Ley Federal de Radio y Televisión, así como como los artículos 54 y 56 de la Ley, las concesiones de radiodifusión comercial únicamente pueden ser otorgadas mediante un procedimiento de licitación pública, para el cual es Estado tiene derecho a recibir una contraprestación económica, a juicio de esta autoridad </w:t>
      </w:r>
      <w:r w:rsidRPr="00C007AB">
        <w:rPr>
          <w:rFonts w:ascii="ITC Avant Garde" w:hAnsi="ITC Avant Garde"/>
          <w:b/>
          <w:i/>
          <w:sz w:val="14"/>
          <w:szCs w:val="14"/>
          <w:lang w:eastAsia="es-MX"/>
        </w:rPr>
        <w:t>resulta improcedente la solicitud</w:t>
      </w:r>
      <w:r w:rsidRPr="00C007AB">
        <w:rPr>
          <w:rFonts w:ascii="ITC Avant Garde" w:hAnsi="ITC Avant Garde"/>
          <w:i/>
          <w:sz w:val="14"/>
          <w:szCs w:val="14"/>
          <w:lang w:eastAsia="es-MX"/>
        </w:rPr>
        <w:t xml:space="preserve"> de mérito, toda vez que fue presentada sobre las bases y estructura del Acuerdo de Susceptibilidad acorde a un marco legal que ha sido abrogado, y que por su alcance y contenido no encuentra sustento jurídico que posibilite su aplicación de acuerdo a la pretensión del ahora solicitante.</w:t>
      </w:r>
      <w:r w:rsidR="00C24137" w:rsidRPr="00C007AB">
        <w:rPr>
          <w:rFonts w:ascii="ITC Avant Garde" w:hAnsi="ITC Avant Garde"/>
          <w:i/>
          <w:sz w:val="14"/>
          <w:szCs w:val="14"/>
          <w:lang w:eastAsia="es-MX"/>
        </w:rPr>
        <w:t>”</w:t>
      </w:r>
    </w:p>
    <w:p w14:paraId="0D250E21" w14:textId="77777777" w:rsidR="00707E76" w:rsidRPr="00C007AB" w:rsidRDefault="00707E76" w:rsidP="002D45C6">
      <w:pPr>
        <w:spacing w:after="0" w:line="240" w:lineRule="auto"/>
        <w:jc w:val="both"/>
        <w:rPr>
          <w:rFonts w:ascii="ITC Avant Garde" w:hAnsi="ITC Avant Garde"/>
          <w:lang w:eastAsia="es-MX"/>
        </w:rPr>
      </w:pPr>
    </w:p>
    <w:p w14:paraId="619BBE29" w14:textId="7A662288" w:rsidR="00022D04" w:rsidRPr="00C007AB" w:rsidRDefault="00C24137" w:rsidP="002D45C6">
      <w:pPr>
        <w:spacing w:after="0" w:line="240" w:lineRule="auto"/>
        <w:jc w:val="both"/>
        <w:rPr>
          <w:rFonts w:ascii="ITC Avant Garde" w:hAnsi="ITC Avant Garde"/>
          <w:lang w:eastAsia="es-MX"/>
        </w:rPr>
      </w:pPr>
      <w:r w:rsidRPr="00C007AB">
        <w:rPr>
          <w:rFonts w:ascii="ITC Avant Garde" w:hAnsi="ITC Avant Garde"/>
          <w:b/>
          <w:lang w:eastAsia="es-MX"/>
        </w:rPr>
        <w:t>XV</w:t>
      </w:r>
      <w:r w:rsidR="00CA3683" w:rsidRPr="00C007AB">
        <w:rPr>
          <w:rFonts w:ascii="ITC Avant Garde" w:hAnsi="ITC Avant Garde"/>
          <w:b/>
          <w:lang w:eastAsia="es-MX"/>
        </w:rPr>
        <w:t>II</w:t>
      </w:r>
      <w:r w:rsidRPr="00C007AB">
        <w:rPr>
          <w:rFonts w:ascii="ITC Avant Garde" w:hAnsi="ITC Avant Garde"/>
          <w:b/>
          <w:lang w:eastAsia="es-MX"/>
        </w:rPr>
        <w:t>.- Juicio de Amparo en contra de la resolución P/IFT/250815/390.-</w:t>
      </w:r>
      <w:r w:rsidRPr="00C007AB">
        <w:rPr>
          <w:rFonts w:ascii="ITC Avant Garde" w:hAnsi="ITC Avant Garde"/>
          <w:lang w:eastAsia="es-MX"/>
        </w:rPr>
        <w:t xml:space="preserve"> </w:t>
      </w:r>
      <w:r w:rsidR="00E37FAF" w:rsidRPr="00C007AB">
        <w:rPr>
          <w:rFonts w:ascii="ITC Avant Garde" w:hAnsi="ITC Avant Garde"/>
          <w:lang w:eastAsia="es-MX"/>
        </w:rPr>
        <w:t xml:space="preserve">El </w:t>
      </w:r>
      <w:r w:rsidR="00E82544" w:rsidRPr="00C007AB">
        <w:rPr>
          <w:rFonts w:ascii="ITC Avant Garde" w:hAnsi="ITC Avant Garde"/>
          <w:lang w:eastAsia="es-MX"/>
        </w:rPr>
        <w:t xml:space="preserve">C. José Pérez Ramírez el día </w:t>
      </w:r>
      <w:r w:rsidR="00022D04" w:rsidRPr="00C007AB">
        <w:rPr>
          <w:rFonts w:ascii="ITC Avant Garde" w:hAnsi="ITC Avant Garde"/>
          <w:lang w:eastAsia="es-MX"/>
        </w:rPr>
        <w:t>22 de septiembre de  2015 interpu</w:t>
      </w:r>
      <w:r w:rsidR="00E82544" w:rsidRPr="00C007AB">
        <w:rPr>
          <w:rFonts w:ascii="ITC Avant Garde" w:hAnsi="ITC Avant Garde"/>
          <w:lang w:eastAsia="es-MX"/>
        </w:rPr>
        <w:t>so</w:t>
      </w:r>
      <w:r w:rsidR="00022D04" w:rsidRPr="00C007AB">
        <w:rPr>
          <w:rFonts w:ascii="ITC Avant Garde" w:hAnsi="ITC Avant Garde"/>
          <w:lang w:eastAsia="es-MX"/>
        </w:rPr>
        <w:t xml:space="preserve"> demanda </w:t>
      </w:r>
      <w:r w:rsidR="00E82544" w:rsidRPr="00C007AB">
        <w:rPr>
          <w:rFonts w:ascii="ITC Avant Garde" w:hAnsi="ITC Avant Garde"/>
          <w:lang w:eastAsia="es-MX"/>
        </w:rPr>
        <w:t xml:space="preserve">de amparo </w:t>
      </w:r>
      <w:r w:rsidR="009A47C5" w:rsidRPr="00C007AB">
        <w:rPr>
          <w:rFonts w:ascii="ITC Avant Garde" w:hAnsi="ITC Avant Garde"/>
          <w:lang w:eastAsia="es-MX"/>
        </w:rPr>
        <w:t xml:space="preserve">la cual </w:t>
      </w:r>
      <w:r w:rsidR="00022D04" w:rsidRPr="00C007AB">
        <w:rPr>
          <w:rFonts w:ascii="ITC Avant Garde" w:hAnsi="ITC Avant Garde"/>
          <w:lang w:eastAsia="es-MX"/>
        </w:rPr>
        <w:t xml:space="preserve">fue admitida por el </w:t>
      </w:r>
      <w:r w:rsidR="00E37FAF" w:rsidRPr="00C007AB">
        <w:rPr>
          <w:rFonts w:ascii="ITC Avant Garde" w:hAnsi="ITC Avant Garde"/>
          <w:lang w:eastAsia="es-MX"/>
        </w:rPr>
        <w:t xml:space="preserve">Segundo Juzgado, </w:t>
      </w:r>
      <w:r w:rsidR="00B85A8A">
        <w:rPr>
          <w:rFonts w:ascii="ITC Avant Garde" w:hAnsi="ITC Avant Garde"/>
          <w:lang w:eastAsia="es-MX"/>
        </w:rPr>
        <w:t xml:space="preserve">la cual </w:t>
      </w:r>
      <w:r w:rsidR="00E37FAF" w:rsidRPr="00C007AB">
        <w:rPr>
          <w:rFonts w:ascii="ITC Avant Garde" w:hAnsi="ITC Avant Garde"/>
          <w:lang w:eastAsia="es-MX"/>
        </w:rPr>
        <w:t xml:space="preserve">se registró bajo el número </w:t>
      </w:r>
      <w:r w:rsidR="00E37FAF" w:rsidRPr="00C007AB">
        <w:rPr>
          <w:rFonts w:ascii="ITC Avant Garde" w:hAnsi="ITC Avant Garde"/>
          <w:b/>
          <w:lang w:eastAsia="es-MX"/>
        </w:rPr>
        <w:t>1665/2015</w:t>
      </w:r>
      <w:r w:rsidR="00E82544" w:rsidRPr="00C007AB">
        <w:rPr>
          <w:rFonts w:ascii="ITC Avant Garde" w:hAnsi="ITC Avant Garde"/>
          <w:lang w:eastAsia="es-MX"/>
        </w:rPr>
        <w:t xml:space="preserve">, </w:t>
      </w:r>
      <w:r w:rsidR="009A47C5" w:rsidRPr="00C007AB">
        <w:rPr>
          <w:rFonts w:ascii="ITC Avant Garde" w:hAnsi="ITC Avant Garde"/>
          <w:lang w:eastAsia="es-MX"/>
        </w:rPr>
        <w:t xml:space="preserve">y se resolvió mediante </w:t>
      </w:r>
      <w:r w:rsidR="00E82544" w:rsidRPr="00C007AB">
        <w:rPr>
          <w:rFonts w:ascii="ITC Avant Garde" w:hAnsi="ITC Avant Garde"/>
          <w:lang w:eastAsia="es-MX"/>
        </w:rPr>
        <w:t xml:space="preserve">sentencia de fecha </w:t>
      </w:r>
      <w:r w:rsidR="00022D04" w:rsidRPr="00C007AB">
        <w:rPr>
          <w:rFonts w:ascii="ITC Avant Garde" w:hAnsi="ITC Avant Garde"/>
          <w:b/>
          <w:lang w:eastAsia="es-MX"/>
        </w:rPr>
        <w:t>16 de diciembre de 2015</w:t>
      </w:r>
      <w:r w:rsidR="009A47C5" w:rsidRPr="00C007AB">
        <w:rPr>
          <w:rFonts w:ascii="ITC Avant Garde" w:hAnsi="ITC Avant Garde"/>
          <w:lang w:eastAsia="es-MX"/>
        </w:rPr>
        <w:t xml:space="preserve"> </w:t>
      </w:r>
      <w:r w:rsidR="00022D04" w:rsidRPr="006844F7">
        <w:rPr>
          <w:rFonts w:ascii="ITC Avant Garde" w:hAnsi="ITC Avant Garde"/>
          <w:b/>
          <w:u w:val="single"/>
          <w:lang w:eastAsia="es-MX"/>
        </w:rPr>
        <w:t>no ampar</w:t>
      </w:r>
      <w:r w:rsidR="009A47C5" w:rsidRPr="006844F7">
        <w:rPr>
          <w:rFonts w:ascii="ITC Avant Garde" w:hAnsi="ITC Avant Garde"/>
          <w:b/>
          <w:u w:val="single"/>
          <w:lang w:eastAsia="es-MX"/>
        </w:rPr>
        <w:t>ando</w:t>
      </w:r>
      <w:r w:rsidR="00022D04" w:rsidRPr="006844F7">
        <w:rPr>
          <w:rFonts w:ascii="ITC Avant Garde" w:hAnsi="ITC Avant Garde"/>
          <w:b/>
          <w:u w:val="single"/>
          <w:lang w:eastAsia="es-MX"/>
        </w:rPr>
        <w:t xml:space="preserve"> ni proteg</w:t>
      </w:r>
      <w:r w:rsidR="009A47C5" w:rsidRPr="006844F7">
        <w:rPr>
          <w:rFonts w:ascii="ITC Avant Garde" w:hAnsi="ITC Avant Garde"/>
          <w:b/>
          <w:u w:val="single"/>
          <w:lang w:eastAsia="es-MX"/>
        </w:rPr>
        <w:t>iendo</w:t>
      </w:r>
      <w:r w:rsidR="00022D04" w:rsidRPr="006844F7">
        <w:rPr>
          <w:rFonts w:ascii="ITC Avant Garde" w:hAnsi="ITC Avant Garde"/>
          <w:b/>
          <w:u w:val="single"/>
          <w:lang w:eastAsia="es-MX"/>
        </w:rPr>
        <w:t xml:space="preserve"> al </w:t>
      </w:r>
      <w:r w:rsidR="009A47C5" w:rsidRPr="006844F7">
        <w:rPr>
          <w:rFonts w:ascii="ITC Avant Garde" w:hAnsi="ITC Avant Garde"/>
          <w:b/>
          <w:u w:val="single"/>
          <w:lang w:eastAsia="es-MX"/>
        </w:rPr>
        <w:t>quejoso</w:t>
      </w:r>
      <w:r w:rsidR="00022D04" w:rsidRPr="00C007AB">
        <w:rPr>
          <w:rFonts w:ascii="ITC Avant Garde" w:hAnsi="ITC Avant Garde"/>
          <w:lang w:eastAsia="es-MX"/>
        </w:rPr>
        <w:t>.</w:t>
      </w:r>
    </w:p>
    <w:p w14:paraId="2EDB113F" w14:textId="77777777" w:rsidR="00022D04" w:rsidRPr="00C007AB" w:rsidRDefault="00022D04" w:rsidP="002D45C6">
      <w:pPr>
        <w:spacing w:after="0" w:line="240" w:lineRule="auto"/>
        <w:jc w:val="both"/>
        <w:rPr>
          <w:rFonts w:ascii="ITC Avant Garde" w:hAnsi="ITC Avant Garde"/>
          <w:lang w:eastAsia="es-MX"/>
        </w:rPr>
      </w:pPr>
    </w:p>
    <w:p w14:paraId="25317C60" w14:textId="3B47A1E9" w:rsidR="006D2136" w:rsidRPr="00C007AB" w:rsidRDefault="007B6D83" w:rsidP="002D45C6">
      <w:pPr>
        <w:spacing w:after="0" w:line="240" w:lineRule="auto"/>
        <w:jc w:val="both"/>
        <w:rPr>
          <w:rFonts w:ascii="ITC Avant Garde" w:hAnsi="ITC Avant Garde"/>
          <w:lang w:eastAsia="es-MX"/>
        </w:rPr>
      </w:pPr>
      <w:r>
        <w:rPr>
          <w:rFonts w:ascii="ITC Avant Garde" w:hAnsi="ITC Avant Garde"/>
          <w:b/>
          <w:lang w:eastAsia="es-MX"/>
        </w:rPr>
        <w:t>XVIII</w:t>
      </w:r>
      <w:r w:rsidR="006D2136" w:rsidRPr="00C007AB">
        <w:rPr>
          <w:rFonts w:ascii="ITC Avant Garde" w:hAnsi="ITC Avant Garde"/>
          <w:b/>
          <w:lang w:eastAsia="es-MX"/>
        </w:rPr>
        <w:t>.-</w:t>
      </w:r>
      <w:r w:rsidR="006D2136" w:rsidRPr="00C007AB">
        <w:rPr>
          <w:rFonts w:ascii="ITC Avant Garde" w:hAnsi="ITC Avant Garde"/>
          <w:lang w:eastAsia="es-MX"/>
        </w:rPr>
        <w:t xml:space="preserve"> </w:t>
      </w:r>
      <w:r w:rsidR="006D2136" w:rsidRPr="00C007AB">
        <w:rPr>
          <w:rFonts w:ascii="ITC Avant Garde" w:hAnsi="ITC Avant Garde"/>
          <w:b/>
          <w:lang w:eastAsia="es-MX"/>
        </w:rPr>
        <w:t>Recurso de revisión</w:t>
      </w:r>
      <w:r w:rsidR="00E82544" w:rsidRPr="00C007AB">
        <w:rPr>
          <w:rFonts w:ascii="ITC Avant Garde" w:hAnsi="ITC Avant Garde"/>
          <w:b/>
          <w:lang w:eastAsia="es-MX"/>
        </w:rPr>
        <w:t xml:space="preserve"> R.A. 12/2016</w:t>
      </w:r>
      <w:r w:rsidR="006D2136" w:rsidRPr="00C007AB">
        <w:rPr>
          <w:rFonts w:ascii="ITC Avant Garde" w:hAnsi="ITC Avant Garde"/>
          <w:lang w:eastAsia="es-MX"/>
        </w:rPr>
        <w:t xml:space="preserve">.- Mediante auto de fecha 22 de enero de 2016, el Segundo Tribunal Colegiado, </w:t>
      </w:r>
      <w:r w:rsidR="00721995" w:rsidRPr="00C007AB">
        <w:rPr>
          <w:rFonts w:ascii="ITC Avant Garde" w:hAnsi="ITC Avant Garde"/>
          <w:lang w:eastAsia="es-MX"/>
        </w:rPr>
        <w:t xml:space="preserve">admitió y registró con el número </w:t>
      </w:r>
      <w:r w:rsidR="00721995" w:rsidRPr="00C007AB">
        <w:rPr>
          <w:rFonts w:ascii="ITC Avant Garde" w:hAnsi="ITC Avant Garde"/>
          <w:b/>
          <w:lang w:eastAsia="es-MX"/>
        </w:rPr>
        <w:t>R.A. 12/2016</w:t>
      </w:r>
      <w:r w:rsidR="00721995" w:rsidRPr="00C007AB">
        <w:rPr>
          <w:rFonts w:ascii="ITC Avant Garde" w:hAnsi="ITC Avant Garde"/>
          <w:lang w:eastAsia="es-MX"/>
        </w:rPr>
        <w:t xml:space="preserve"> el recurso de revisión interpuesto por el </w:t>
      </w:r>
      <w:r w:rsidR="006D2136" w:rsidRPr="00C007AB">
        <w:rPr>
          <w:rFonts w:ascii="ITC Avant Garde" w:hAnsi="ITC Avant Garde"/>
          <w:lang w:eastAsia="es-MX"/>
        </w:rPr>
        <w:t xml:space="preserve">C. José Pérez Ramírez </w:t>
      </w:r>
      <w:r w:rsidR="00721995" w:rsidRPr="00C007AB">
        <w:rPr>
          <w:rFonts w:ascii="ITC Avant Garde" w:hAnsi="ITC Avant Garde"/>
          <w:lang w:eastAsia="es-MX"/>
        </w:rPr>
        <w:t xml:space="preserve">en contra de la sentencia de fecha </w:t>
      </w:r>
      <w:r w:rsidR="00721995" w:rsidRPr="00C007AB">
        <w:rPr>
          <w:rFonts w:ascii="ITC Avant Garde" w:hAnsi="ITC Avant Garde"/>
          <w:b/>
          <w:lang w:eastAsia="es-MX"/>
        </w:rPr>
        <w:t>16 de diciembre de 2015</w:t>
      </w:r>
      <w:r w:rsidR="00721995" w:rsidRPr="00C007AB">
        <w:rPr>
          <w:rFonts w:ascii="ITC Avant Garde" w:hAnsi="ITC Avant Garde"/>
          <w:lang w:eastAsia="es-MX"/>
        </w:rPr>
        <w:t xml:space="preserve"> emitida por el Juzgado Segundo.</w:t>
      </w:r>
    </w:p>
    <w:p w14:paraId="767D2439" w14:textId="77777777" w:rsidR="006D2136" w:rsidRPr="00C007AB" w:rsidRDefault="006D2136" w:rsidP="002D45C6">
      <w:pPr>
        <w:spacing w:after="0" w:line="240" w:lineRule="auto"/>
        <w:jc w:val="both"/>
        <w:rPr>
          <w:rFonts w:ascii="ITC Avant Garde" w:hAnsi="ITC Avant Garde"/>
          <w:lang w:eastAsia="es-MX"/>
        </w:rPr>
      </w:pPr>
    </w:p>
    <w:p w14:paraId="39E38522" w14:textId="422F2FCE" w:rsidR="007A08D6" w:rsidRPr="00C007AB" w:rsidRDefault="00721995" w:rsidP="002D45C6">
      <w:pPr>
        <w:spacing w:after="0" w:line="240" w:lineRule="auto"/>
        <w:jc w:val="both"/>
        <w:rPr>
          <w:rFonts w:ascii="ITC Avant Garde" w:hAnsi="ITC Avant Garde"/>
          <w:lang w:eastAsia="es-MX"/>
        </w:rPr>
      </w:pPr>
      <w:r w:rsidRPr="00C007AB">
        <w:rPr>
          <w:rFonts w:ascii="ITC Avant Garde" w:hAnsi="ITC Avant Garde"/>
          <w:b/>
          <w:lang w:eastAsia="es-MX"/>
        </w:rPr>
        <w:t>X</w:t>
      </w:r>
      <w:r w:rsidR="007B6D83">
        <w:rPr>
          <w:rFonts w:ascii="ITC Avant Garde" w:hAnsi="ITC Avant Garde"/>
          <w:b/>
          <w:lang w:eastAsia="es-MX"/>
        </w:rPr>
        <w:t>I</w:t>
      </w:r>
      <w:r w:rsidR="00CA3683" w:rsidRPr="00C007AB">
        <w:rPr>
          <w:rFonts w:ascii="ITC Avant Garde" w:hAnsi="ITC Avant Garde"/>
          <w:b/>
          <w:lang w:eastAsia="es-MX"/>
        </w:rPr>
        <w:t>X</w:t>
      </w:r>
      <w:r w:rsidRPr="00C007AB">
        <w:rPr>
          <w:rFonts w:ascii="ITC Avant Garde" w:hAnsi="ITC Avant Garde"/>
          <w:b/>
          <w:lang w:eastAsia="es-MX"/>
        </w:rPr>
        <w:t>.-</w:t>
      </w:r>
      <w:r w:rsidR="000A52CA" w:rsidRPr="00C007AB">
        <w:rPr>
          <w:rFonts w:ascii="ITC Avant Garde" w:hAnsi="ITC Avant Garde"/>
          <w:b/>
          <w:lang w:eastAsia="es-MX"/>
        </w:rPr>
        <w:t xml:space="preserve"> </w:t>
      </w:r>
      <w:r w:rsidR="007A08D6" w:rsidRPr="00C007AB">
        <w:rPr>
          <w:rFonts w:ascii="ITC Avant Garde" w:hAnsi="ITC Avant Garde"/>
          <w:b/>
          <w:lang w:eastAsia="es-MX"/>
        </w:rPr>
        <w:t>Ejecutoria dictada en el amparo en revisión R.A. 12/2016.-</w:t>
      </w:r>
      <w:r w:rsidR="007A08D6" w:rsidRPr="00C007AB">
        <w:rPr>
          <w:rFonts w:ascii="ITC Avant Garde" w:hAnsi="ITC Avant Garde"/>
          <w:lang w:eastAsia="es-MX"/>
        </w:rPr>
        <w:t xml:space="preserve"> </w:t>
      </w:r>
      <w:r w:rsidR="007D687C" w:rsidRPr="00C007AB">
        <w:rPr>
          <w:rFonts w:ascii="ITC Avant Garde" w:hAnsi="ITC Avant Garde"/>
          <w:lang w:eastAsia="es-MX"/>
        </w:rPr>
        <w:t>El Segundo Tribunal Colegiado, p</w:t>
      </w:r>
      <w:r w:rsidR="007A08D6" w:rsidRPr="00C007AB">
        <w:rPr>
          <w:rFonts w:ascii="ITC Avant Garde" w:hAnsi="ITC Avant Garde"/>
          <w:lang w:eastAsia="es-MX"/>
        </w:rPr>
        <w:t xml:space="preserve">revios trámites de ley </w:t>
      </w:r>
      <w:r w:rsidR="007D687C" w:rsidRPr="00C007AB">
        <w:rPr>
          <w:rFonts w:ascii="ITC Avant Garde" w:hAnsi="ITC Avant Garde"/>
          <w:lang w:eastAsia="es-MX"/>
        </w:rPr>
        <w:t xml:space="preserve">determinó </w:t>
      </w:r>
      <w:r w:rsidR="003B73DC">
        <w:rPr>
          <w:rFonts w:ascii="ITC Avant Garde" w:hAnsi="ITC Avant Garde"/>
          <w:lang w:eastAsia="es-MX"/>
        </w:rPr>
        <w:t xml:space="preserve">en la ejecutoria de fecha 25 de febrero de 2016, </w:t>
      </w:r>
      <w:r w:rsidR="001F4E88" w:rsidRPr="00C007AB">
        <w:rPr>
          <w:rFonts w:ascii="ITC Avant Garde" w:hAnsi="ITC Avant Garde"/>
          <w:lang w:eastAsia="es-MX"/>
        </w:rPr>
        <w:t>revocar la sent</w:t>
      </w:r>
      <w:r w:rsidR="003B73DC">
        <w:rPr>
          <w:rFonts w:ascii="ITC Avant Garde" w:hAnsi="ITC Avant Garde"/>
          <w:lang w:eastAsia="es-MX"/>
        </w:rPr>
        <w:t xml:space="preserve">encia recurrida, </w:t>
      </w:r>
      <w:r w:rsidR="001F4E88" w:rsidRPr="00C007AB">
        <w:rPr>
          <w:rFonts w:ascii="ITC Avant Garde" w:eastAsia="Arial" w:hAnsi="ITC Avant Garde"/>
        </w:rPr>
        <w:t>otorga</w:t>
      </w:r>
      <w:r w:rsidR="003B73DC">
        <w:rPr>
          <w:rFonts w:ascii="ITC Avant Garde" w:eastAsia="Arial" w:hAnsi="ITC Avant Garde"/>
        </w:rPr>
        <w:t>r</w:t>
      </w:r>
      <w:r w:rsidR="001F4E88" w:rsidRPr="00C007AB">
        <w:rPr>
          <w:rFonts w:ascii="ITC Avant Garde" w:eastAsia="Arial" w:hAnsi="ITC Avant Garde"/>
        </w:rPr>
        <w:t xml:space="preserve"> el amparo y protección de la justicia federal </w:t>
      </w:r>
      <w:r w:rsidR="003B73DC">
        <w:rPr>
          <w:rFonts w:ascii="ITC Avant Garde" w:eastAsia="Arial" w:hAnsi="ITC Avant Garde"/>
        </w:rPr>
        <w:t xml:space="preserve">al quejoso, </w:t>
      </w:r>
      <w:r w:rsidR="001F4E88" w:rsidRPr="00C007AB">
        <w:rPr>
          <w:rFonts w:ascii="ITC Avant Garde" w:eastAsia="Arial" w:hAnsi="ITC Avant Garde"/>
        </w:rPr>
        <w:t xml:space="preserve">para el efecto de que la autoridad responsable dejara insubsistente el acto reclamado y emitiera otro en el que resolviera sobre la solicitud de concesión efectuada por José Pérez Ramírez apegándose a lo establecido en la Ley Federal de Radio y Televisión vigente en el momento de que se realizó la </w:t>
      </w:r>
      <w:r w:rsidR="00BA236E" w:rsidRPr="00C007AB">
        <w:rPr>
          <w:rFonts w:ascii="ITC Avant Garde" w:eastAsia="Arial" w:hAnsi="ITC Avant Garde"/>
        </w:rPr>
        <w:t>solicitud</w:t>
      </w:r>
      <w:r w:rsidR="001F4E88" w:rsidRPr="00C007AB">
        <w:rPr>
          <w:rFonts w:ascii="ITC Avant Garde" w:eastAsia="Arial" w:hAnsi="ITC Avant Garde"/>
        </w:rPr>
        <w:t>, tal y como se advierte a continuación</w:t>
      </w:r>
      <w:r w:rsidR="007A08D6" w:rsidRPr="00C007AB">
        <w:rPr>
          <w:rFonts w:ascii="ITC Avant Garde" w:hAnsi="ITC Avant Garde"/>
          <w:lang w:eastAsia="es-MX"/>
        </w:rPr>
        <w:t>:</w:t>
      </w:r>
    </w:p>
    <w:p w14:paraId="68774EE1" w14:textId="77777777" w:rsidR="00E82544" w:rsidRPr="002D45C6" w:rsidRDefault="00E82544" w:rsidP="002D45C6">
      <w:pPr>
        <w:spacing w:after="0" w:line="240" w:lineRule="auto"/>
        <w:jc w:val="both"/>
        <w:rPr>
          <w:rFonts w:ascii="ITC Avant Garde" w:hAnsi="ITC Avant Garde"/>
          <w:sz w:val="16"/>
          <w:lang w:eastAsia="es-MX"/>
        </w:rPr>
      </w:pPr>
    </w:p>
    <w:p w14:paraId="4419EC4C" w14:textId="77777777" w:rsidR="007D687C" w:rsidRPr="00C007AB" w:rsidRDefault="000A52CA" w:rsidP="007D687C">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t>“</w:t>
      </w:r>
      <w:r w:rsidR="007D687C" w:rsidRPr="00C007AB">
        <w:rPr>
          <w:rFonts w:ascii="ITC Avant Garde" w:hAnsi="ITC Avant Garde"/>
          <w:i/>
          <w:sz w:val="14"/>
          <w:szCs w:val="14"/>
          <w:lang w:eastAsia="es-MX"/>
        </w:rPr>
        <w:t>(…)</w:t>
      </w:r>
    </w:p>
    <w:p w14:paraId="318B024B" w14:textId="77777777" w:rsidR="007D687C" w:rsidRPr="00C007AB" w:rsidRDefault="007D687C" w:rsidP="007D687C">
      <w:pPr>
        <w:spacing w:after="0"/>
        <w:ind w:left="851"/>
        <w:jc w:val="both"/>
        <w:rPr>
          <w:rFonts w:ascii="ITC Avant Garde" w:hAnsi="ITC Avant Garde"/>
          <w:i/>
          <w:sz w:val="14"/>
          <w:szCs w:val="14"/>
          <w:lang w:eastAsia="es-MX"/>
        </w:rPr>
      </w:pPr>
    </w:p>
    <w:p w14:paraId="3CE3B330" w14:textId="77777777" w:rsidR="007D687C" w:rsidRPr="00C007AB" w:rsidRDefault="000A52CA" w:rsidP="007D687C">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t>Así las cosas, dado el resultado alcanzado y revelada la eficacia de los conceptos d</w:t>
      </w:r>
      <w:r w:rsidR="007D687C" w:rsidRPr="00C007AB">
        <w:rPr>
          <w:rFonts w:ascii="ITC Avant Garde" w:hAnsi="ITC Avant Garde"/>
          <w:i/>
          <w:sz w:val="14"/>
          <w:szCs w:val="14"/>
          <w:lang w:eastAsia="es-MX"/>
        </w:rPr>
        <w:t xml:space="preserve">e agravio de </w:t>
      </w:r>
      <w:r w:rsidRPr="00C007AB">
        <w:rPr>
          <w:rFonts w:ascii="ITC Avant Garde" w:hAnsi="ITC Avant Garde"/>
          <w:i/>
          <w:sz w:val="14"/>
          <w:szCs w:val="14"/>
          <w:lang w:eastAsia="es-MX"/>
        </w:rPr>
        <w:t>l</w:t>
      </w:r>
      <w:r w:rsidR="007D687C" w:rsidRPr="00C007AB">
        <w:rPr>
          <w:rFonts w:ascii="ITC Avant Garde" w:hAnsi="ITC Avant Garde"/>
          <w:i/>
          <w:sz w:val="14"/>
          <w:szCs w:val="14"/>
          <w:lang w:eastAsia="es-MX"/>
        </w:rPr>
        <w:t>a</w:t>
      </w:r>
      <w:r w:rsidRPr="00C007AB">
        <w:rPr>
          <w:rFonts w:ascii="ITC Avant Garde" w:hAnsi="ITC Avant Garde"/>
          <w:i/>
          <w:sz w:val="14"/>
          <w:szCs w:val="14"/>
          <w:lang w:eastAsia="es-MX"/>
        </w:rPr>
        <w:t xml:space="preserve"> revisión principal, </w:t>
      </w:r>
      <w:r w:rsidRPr="00C007AB">
        <w:rPr>
          <w:rFonts w:ascii="ITC Avant Garde" w:hAnsi="ITC Avant Garde"/>
          <w:b/>
          <w:i/>
          <w:sz w:val="14"/>
          <w:szCs w:val="14"/>
          <w:lang w:eastAsia="es-MX"/>
        </w:rPr>
        <w:t>procede re</w:t>
      </w:r>
      <w:r w:rsidR="00573CE8">
        <w:rPr>
          <w:rFonts w:ascii="ITC Avant Garde" w:hAnsi="ITC Avant Garde"/>
          <w:b/>
          <w:i/>
          <w:sz w:val="14"/>
          <w:szCs w:val="14"/>
          <w:lang w:eastAsia="es-MX"/>
        </w:rPr>
        <w:t>v</w:t>
      </w:r>
      <w:r w:rsidRPr="00C007AB">
        <w:rPr>
          <w:rFonts w:ascii="ITC Avant Garde" w:hAnsi="ITC Avant Garde"/>
          <w:b/>
          <w:i/>
          <w:sz w:val="14"/>
          <w:szCs w:val="14"/>
          <w:lang w:eastAsia="es-MX"/>
        </w:rPr>
        <w:t>o</w:t>
      </w:r>
      <w:r w:rsidR="00573CE8">
        <w:rPr>
          <w:rFonts w:ascii="ITC Avant Garde" w:hAnsi="ITC Avant Garde"/>
          <w:b/>
          <w:i/>
          <w:sz w:val="14"/>
          <w:szCs w:val="14"/>
          <w:lang w:eastAsia="es-MX"/>
        </w:rPr>
        <w:t>c</w:t>
      </w:r>
      <w:r w:rsidRPr="00C007AB">
        <w:rPr>
          <w:rFonts w:ascii="ITC Avant Garde" w:hAnsi="ITC Avant Garde"/>
          <w:b/>
          <w:i/>
          <w:sz w:val="14"/>
          <w:szCs w:val="14"/>
          <w:lang w:eastAsia="es-MX"/>
        </w:rPr>
        <w:t>ar la sentencia recurrida y conceder el amparo al quejoso José Pérez Ramírez,</w:t>
      </w:r>
      <w:r w:rsidRPr="00C007AB">
        <w:rPr>
          <w:rFonts w:ascii="ITC Avant Garde" w:hAnsi="ITC Avant Garde"/>
          <w:i/>
          <w:sz w:val="14"/>
          <w:szCs w:val="14"/>
          <w:lang w:eastAsia="es-MX"/>
        </w:rPr>
        <w:t xml:space="preserve"> para el efecto de que el Pleno del Instituto Federal de Telecomunicaciones deje insubsistente la resolución aprobada e</w:t>
      </w:r>
      <w:r w:rsidR="001F4E88" w:rsidRPr="00C007AB">
        <w:rPr>
          <w:rFonts w:ascii="ITC Avant Garde" w:hAnsi="ITC Avant Garde"/>
          <w:i/>
          <w:sz w:val="14"/>
          <w:szCs w:val="14"/>
          <w:lang w:eastAsia="es-MX"/>
        </w:rPr>
        <w:t>n</w:t>
      </w:r>
      <w:r w:rsidRPr="00C007AB">
        <w:rPr>
          <w:rFonts w:ascii="ITC Avant Garde" w:hAnsi="ITC Avant Garde"/>
          <w:i/>
          <w:sz w:val="14"/>
          <w:szCs w:val="14"/>
          <w:lang w:eastAsia="es-MX"/>
        </w:rPr>
        <w:t xml:space="preserve"> sesión de </w:t>
      </w:r>
      <w:r w:rsidRPr="00C007AB">
        <w:rPr>
          <w:rFonts w:ascii="ITC Avant Garde" w:hAnsi="ITC Avant Garde"/>
          <w:b/>
          <w:i/>
          <w:sz w:val="14"/>
          <w:szCs w:val="14"/>
          <w:lang w:eastAsia="es-MX"/>
        </w:rPr>
        <w:t>veinticinco de agosto de dos mil quince</w:t>
      </w:r>
      <w:r w:rsidRPr="00C007AB">
        <w:rPr>
          <w:rFonts w:ascii="ITC Avant Garde" w:hAnsi="ITC Avant Garde"/>
          <w:i/>
          <w:sz w:val="14"/>
          <w:szCs w:val="14"/>
          <w:lang w:eastAsia="es-MX"/>
        </w:rPr>
        <w:t xml:space="preserve">, mediante acuerdo </w:t>
      </w:r>
      <w:r w:rsidRPr="00573CE8">
        <w:rPr>
          <w:rFonts w:ascii="ITC Avant Garde" w:hAnsi="ITC Avant Garde"/>
          <w:b/>
          <w:i/>
          <w:sz w:val="14"/>
          <w:szCs w:val="14"/>
          <w:lang w:eastAsia="es-MX"/>
        </w:rPr>
        <w:t>P/IFT/250815/</w:t>
      </w:r>
      <w:r w:rsidR="00573CE8">
        <w:rPr>
          <w:rFonts w:ascii="ITC Avant Garde" w:hAnsi="ITC Avant Garde"/>
          <w:b/>
          <w:i/>
          <w:sz w:val="14"/>
          <w:szCs w:val="14"/>
          <w:lang w:eastAsia="es-MX"/>
        </w:rPr>
        <w:t>/</w:t>
      </w:r>
      <w:r w:rsidRPr="00573CE8">
        <w:rPr>
          <w:rFonts w:ascii="ITC Avant Garde" w:hAnsi="ITC Avant Garde"/>
          <w:b/>
          <w:i/>
          <w:sz w:val="14"/>
          <w:szCs w:val="14"/>
          <w:lang w:eastAsia="es-MX"/>
        </w:rPr>
        <w:t>390</w:t>
      </w:r>
      <w:r w:rsidRPr="00C007AB">
        <w:rPr>
          <w:rFonts w:ascii="ITC Avant Garde" w:hAnsi="ITC Avant Garde"/>
          <w:i/>
          <w:sz w:val="14"/>
          <w:szCs w:val="14"/>
          <w:lang w:eastAsia="es-MX"/>
        </w:rPr>
        <w:t>, y con libertad de jurisdicción emita una nueva decisión respecto de la solicitud de concesión efectuada por el justiciable, ciñéndose a lo previsto en la Ley Federal de Radio y Televisión –vigente a partir del veintiocho de enero de mil novecientos setenta y hasta el doce de abril de dos mil seis- en lo ateniente al otorgamiento de concesiones para uso comercial.”</w:t>
      </w:r>
      <w:r w:rsidR="009C2F18" w:rsidRPr="00C007AB">
        <w:rPr>
          <w:rFonts w:ascii="ITC Avant Garde" w:hAnsi="ITC Avant Garde"/>
          <w:i/>
          <w:sz w:val="14"/>
          <w:szCs w:val="14"/>
          <w:lang w:eastAsia="es-MX"/>
        </w:rPr>
        <w:t xml:space="preserve"> (sic)</w:t>
      </w:r>
      <w:r w:rsidR="007D687C" w:rsidRPr="00C007AB">
        <w:rPr>
          <w:rFonts w:ascii="ITC Avant Garde" w:hAnsi="ITC Avant Garde"/>
          <w:i/>
          <w:sz w:val="14"/>
          <w:szCs w:val="14"/>
          <w:lang w:eastAsia="es-MX"/>
        </w:rPr>
        <w:t xml:space="preserve"> </w:t>
      </w:r>
    </w:p>
    <w:p w14:paraId="065E1E45" w14:textId="77777777" w:rsidR="007D687C" w:rsidRPr="00C007AB" w:rsidRDefault="007D687C" w:rsidP="007D687C">
      <w:pPr>
        <w:spacing w:after="0"/>
        <w:ind w:left="851"/>
        <w:jc w:val="both"/>
        <w:rPr>
          <w:rFonts w:ascii="ITC Avant Garde" w:hAnsi="ITC Avant Garde"/>
          <w:i/>
          <w:sz w:val="14"/>
          <w:szCs w:val="14"/>
          <w:lang w:eastAsia="es-MX"/>
        </w:rPr>
      </w:pPr>
    </w:p>
    <w:p w14:paraId="63BBEAC5" w14:textId="77777777" w:rsidR="007D687C" w:rsidRPr="00C007AB" w:rsidRDefault="007D687C" w:rsidP="007D687C">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t>(…)</w:t>
      </w:r>
    </w:p>
    <w:p w14:paraId="3B2A8020" w14:textId="77777777" w:rsidR="007D687C" w:rsidRPr="00C007AB" w:rsidRDefault="007D687C" w:rsidP="007D687C">
      <w:pPr>
        <w:spacing w:after="0"/>
        <w:ind w:left="851"/>
        <w:jc w:val="both"/>
        <w:rPr>
          <w:rFonts w:ascii="ITC Avant Garde" w:hAnsi="ITC Avant Garde"/>
          <w:i/>
          <w:sz w:val="14"/>
          <w:szCs w:val="14"/>
          <w:lang w:eastAsia="es-MX"/>
        </w:rPr>
      </w:pPr>
    </w:p>
    <w:p w14:paraId="68822F6D" w14:textId="77777777" w:rsidR="007D687C" w:rsidRPr="00C007AB" w:rsidRDefault="007D687C" w:rsidP="007D687C">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t>“</w:t>
      </w:r>
      <w:r w:rsidRPr="00573CE8">
        <w:rPr>
          <w:rFonts w:ascii="ITC Avant Garde" w:hAnsi="ITC Avant Garde"/>
          <w:b/>
          <w:i/>
          <w:sz w:val="14"/>
          <w:szCs w:val="14"/>
          <w:lang w:eastAsia="es-MX"/>
        </w:rPr>
        <w:t>PRIMERO.</w:t>
      </w:r>
      <w:r w:rsidRPr="00C007AB">
        <w:rPr>
          <w:rFonts w:ascii="ITC Avant Garde" w:hAnsi="ITC Avant Garde"/>
          <w:i/>
          <w:sz w:val="14"/>
          <w:szCs w:val="14"/>
          <w:lang w:eastAsia="es-MX"/>
        </w:rPr>
        <w:t xml:space="preserve"> Se </w:t>
      </w:r>
      <w:r w:rsidRPr="00C007AB">
        <w:rPr>
          <w:rFonts w:ascii="ITC Avant Garde" w:hAnsi="ITC Avant Garde"/>
          <w:b/>
          <w:i/>
          <w:sz w:val="14"/>
          <w:szCs w:val="14"/>
          <w:lang w:eastAsia="es-MX"/>
        </w:rPr>
        <w:t>revoca</w:t>
      </w:r>
      <w:r w:rsidRPr="00C007AB">
        <w:rPr>
          <w:rFonts w:ascii="ITC Avant Garde" w:hAnsi="ITC Avant Garde"/>
          <w:i/>
          <w:sz w:val="14"/>
          <w:szCs w:val="14"/>
          <w:lang w:eastAsia="es-MX"/>
        </w:rPr>
        <w:t xml:space="preserve"> la sentencia recurrida.</w:t>
      </w:r>
    </w:p>
    <w:p w14:paraId="656266B3" w14:textId="77777777" w:rsidR="007D687C" w:rsidRPr="00C007AB" w:rsidRDefault="007D687C" w:rsidP="007D687C">
      <w:pPr>
        <w:spacing w:after="0"/>
        <w:ind w:left="851"/>
        <w:jc w:val="both"/>
        <w:rPr>
          <w:rFonts w:ascii="ITC Avant Garde" w:hAnsi="ITC Avant Garde"/>
          <w:i/>
          <w:sz w:val="14"/>
          <w:szCs w:val="14"/>
          <w:lang w:eastAsia="es-MX"/>
        </w:rPr>
      </w:pPr>
    </w:p>
    <w:p w14:paraId="0B0AD5C5" w14:textId="77777777" w:rsidR="007D687C" w:rsidRPr="00C007AB" w:rsidRDefault="007D687C" w:rsidP="007D687C">
      <w:pPr>
        <w:spacing w:after="0"/>
        <w:ind w:left="851"/>
        <w:jc w:val="both"/>
        <w:rPr>
          <w:rFonts w:ascii="ITC Avant Garde" w:hAnsi="ITC Avant Garde"/>
          <w:i/>
          <w:sz w:val="14"/>
          <w:szCs w:val="14"/>
          <w:lang w:eastAsia="es-MX"/>
        </w:rPr>
      </w:pPr>
      <w:r w:rsidRPr="00573CE8">
        <w:rPr>
          <w:rFonts w:ascii="ITC Avant Garde" w:hAnsi="ITC Avant Garde"/>
          <w:b/>
          <w:i/>
          <w:sz w:val="14"/>
          <w:szCs w:val="14"/>
          <w:lang w:eastAsia="es-MX"/>
        </w:rPr>
        <w:t>SEGUNDO.</w:t>
      </w:r>
      <w:r w:rsidRPr="00C007AB">
        <w:rPr>
          <w:rFonts w:ascii="ITC Avant Garde" w:hAnsi="ITC Avant Garde"/>
          <w:i/>
          <w:sz w:val="14"/>
          <w:szCs w:val="14"/>
          <w:lang w:eastAsia="es-MX"/>
        </w:rPr>
        <w:t xml:space="preserve"> La justicia de la Unión </w:t>
      </w:r>
      <w:r w:rsidRPr="00C007AB">
        <w:rPr>
          <w:rFonts w:ascii="ITC Avant Garde" w:hAnsi="ITC Avant Garde"/>
          <w:b/>
          <w:i/>
          <w:sz w:val="14"/>
          <w:szCs w:val="14"/>
          <w:lang w:eastAsia="es-MX"/>
        </w:rPr>
        <w:t>ampara y protege a José Pérez Ramírez</w:t>
      </w:r>
      <w:r w:rsidR="00573CE8">
        <w:rPr>
          <w:rFonts w:ascii="ITC Avant Garde" w:hAnsi="ITC Avant Garde"/>
          <w:i/>
          <w:sz w:val="14"/>
          <w:szCs w:val="14"/>
          <w:lang w:eastAsia="es-MX"/>
        </w:rPr>
        <w:t>,</w:t>
      </w:r>
      <w:r w:rsidRPr="00C007AB">
        <w:rPr>
          <w:rFonts w:ascii="ITC Avant Garde" w:hAnsi="ITC Avant Garde"/>
          <w:i/>
          <w:sz w:val="14"/>
          <w:szCs w:val="14"/>
          <w:lang w:eastAsia="es-MX"/>
        </w:rPr>
        <w:t xml:space="preserve"> en contra del acto que reclama del Pleno del Instituto Federal de Telecomunicaciones, que se precisa en el resultando primero y para los efectos precisados en el considerando último de </w:t>
      </w:r>
      <w:r w:rsidR="00573CE8">
        <w:rPr>
          <w:rFonts w:ascii="ITC Avant Garde" w:hAnsi="ITC Avant Garde"/>
          <w:i/>
          <w:sz w:val="14"/>
          <w:szCs w:val="14"/>
          <w:lang w:eastAsia="es-MX"/>
        </w:rPr>
        <w:t>esta</w:t>
      </w:r>
      <w:r w:rsidRPr="00C007AB">
        <w:rPr>
          <w:rFonts w:ascii="ITC Avant Garde" w:hAnsi="ITC Avant Garde"/>
          <w:i/>
          <w:sz w:val="14"/>
          <w:szCs w:val="14"/>
          <w:lang w:eastAsia="es-MX"/>
        </w:rPr>
        <w:t xml:space="preserve"> ejecutoria.” (sic).</w:t>
      </w:r>
    </w:p>
    <w:p w14:paraId="39B799E5" w14:textId="77777777" w:rsidR="000A52CA" w:rsidRPr="00C007AB" w:rsidRDefault="000A52CA" w:rsidP="000A52CA">
      <w:pPr>
        <w:spacing w:after="0"/>
        <w:ind w:left="851"/>
        <w:jc w:val="both"/>
        <w:rPr>
          <w:rFonts w:ascii="ITC Avant Garde" w:hAnsi="ITC Avant Garde"/>
          <w:i/>
          <w:sz w:val="14"/>
          <w:szCs w:val="14"/>
          <w:lang w:eastAsia="es-MX"/>
        </w:rPr>
      </w:pPr>
    </w:p>
    <w:p w14:paraId="5397A9ED" w14:textId="77777777" w:rsidR="007D687C" w:rsidRPr="00C007AB" w:rsidRDefault="007D687C" w:rsidP="000A52CA">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t>(…)”</w:t>
      </w:r>
    </w:p>
    <w:p w14:paraId="7C5ECABA" w14:textId="77777777" w:rsidR="00E82544" w:rsidRPr="00C007AB" w:rsidRDefault="00E82544" w:rsidP="002D45C6">
      <w:pPr>
        <w:spacing w:after="0" w:line="240" w:lineRule="auto"/>
        <w:jc w:val="both"/>
        <w:rPr>
          <w:rFonts w:ascii="ITC Avant Garde" w:hAnsi="ITC Avant Garde"/>
          <w:lang w:eastAsia="es-MX"/>
        </w:rPr>
      </w:pPr>
    </w:p>
    <w:p w14:paraId="5B943568" w14:textId="461B2DB4" w:rsidR="00B605FB" w:rsidRDefault="0000065C" w:rsidP="002D45C6">
      <w:pPr>
        <w:spacing w:after="0" w:line="240" w:lineRule="auto"/>
        <w:jc w:val="both"/>
        <w:rPr>
          <w:rFonts w:ascii="ITC Avant Garde" w:hAnsi="ITC Avant Garde"/>
          <w:bCs/>
          <w:lang w:val="es-ES"/>
        </w:rPr>
      </w:pPr>
      <w:r w:rsidRPr="00C007AB">
        <w:rPr>
          <w:rFonts w:ascii="ITC Avant Garde" w:eastAsia="Arial" w:hAnsi="ITC Avant Garde"/>
          <w:b/>
        </w:rPr>
        <w:t>XX</w:t>
      </w:r>
      <w:r w:rsidR="0088244A" w:rsidRPr="00C007AB">
        <w:rPr>
          <w:rFonts w:ascii="ITC Avant Garde" w:eastAsia="Arial" w:hAnsi="ITC Avant Garde"/>
          <w:b/>
        </w:rPr>
        <w:t>.</w:t>
      </w:r>
      <w:r w:rsidR="007B6D83">
        <w:rPr>
          <w:rFonts w:ascii="ITC Avant Garde" w:eastAsia="Arial" w:hAnsi="ITC Avant Garde"/>
          <w:b/>
        </w:rPr>
        <w:t>-</w:t>
      </w:r>
      <w:r w:rsidR="0088244A" w:rsidRPr="00C007AB">
        <w:rPr>
          <w:rFonts w:ascii="ITC Avant Garde" w:eastAsia="Arial" w:hAnsi="ITC Avant Garde"/>
          <w:b/>
        </w:rPr>
        <w:t xml:space="preserve"> </w:t>
      </w:r>
      <w:r w:rsidR="007F56F0" w:rsidRPr="00C007AB">
        <w:rPr>
          <w:rFonts w:ascii="ITC Avant Garde" w:eastAsia="Arial" w:hAnsi="ITC Avant Garde"/>
          <w:b/>
        </w:rPr>
        <w:t xml:space="preserve">Requerimiento de </w:t>
      </w:r>
      <w:r w:rsidR="0088244A" w:rsidRPr="00C007AB">
        <w:rPr>
          <w:rFonts w:ascii="ITC Avant Garde" w:eastAsia="Arial" w:hAnsi="ITC Avant Garde"/>
          <w:b/>
        </w:rPr>
        <w:t xml:space="preserve">Cumplimiento </w:t>
      </w:r>
      <w:r w:rsidR="007F56F0" w:rsidRPr="00C007AB">
        <w:rPr>
          <w:rFonts w:ascii="ITC Avant Garde" w:eastAsia="Arial" w:hAnsi="ITC Avant Garde"/>
          <w:b/>
        </w:rPr>
        <w:t>a la Ejecutoria.</w:t>
      </w:r>
      <w:r w:rsidR="0088244A" w:rsidRPr="00C007AB">
        <w:rPr>
          <w:rFonts w:ascii="ITC Avant Garde" w:eastAsia="Arial" w:hAnsi="ITC Avant Garde"/>
        </w:rPr>
        <w:t xml:space="preserve"> </w:t>
      </w:r>
      <w:r w:rsidR="0088244A" w:rsidRPr="00C007AB">
        <w:rPr>
          <w:rFonts w:ascii="ITC Avant Garde" w:hAnsi="ITC Avant Garde"/>
          <w:bCs/>
          <w:lang w:val="es-ES"/>
        </w:rPr>
        <w:t xml:space="preserve">Mediante el </w:t>
      </w:r>
      <w:r w:rsidR="005E7E6D" w:rsidRPr="00C007AB">
        <w:rPr>
          <w:rFonts w:ascii="ITC Avant Garde" w:hAnsi="ITC Avant Garde"/>
          <w:bCs/>
          <w:lang w:val="es-ES"/>
        </w:rPr>
        <w:t>auto de fecha 7 de marzo de 2016</w:t>
      </w:r>
      <w:r w:rsidR="00B605FB" w:rsidRPr="00C007AB">
        <w:rPr>
          <w:rFonts w:ascii="ITC Avant Garde" w:hAnsi="ITC Avant Garde"/>
          <w:bCs/>
          <w:lang w:val="es-ES"/>
        </w:rPr>
        <w:t xml:space="preserve">, </w:t>
      </w:r>
      <w:r w:rsidR="007F56F0" w:rsidRPr="00C007AB">
        <w:rPr>
          <w:rFonts w:ascii="ITC Avant Garde" w:hAnsi="ITC Avant Garde"/>
          <w:bCs/>
          <w:lang w:val="es-ES"/>
        </w:rPr>
        <w:t>el Juz</w:t>
      </w:r>
      <w:r w:rsidR="005E7E6D" w:rsidRPr="00C007AB">
        <w:rPr>
          <w:rFonts w:ascii="ITC Avant Garde" w:hAnsi="ITC Avant Garde"/>
          <w:bCs/>
          <w:lang w:val="es-ES"/>
        </w:rPr>
        <w:t>gado</w:t>
      </w:r>
      <w:r w:rsidR="007F56F0" w:rsidRPr="00C007AB">
        <w:rPr>
          <w:rFonts w:ascii="ITC Avant Garde" w:hAnsi="ITC Avant Garde"/>
          <w:bCs/>
          <w:lang w:val="es-ES"/>
        </w:rPr>
        <w:t xml:space="preserve"> de conocimiento </w:t>
      </w:r>
      <w:r w:rsidR="005E7E6D" w:rsidRPr="00C007AB">
        <w:rPr>
          <w:rFonts w:ascii="ITC Avant Garde" w:hAnsi="ITC Avant Garde"/>
          <w:bCs/>
          <w:lang w:val="es-ES"/>
        </w:rPr>
        <w:t xml:space="preserve">recibió del Segundo Tribunal Colegiado de Circuito copia de la ejecutoria recaída al </w:t>
      </w:r>
      <w:r w:rsidR="005E7E6D" w:rsidRPr="00C007AB">
        <w:rPr>
          <w:rFonts w:ascii="ITC Avant Garde" w:hAnsi="ITC Avant Garde"/>
          <w:b/>
          <w:bCs/>
          <w:lang w:val="es-ES"/>
        </w:rPr>
        <w:t>R.A. 12/2016</w:t>
      </w:r>
      <w:r w:rsidR="005E7E6D" w:rsidRPr="00C007AB">
        <w:rPr>
          <w:rFonts w:ascii="ITC Avant Garde" w:hAnsi="ITC Avant Garde"/>
          <w:bCs/>
          <w:lang w:val="es-ES"/>
        </w:rPr>
        <w:t xml:space="preserve">, </w:t>
      </w:r>
      <w:r w:rsidR="00FF42BB" w:rsidRPr="00C007AB">
        <w:rPr>
          <w:rFonts w:ascii="ITC Avant Garde" w:hAnsi="ITC Avant Garde"/>
          <w:bCs/>
          <w:lang w:val="es-ES"/>
        </w:rPr>
        <w:t xml:space="preserve">en el </w:t>
      </w:r>
      <w:r w:rsidR="00164B9A" w:rsidRPr="00C007AB">
        <w:rPr>
          <w:rFonts w:ascii="ITC Avant Garde" w:hAnsi="ITC Avant Garde"/>
          <w:bCs/>
          <w:lang w:val="es-ES"/>
        </w:rPr>
        <w:t xml:space="preserve">propio </w:t>
      </w:r>
      <w:r w:rsidR="00FF42BB" w:rsidRPr="00C007AB">
        <w:rPr>
          <w:rFonts w:ascii="ITC Avant Garde" w:hAnsi="ITC Avant Garde"/>
          <w:bCs/>
          <w:lang w:val="es-ES"/>
        </w:rPr>
        <w:t xml:space="preserve">proveído, </w:t>
      </w:r>
      <w:r w:rsidR="0088244A" w:rsidRPr="00C007AB">
        <w:rPr>
          <w:rFonts w:ascii="ITC Avant Garde" w:hAnsi="ITC Avant Garde"/>
          <w:bCs/>
          <w:lang w:val="es-ES"/>
        </w:rPr>
        <w:t>se r</w:t>
      </w:r>
      <w:r w:rsidR="00B605FB" w:rsidRPr="00C007AB">
        <w:rPr>
          <w:rFonts w:ascii="ITC Avant Garde" w:hAnsi="ITC Avant Garde"/>
          <w:bCs/>
          <w:lang w:val="es-ES"/>
        </w:rPr>
        <w:t>equir</w:t>
      </w:r>
      <w:r w:rsidR="0088244A" w:rsidRPr="00C007AB">
        <w:rPr>
          <w:rFonts w:ascii="ITC Avant Garde" w:hAnsi="ITC Avant Garde"/>
          <w:bCs/>
          <w:lang w:val="es-ES"/>
        </w:rPr>
        <w:t>ió</w:t>
      </w:r>
      <w:r w:rsidR="00B605FB" w:rsidRPr="00C007AB">
        <w:rPr>
          <w:rFonts w:ascii="ITC Avant Garde" w:hAnsi="ITC Avant Garde"/>
          <w:bCs/>
          <w:lang w:val="es-ES"/>
        </w:rPr>
        <w:t xml:space="preserve"> al Pleno de</w:t>
      </w:r>
      <w:r w:rsidR="0088244A" w:rsidRPr="00C007AB">
        <w:rPr>
          <w:rFonts w:ascii="ITC Avant Garde" w:hAnsi="ITC Avant Garde"/>
          <w:bCs/>
          <w:lang w:val="es-ES"/>
        </w:rPr>
        <w:t xml:space="preserve"> este </w:t>
      </w:r>
      <w:r w:rsidR="00B605FB" w:rsidRPr="00C007AB">
        <w:rPr>
          <w:rFonts w:ascii="ITC Avant Garde" w:hAnsi="ITC Avant Garde"/>
          <w:bCs/>
          <w:lang w:val="es-ES"/>
        </w:rPr>
        <w:t xml:space="preserve">Instituto, para que dentro del plazo de diez días </w:t>
      </w:r>
      <w:r w:rsidR="00164B9A" w:rsidRPr="00C007AB">
        <w:rPr>
          <w:rFonts w:ascii="ITC Avant Garde" w:hAnsi="ITC Avant Garde"/>
          <w:bCs/>
          <w:lang w:val="es-ES"/>
        </w:rPr>
        <w:t xml:space="preserve">siguientes a aquél en que </w:t>
      </w:r>
      <w:r w:rsidR="00BA236E" w:rsidRPr="00C007AB">
        <w:rPr>
          <w:rFonts w:ascii="ITC Avant Garde" w:hAnsi="ITC Avant Garde"/>
          <w:bCs/>
          <w:lang w:val="es-ES"/>
        </w:rPr>
        <w:t xml:space="preserve">surta efectos la notificación diera </w:t>
      </w:r>
      <w:r w:rsidR="00B605FB" w:rsidRPr="00C007AB">
        <w:rPr>
          <w:rFonts w:ascii="ITC Avant Garde" w:hAnsi="ITC Avant Garde"/>
          <w:bCs/>
          <w:lang w:val="es-ES"/>
        </w:rPr>
        <w:t>cumplimiento del fallo protector</w:t>
      </w:r>
      <w:r w:rsidR="0088244A" w:rsidRPr="00C007AB">
        <w:rPr>
          <w:rFonts w:ascii="ITC Avant Garde" w:hAnsi="ITC Avant Garde"/>
          <w:bCs/>
          <w:lang w:val="es-ES"/>
        </w:rPr>
        <w:t>.</w:t>
      </w:r>
    </w:p>
    <w:p w14:paraId="5FD1D017" w14:textId="77777777" w:rsidR="00110B5B" w:rsidRDefault="00110B5B" w:rsidP="002D45C6">
      <w:pPr>
        <w:spacing w:after="0" w:line="240" w:lineRule="auto"/>
        <w:jc w:val="both"/>
        <w:rPr>
          <w:rFonts w:ascii="ITC Avant Garde" w:hAnsi="ITC Avant Garde"/>
          <w:bCs/>
          <w:lang w:val="es-ES"/>
        </w:rPr>
      </w:pPr>
    </w:p>
    <w:p w14:paraId="0F28DF1F" w14:textId="1BB525DD" w:rsidR="00110B5B" w:rsidRDefault="00110B5B" w:rsidP="002D45C6">
      <w:pPr>
        <w:spacing w:after="0" w:line="240" w:lineRule="auto"/>
        <w:jc w:val="both"/>
        <w:rPr>
          <w:rFonts w:ascii="ITC Avant Garde" w:hAnsi="ITC Avant Garde"/>
          <w:bCs/>
          <w:lang w:val="es-ES"/>
        </w:rPr>
      </w:pPr>
      <w:r>
        <w:rPr>
          <w:rFonts w:ascii="ITC Avant Garde" w:hAnsi="ITC Avant Garde"/>
          <w:b/>
          <w:bCs/>
          <w:lang w:val="es-ES"/>
        </w:rPr>
        <w:t>XX</w:t>
      </w:r>
      <w:r w:rsidR="00E60F61">
        <w:rPr>
          <w:rFonts w:ascii="ITC Avant Garde" w:hAnsi="ITC Avant Garde"/>
          <w:b/>
          <w:bCs/>
          <w:lang w:val="es-ES"/>
        </w:rPr>
        <w:t>I</w:t>
      </w:r>
      <w:r>
        <w:rPr>
          <w:rFonts w:ascii="ITC Avant Garde" w:hAnsi="ITC Avant Garde"/>
          <w:b/>
          <w:bCs/>
          <w:lang w:val="es-ES"/>
        </w:rPr>
        <w:t>.</w:t>
      </w:r>
      <w:r w:rsidR="007B6D83">
        <w:rPr>
          <w:rFonts w:ascii="ITC Avant Garde" w:hAnsi="ITC Avant Garde"/>
          <w:b/>
          <w:bCs/>
          <w:lang w:val="es-ES"/>
        </w:rPr>
        <w:t>-</w:t>
      </w:r>
      <w:r>
        <w:rPr>
          <w:rFonts w:ascii="ITC Avant Garde" w:hAnsi="ITC Avant Garde"/>
          <w:bCs/>
          <w:lang w:val="es-ES"/>
        </w:rPr>
        <w:t xml:space="preserve"> </w:t>
      </w:r>
      <w:r w:rsidRPr="00110B5B">
        <w:rPr>
          <w:rFonts w:ascii="ITC Avant Garde" w:hAnsi="ITC Avant Garde"/>
          <w:b/>
          <w:bCs/>
          <w:lang w:val="es-ES"/>
        </w:rPr>
        <w:t xml:space="preserve">Solicitud de </w:t>
      </w:r>
      <w:r>
        <w:rPr>
          <w:rFonts w:ascii="ITC Avant Garde" w:hAnsi="ITC Avant Garde"/>
          <w:b/>
          <w:bCs/>
          <w:lang w:val="es-ES"/>
        </w:rPr>
        <w:t>ampliación de plazo</w:t>
      </w:r>
      <w:r w:rsidRPr="00110B5B">
        <w:rPr>
          <w:rFonts w:ascii="ITC Avant Garde" w:hAnsi="ITC Avant Garde"/>
          <w:b/>
          <w:bCs/>
          <w:lang w:val="es-ES"/>
        </w:rPr>
        <w:t xml:space="preserve"> para efectuar cumplimiento a la Ejecutoria</w:t>
      </w:r>
      <w:r>
        <w:rPr>
          <w:rFonts w:ascii="ITC Avant Garde" w:hAnsi="ITC Avant Garde"/>
          <w:bCs/>
          <w:lang w:val="es-ES"/>
        </w:rPr>
        <w:t xml:space="preserve">.- </w:t>
      </w:r>
      <w:r w:rsidR="00E028C9">
        <w:rPr>
          <w:rFonts w:ascii="ITC Avant Garde" w:hAnsi="ITC Avant Garde"/>
          <w:bCs/>
          <w:lang w:val="es-ES"/>
        </w:rPr>
        <w:t xml:space="preserve">Mediante oficio número </w:t>
      </w:r>
      <w:r w:rsidR="00E028C9" w:rsidRPr="00D74AAD">
        <w:rPr>
          <w:rFonts w:ascii="ITC Avant Garde" w:hAnsi="ITC Avant Garde"/>
          <w:b/>
          <w:bCs/>
          <w:u w:val="single"/>
          <w:lang w:val="es-ES"/>
        </w:rPr>
        <w:t>IFT/223/UCS/DG-CRAD/681/2016 de fecha 28 de marzo de 2016</w:t>
      </w:r>
      <w:r w:rsidR="00E028C9">
        <w:rPr>
          <w:rFonts w:ascii="ITC Avant Garde" w:hAnsi="ITC Avant Garde"/>
          <w:bCs/>
          <w:lang w:val="es-ES"/>
        </w:rPr>
        <w:t xml:space="preserve">, el Director General de Concesiones de Radiodifusión solicitó al Director General de Defensa Jurídica ambos del Instituto Federal de Telecomunicaciones, que </w:t>
      </w:r>
      <w:r w:rsidR="00573CE8">
        <w:rPr>
          <w:rFonts w:ascii="ITC Avant Garde" w:hAnsi="ITC Avant Garde"/>
          <w:bCs/>
          <w:lang w:val="es-ES"/>
        </w:rPr>
        <w:t>pidiera</w:t>
      </w:r>
      <w:r w:rsidR="00E028C9">
        <w:rPr>
          <w:rFonts w:ascii="ITC Avant Garde" w:hAnsi="ITC Avant Garde"/>
          <w:bCs/>
          <w:lang w:val="es-ES"/>
        </w:rPr>
        <w:t xml:space="preserve"> al Juzgado Segundo una ampliación de plazo para el cu</w:t>
      </w:r>
      <w:r w:rsidR="00963E49">
        <w:rPr>
          <w:rFonts w:ascii="ITC Avant Garde" w:hAnsi="ITC Avant Garde"/>
          <w:bCs/>
          <w:lang w:val="es-ES"/>
        </w:rPr>
        <w:t xml:space="preserve">mplimiento de la </w:t>
      </w:r>
      <w:r w:rsidR="00573CE8">
        <w:rPr>
          <w:rFonts w:ascii="ITC Avant Garde" w:hAnsi="ITC Avant Garde"/>
          <w:bCs/>
          <w:lang w:val="es-ES"/>
        </w:rPr>
        <w:t>sente</w:t>
      </w:r>
      <w:r w:rsidR="003D7083">
        <w:rPr>
          <w:rFonts w:ascii="ITC Avant Garde" w:hAnsi="ITC Avant Garde"/>
          <w:bCs/>
          <w:lang w:val="es-ES"/>
        </w:rPr>
        <w:t>ncia, en atención a lo anterior</w:t>
      </w:r>
      <w:r w:rsidR="00573CE8">
        <w:rPr>
          <w:rFonts w:ascii="ITC Avant Garde" w:hAnsi="ITC Avant Garde"/>
          <w:bCs/>
          <w:lang w:val="es-ES"/>
        </w:rPr>
        <w:t xml:space="preserve"> </w:t>
      </w:r>
      <w:r w:rsidR="003D7083">
        <w:rPr>
          <w:rFonts w:ascii="ITC Avant Garde" w:hAnsi="ITC Avant Garde"/>
          <w:bCs/>
          <w:lang w:val="es-ES"/>
        </w:rPr>
        <w:t>mediante auto de fecha 31 de marzo de 2016 fue acordada la prórroga solicitada.</w:t>
      </w:r>
    </w:p>
    <w:p w14:paraId="2E0456CB" w14:textId="77777777" w:rsidR="00B605FB" w:rsidRDefault="00B605FB" w:rsidP="002D45C6">
      <w:pPr>
        <w:spacing w:after="0" w:line="240" w:lineRule="auto"/>
        <w:jc w:val="both"/>
        <w:rPr>
          <w:rFonts w:ascii="ITC Avant Garde" w:hAnsi="ITC Avant Garde"/>
          <w:bCs/>
          <w:sz w:val="24"/>
          <w:szCs w:val="24"/>
        </w:rPr>
      </w:pPr>
    </w:p>
    <w:p w14:paraId="77827BDD" w14:textId="77777777" w:rsidR="00A66734" w:rsidRPr="00C007AB" w:rsidRDefault="00A66734" w:rsidP="002D45C6">
      <w:pPr>
        <w:spacing w:after="0" w:line="240" w:lineRule="auto"/>
        <w:jc w:val="both"/>
        <w:rPr>
          <w:rFonts w:ascii="ITC Avant Garde" w:hAnsi="ITC Avant Garde" w:cs="Arial"/>
          <w:bCs/>
          <w:lang w:eastAsia="es-MX"/>
        </w:rPr>
      </w:pPr>
      <w:r w:rsidRPr="00C007AB">
        <w:rPr>
          <w:rFonts w:ascii="ITC Avant Garde" w:hAnsi="ITC Avant Garde" w:cs="Arial"/>
          <w:bCs/>
          <w:lang w:eastAsia="es-MX"/>
        </w:rPr>
        <w:t>En virtud de los Antecedentes referidos y,</w:t>
      </w:r>
    </w:p>
    <w:p w14:paraId="63D6D07C" w14:textId="77777777" w:rsidR="00096391" w:rsidRDefault="00096391" w:rsidP="002D45C6">
      <w:pPr>
        <w:spacing w:after="0" w:line="240" w:lineRule="auto"/>
        <w:jc w:val="center"/>
        <w:rPr>
          <w:rFonts w:ascii="ITC Avant Garde" w:eastAsia="Times New Roman" w:hAnsi="ITC Avant Garde" w:cs="Arial"/>
          <w:lang w:eastAsia="es-MX"/>
        </w:rPr>
      </w:pPr>
    </w:p>
    <w:p w14:paraId="430900FC" w14:textId="77777777" w:rsidR="00096391" w:rsidRPr="008207B5" w:rsidRDefault="00096391" w:rsidP="008207B5">
      <w:pPr>
        <w:pStyle w:val="Ttulo2"/>
        <w:jc w:val="center"/>
        <w:rPr>
          <w:rFonts w:ascii="ITC Avant Garde" w:eastAsia="Times New Roman" w:hAnsi="ITC Avant Garde" w:cs="Arial"/>
          <w:b/>
          <w:color w:val="000000" w:themeColor="text1"/>
          <w:lang w:eastAsia="es-MX"/>
        </w:rPr>
      </w:pPr>
      <w:r w:rsidRPr="008207B5">
        <w:rPr>
          <w:rFonts w:ascii="ITC Avant Garde" w:hAnsi="ITC Avant Garde"/>
          <w:b/>
          <w:color w:val="000000" w:themeColor="text1"/>
          <w:sz w:val="22"/>
          <w:szCs w:val="22"/>
        </w:rPr>
        <w:t>CONSIDERANDO</w:t>
      </w:r>
    </w:p>
    <w:p w14:paraId="1219EF19" w14:textId="77777777" w:rsidR="002D45C6" w:rsidRPr="00C007AB" w:rsidRDefault="002D45C6" w:rsidP="002D45C6">
      <w:pPr>
        <w:spacing w:after="0" w:line="240" w:lineRule="auto"/>
        <w:jc w:val="center"/>
        <w:rPr>
          <w:rFonts w:ascii="ITC Avant Garde" w:eastAsia="Times New Roman" w:hAnsi="ITC Avant Garde" w:cs="Arial"/>
          <w:b/>
          <w:lang w:eastAsia="es-MX"/>
        </w:rPr>
      </w:pPr>
    </w:p>
    <w:p w14:paraId="4622D90B" w14:textId="77777777" w:rsidR="00E962AD" w:rsidRPr="00C007AB" w:rsidRDefault="00E962AD" w:rsidP="002D45C6">
      <w:pPr>
        <w:autoSpaceDE w:val="0"/>
        <w:autoSpaceDN w:val="0"/>
        <w:adjustRightInd w:val="0"/>
        <w:spacing w:after="0" w:line="240" w:lineRule="auto"/>
        <w:jc w:val="both"/>
        <w:rPr>
          <w:rFonts w:ascii="ITC Avant Garde" w:hAnsi="ITC Avant Garde"/>
          <w:bCs/>
          <w:lang w:val="es-ES"/>
        </w:rPr>
      </w:pPr>
      <w:r w:rsidRPr="00C007AB">
        <w:rPr>
          <w:rFonts w:ascii="ITC Avant Garde" w:hAnsi="ITC Avant Garde"/>
          <w:b/>
          <w:bCs/>
        </w:rPr>
        <w:t xml:space="preserve">PRIMERO.- Ámbito Competencial. </w:t>
      </w:r>
      <w:r w:rsidRPr="00C007AB">
        <w:rPr>
          <w:rFonts w:ascii="ITC Avant Garde" w:hAnsi="ITC Avant Garde"/>
          <w:bCs/>
        </w:rPr>
        <w:t>Conforme lo dispone el artículo 28 párrafos décimo quinto</w:t>
      </w:r>
      <w:r w:rsidR="00963E49">
        <w:rPr>
          <w:rFonts w:ascii="ITC Avant Garde" w:hAnsi="ITC Avant Garde"/>
          <w:bCs/>
        </w:rPr>
        <w:t>,</w:t>
      </w:r>
      <w:r w:rsidRPr="00C007AB">
        <w:rPr>
          <w:rFonts w:ascii="ITC Avant Garde" w:hAnsi="ITC Avant Garde"/>
          <w:bCs/>
        </w:rPr>
        <w:t xml:space="preserve"> décimo sexto</w:t>
      </w:r>
      <w:r w:rsidR="00963E49">
        <w:rPr>
          <w:rFonts w:ascii="ITC Avant Garde" w:hAnsi="ITC Avant Garde"/>
          <w:bCs/>
        </w:rPr>
        <w:t>, décimo séptimo y décimo octavo</w:t>
      </w:r>
      <w:r w:rsidRPr="00C007AB">
        <w:rPr>
          <w:rFonts w:ascii="ITC Avant Garde" w:hAnsi="ITC Avant Garde"/>
          <w:bCs/>
        </w:rPr>
        <w:t xml:space="preserve"> de la Constitución Política de los Estados Unidos Mexicanos (en lo sucesivo la “Constitución”), e</w:t>
      </w:r>
      <w:r w:rsidRPr="00C007AB">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41ED53B6" w14:textId="77777777" w:rsidR="00E962AD" w:rsidRPr="00C007AB" w:rsidRDefault="00E962AD" w:rsidP="002D45C6">
      <w:pPr>
        <w:autoSpaceDE w:val="0"/>
        <w:autoSpaceDN w:val="0"/>
        <w:adjustRightInd w:val="0"/>
        <w:spacing w:after="0" w:line="240" w:lineRule="auto"/>
        <w:jc w:val="both"/>
        <w:rPr>
          <w:rFonts w:ascii="ITC Avant Garde" w:hAnsi="ITC Avant Garde"/>
          <w:bCs/>
          <w:lang w:val="es-ES"/>
        </w:rPr>
      </w:pPr>
    </w:p>
    <w:p w14:paraId="48B1495B" w14:textId="77777777" w:rsidR="00E962AD" w:rsidRPr="00C007AB" w:rsidRDefault="00E962AD" w:rsidP="002D45C6">
      <w:pPr>
        <w:autoSpaceDE w:val="0"/>
        <w:autoSpaceDN w:val="0"/>
        <w:adjustRightInd w:val="0"/>
        <w:spacing w:after="0" w:line="240" w:lineRule="auto"/>
        <w:jc w:val="both"/>
        <w:rPr>
          <w:rFonts w:ascii="ITC Avant Garde" w:hAnsi="ITC Avant Garde"/>
          <w:bCs/>
        </w:rPr>
      </w:pPr>
      <w:r w:rsidRPr="00C007AB">
        <w:rPr>
          <w:rFonts w:ascii="ITC Avant Garde" w:hAnsi="ITC Avant Garde"/>
          <w:bCs/>
        </w:rPr>
        <w:t xml:space="preserve">Asimismo, el párrafo décimo sexto del artículo 28 de la Constitución establece que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concesionamiento y a la propiedad cruzada que controle varios medios de comunicación que sean concesionarios de radiodifusión y telecomunicaciones </w:t>
      </w:r>
      <w:r w:rsidRPr="00C007AB">
        <w:rPr>
          <w:rFonts w:ascii="ITC Avant Garde" w:hAnsi="ITC Avant Garde"/>
          <w:bCs/>
        </w:rPr>
        <w:lastRenderedPageBreak/>
        <w:t>que sirvan a un mismo mercado o zona de cobertura geográfica, garantizando lo dispuesto en los artículos 6o. y 7o. de la Constitución.</w:t>
      </w:r>
    </w:p>
    <w:p w14:paraId="5457F289" w14:textId="77777777" w:rsidR="00E962AD" w:rsidRPr="00C007AB" w:rsidRDefault="00E962AD" w:rsidP="002D45C6">
      <w:pPr>
        <w:autoSpaceDE w:val="0"/>
        <w:autoSpaceDN w:val="0"/>
        <w:adjustRightInd w:val="0"/>
        <w:spacing w:after="0" w:line="240" w:lineRule="auto"/>
        <w:jc w:val="both"/>
        <w:rPr>
          <w:rFonts w:ascii="ITC Avant Garde" w:hAnsi="ITC Avant Garde"/>
          <w:bCs/>
        </w:rPr>
      </w:pPr>
    </w:p>
    <w:p w14:paraId="4D0060BD" w14:textId="22058469" w:rsidR="00E962AD" w:rsidRPr="00C007AB" w:rsidRDefault="00E962AD" w:rsidP="002D45C6">
      <w:pPr>
        <w:autoSpaceDE w:val="0"/>
        <w:autoSpaceDN w:val="0"/>
        <w:adjustRightInd w:val="0"/>
        <w:spacing w:after="0" w:line="240" w:lineRule="auto"/>
        <w:jc w:val="both"/>
        <w:rPr>
          <w:rFonts w:ascii="ITC Avant Garde" w:hAnsi="ITC Avant Garde"/>
          <w:bCs/>
          <w:lang w:val="es-ES"/>
        </w:rPr>
      </w:pPr>
      <w:r w:rsidRPr="00C007AB">
        <w:rPr>
          <w:rFonts w:ascii="ITC Avant Garde" w:hAnsi="ITC Avant Garde"/>
          <w:bCs/>
          <w:lang w:val="es-ES"/>
        </w:rPr>
        <w:t xml:space="preserve">El artículo </w:t>
      </w:r>
      <w:r w:rsidR="004E0917" w:rsidRPr="00C007AB">
        <w:rPr>
          <w:rFonts w:ascii="ITC Avant Garde" w:hAnsi="ITC Avant Garde"/>
          <w:bCs/>
          <w:lang w:val="es-ES"/>
        </w:rPr>
        <w:t>S</w:t>
      </w:r>
      <w:r w:rsidRPr="00C007AB">
        <w:rPr>
          <w:rFonts w:ascii="ITC Avant Garde" w:hAnsi="ITC Avant Garde"/>
          <w:bCs/>
          <w:lang w:val="es-ES"/>
        </w:rPr>
        <w:t xml:space="preserve">exto </w:t>
      </w:r>
      <w:r w:rsidR="004E0917" w:rsidRPr="00C007AB">
        <w:rPr>
          <w:rFonts w:ascii="ITC Avant Garde" w:hAnsi="ITC Avant Garde"/>
          <w:bCs/>
          <w:lang w:val="es-ES"/>
        </w:rPr>
        <w:t>T</w:t>
      </w:r>
      <w:r w:rsidRPr="00C007AB">
        <w:rPr>
          <w:rFonts w:ascii="ITC Avant Garde" w:hAnsi="ITC Avant Garde"/>
          <w:bCs/>
          <w:lang w:val="es-ES"/>
        </w:rPr>
        <w:t xml:space="preserve">ransitorio del Decreto de Ley, señala que la atención, trámite y resolución de los asuntos y procedimientos que hayan iniciado previo a la entrada en vigor del mismo, se realizarán en los términos establecidos en el artículo </w:t>
      </w:r>
      <w:r w:rsidR="00BD72E3" w:rsidRPr="00C007AB">
        <w:rPr>
          <w:rFonts w:ascii="ITC Avant Garde" w:hAnsi="ITC Avant Garde"/>
          <w:bCs/>
          <w:lang w:val="es-ES"/>
        </w:rPr>
        <w:t xml:space="preserve">Séptimo </w:t>
      </w:r>
      <w:r w:rsidRPr="00C007AB">
        <w:rPr>
          <w:rFonts w:ascii="ITC Avant Garde" w:hAnsi="ITC Avant Garde"/>
          <w:bCs/>
          <w:lang w:val="es-ES"/>
        </w:rPr>
        <w:t>transitorio del Decreto de Reforma Constitucional.</w:t>
      </w:r>
    </w:p>
    <w:p w14:paraId="228C0CE0" w14:textId="77777777" w:rsidR="00E962AD" w:rsidRPr="00C007AB" w:rsidRDefault="00E962AD" w:rsidP="002D45C6">
      <w:pPr>
        <w:autoSpaceDE w:val="0"/>
        <w:autoSpaceDN w:val="0"/>
        <w:adjustRightInd w:val="0"/>
        <w:spacing w:after="0" w:line="240" w:lineRule="auto"/>
        <w:jc w:val="both"/>
        <w:rPr>
          <w:rFonts w:ascii="ITC Avant Garde" w:hAnsi="ITC Avant Garde"/>
          <w:bCs/>
          <w:lang w:val="es-ES"/>
        </w:rPr>
      </w:pPr>
    </w:p>
    <w:p w14:paraId="71D6BB86" w14:textId="77777777" w:rsidR="00E962AD" w:rsidRPr="00C007AB" w:rsidRDefault="00E962AD" w:rsidP="002D45C6">
      <w:pPr>
        <w:autoSpaceDE w:val="0"/>
        <w:autoSpaceDN w:val="0"/>
        <w:adjustRightInd w:val="0"/>
        <w:spacing w:after="0" w:line="240" w:lineRule="auto"/>
        <w:jc w:val="both"/>
        <w:rPr>
          <w:rFonts w:ascii="ITC Avant Garde" w:hAnsi="ITC Avant Garde"/>
          <w:bCs/>
        </w:rPr>
      </w:pPr>
      <w:r w:rsidRPr="00C007AB">
        <w:rPr>
          <w:rFonts w:ascii="ITC Avant Garde" w:hAnsi="ITC Avant Garde"/>
          <w:bCs/>
          <w:lang w:val="es-ES"/>
        </w:rPr>
        <w:t xml:space="preserve">Asimismo, el segundo párrafo del artículo </w:t>
      </w:r>
      <w:r w:rsidR="004E0917" w:rsidRPr="00C007AB">
        <w:rPr>
          <w:rFonts w:ascii="ITC Avant Garde" w:hAnsi="ITC Avant Garde"/>
          <w:bCs/>
          <w:lang w:val="es-ES"/>
        </w:rPr>
        <w:t>S</w:t>
      </w:r>
      <w:r w:rsidRPr="00C007AB">
        <w:rPr>
          <w:rFonts w:ascii="ITC Avant Garde" w:hAnsi="ITC Avant Garde"/>
          <w:bCs/>
          <w:lang w:val="es-ES"/>
        </w:rPr>
        <w:t xml:space="preserve">éptimo </w:t>
      </w:r>
      <w:r w:rsidR="004E0917" w:rsidRPr="00C007AB">
        <w:rPr>
          <w:rFonts w:ascii="ITC Avant Garde" w:hAnsi="ITC Avant Garde"/>
          <w:bCs/>
          <w:lang w:val="es-ES"/>
        </w:rPr>
        <w:t>T</w:t>
      </w:r>
      <w:r w:rsidRPr="00C007AB">
        <w:rPr>
          <w:rFonts w:ascii="ITC Avant Garde" w:hAnsi="ITC Avant Garde"/>
          <w:bCs/>
          <w:lang w:val="es-ES"/>
        </w:rPr>
        <w:t>ransitorio</w:t>
      </w:r>
      <w:r w:rsidR="004E0917" w:rsidRPr="00C007AB">
        <w:rPr>
          <w:rFonts w:ascii="ITC Avant Garde" w:hAnsi="ITC Avant Garde"/>
          <w:bCs/>
          <w:lang w:val="es-ES"/>
        </w:rPr>
        <w:t xml:space="preserve"> </w:t>
      </w:r>
      <w:r w:rsidRPr="00C007AB">
        <w:rPr>
          <w:rFonts w:ascii="ITC Avant Garde" w:hAnsi="ITC Avant Garde"/>
          <w:bCs/>
          <w:lang w:val="es-ES"/>
        </w:rPr>
        <w:t xml:space="preserve">del Decreto de Reforma Constitucional indica que los </w:t>
      </w:r>
      <w:r w:rsidRPr="00963E49">
        <w:rPr>
          <w:rFonts w:ascii="ITC Avant Garde" w:hAnsi="ITC Avant Garde"/>
          <w:b/>
          <w:bCs/>
          <w:u w:val="single"/>
          <w:lang w:val="es-ES"/>
        </w:rPr>
        <w:t>procedimientos iniciados</w:t>
      </w:r>
      <w:r w:rsidRPr="00C007AB">
        <w:rPr>
          <w:rFonts w:ascii="ITC Avant Garde" w:hAnsi="ITC Avant Garde"/>
          <w:bCs/>
          <w:lang w:val="es-ES"/>
        </w:rPr>
        <w:t xml:space="preserve"> con anterioridad a la integración del Instituto, como acontece en el presente caso, continuarán su trámite ante este órgano en términos de la legislación aplicable al momento de su inicio.</w:t>
      </w:r>
    </w:p>
    <w:p w14:paraId="55E4EED3" w14:textId="77777777" w:rsidR="00E962AD" w:rsidRPr="00C007AB" w:rsidRDefault="00E962AD" w:rsidP="002D45C6">
      <w:pPr>
        <w:autoSpaceDE w:val="0"/>
        <w:autoSpaceDN w:val="0"/>
        <w:adjustRightInd w:val="0"/>
        <w:spacing w:after="0" w:line="240" w:lineRule="auto"/>
        <w:jc w:val="both"/>
        <w:rPr>
          <w:rFonts w:ascii="ITC Avant Garde" w:hAnsi="ITC Avant Garde"/>
          <w:bCs/>
        </w:rPr>
      </w:pPr>
    </w:p>
    <w:p w14:paraId="4AAB0B43" w14:textId="77777777" w:rsidR="00E962AD" w:rsidRPr="00C007AB" w:rsidRDefault="00E962AD" w:rsidP="002D45C6">
      <w:pPr>
        <w:autoSpaceDE w:val="0"/>
        <w:autoSpaceDN w:val="0"/>
        <w:adjustRightInd w:val="0"/>
        <w:spacing w:after="0" w:line="240" w:lineRule="auto"/>
        <w:jc w:val="both"/>
        <w:rPr>
          <w:rFonts w:ascii="ITC Avant Garde" w:hAnsi="ITC Avant Garde"/>
          <w:bCs/>
        </w:rPr>
      </w:pPr>
      <w:r w:rsidRPr="00D8107C">
        <w:rPr>
          <w:rFonts w:ascii="ITC Avant Garde" w:hAnsi="ITC Avant Garde"/>
          <w:bCs/>
        </w:rPr>
        <w:t>De igual forma, conforme a lo establec</w:t>
      </w:r>
      <w:r w:rsidR="001738ED" w:rsidRPr="00D8107C">
        <w:rPr>
          <w:rFonts w:ascii="ITC Avant Garde" w:hAnsi="ITC Avant Garde"/>
          <w:bCs/>
        </w:rPr>
        <w:t>ido en los artículos 15 fracciones</w:t>
      </w:r>
      <w:r w:rsidRPr="00D8107C">
        <w:rPr>
          <w:rFonts w:ascii="ITC Avant Garde" w:hAnsi="ITC Avant Garde"/>
          <w:bCs/>
        </w:rPr>
        <w:t xml:space="preserve"> IV y</w:t>
      </w:r>
      <w:r w:rsidR="001738ED" w:rsidRPr="00D8107C">
        <w:rPr>
          <w:rFonts w:ascii="ITC Avant Garde" w:hAnsi="ITC Avant Garde"/>
          <w:bCs/>
        </w:rPr>
        <w:t xml:space="preserve"> LXIII y </w:t>
      </w:r>
      <w:r w:rsidRPr="00D8107C">
        <w:rPr>
          <w:rFonts w:ascii="ITC Avant Garde" w:hAnsi="ITC Avant Garde"/>
          <w:bCs/>
        </w:rPr>
        <w:t xml:space="preserve">17 fracción I de la Ley Federal de Telecomunicaciones y Radiodifusión (en lo sucesivo la “Ley”) y 6 fracciones I y XXXVII del Estatuto Orgánico, corresponde al Pleno del Instituto, </w:t>
      </w:r>
      <w:r w:rsidRPr="00963E49">
        <w:rPr>
          <w:rFonts w:ascii="ITC Avant Garde" w:hAnsi="ITC Avant Garde"/>
          <w:b/>
          <w:bCs/>
          <w:u w:val="single"/>
        </w:rPr>
        <w:t>la facultad de otorgar las concesiones previstas en dicho ordenamiento legal</w:t>
      </w:r>
      <w:r w:rsidRPr="00D8107C">
        <w:rPr>
          <w:rFonts w:ascii="ITC Avant Garde" w:hAnsi="ITC Avant Garde"/>
          <w:bCs/>
        </w:rPr>
        <w:t>.</w:t>
      </w:r>
    </w:p>
    <w:p w14:paraId="1EDBF7C9" w14:textId="77777777" w:rsidR="00E962AD" w:rsidRPr="00C007AB" w:rsidRDefault="00E962AD" w:rsidP="002D45C6">
      <w:pPr>
        <w:autoSpaceDE w:val="0"/>
        <w:autoSpaceDN w:val="0"/>
        <w:adjustRightInd w:val="0"/>
        <w:spacing w:after="0" w:line="240" w:lineRule="auto"/>
        <w:jc w:val="both"/>
        <w:rPr>
          <w:rFonts w:ascii="ITC Avant Garde" w:hAnsi="ITC Avant Garde"/>
          <w:bCs/>
        </w:rPr>
      </w:pPr>
    </w:p>
    <w:p w14:paraId="77BDA9D1" w14:textId="2273C14A" w:rsidR="00510487" w:rsidRPr="00C007AB" w:rsidRDefault="00510487" w:rsidP="002D45C6">
      <w:pPr>
        <w:autoSpaceDE w:val="0"/>
        <w:autoSpaceDN w:val="0"/>
        <w:adjustRightInd w:val="0"/>
        <w:spacing w:after="0" w:line="240" w:lineRule="auto"/>
        <w:jc w:val="both"/>
        <w:rPr>
          <w:rFonts w:ascii="ITC Avant Garde" w:hAnsi="ITC Avant Garde" w:cs="Tahoma"/>
          <w:bCs/>
          <w:lang w:eastAsia="es-MX"/>
        </w:rPr>
      </w:pPr>
      <w:r w:rsidRPr="00C007AB">
        <w:rPr>
          <w:rFonts w:ascii="ITC Avant Garde" w:hAnsi="ITC Avant Garde"/>
          <w:bCs/>
        </w:rPr>
        <w:t xml:space="preserve">En este orden de ideas, el Instituto tiene la facultad para resolver sobre </w:t>
      </w:r>
      <w:r w:rsidR="00DD7237" w:rsidRPr="00C007AB">
        <w:rPr>
          <w:rFonts w:ascii="ITC Avant Garde" w:eastAsia="Arial" w:hAnsi="ITC Avant Garde"/>
        </w:rPr>
        <w:t>la solicitud de concesión presentada por José Pérez Ramírez, para instalar, operar</w:t>
      </w:r>
      <w:r w:rsidR="00DD7237" w:rsidRPr="00C007AB">
        <w:rPr>
          <w:rFonts w:ascii="ITC Avant Garde" w:hAnsi="ITC Avant Garde"/>
          <w:lang w:eastAsia="es-MX"/>
        </w:rPr>
        <w:t xml:space="preserve"> y explotar comercialmente la frecuencia 98.9 MHz, con </w:t>
      </w:r>
      <w:r w:rsidR="008960DB">
        <w:rPr>
          <w:rFonts w:ascii="ITC Avant Garde" w:hAnsi="ITC Avant Garde"/>
          <w:lang w:eastAsia="es-MX"/>
        </w:rPr>
        <w:t>distintivo de llamada XHDGM-FM</w:t>
      </w:r>
      <w:r w:rsidR="00DD7237" w:rsidRPr="00C007AB">
        <w:rPr>
          <w:rFonts w:ascii="ITC Avant Garde" w:hAnsi="ITC Avant Garde"/>
          <w:lang w:eastAsia="es-MX"/>
        </w:rPr>
        <w:t xml:space="preserve"> y población principal a servir Playa del Carmen, Quintana Roo</w:t>
      </w:r>
      <w:r w:rsidR="00DD7237" w:rsidRPr="00C007AB">
        <w:rPr>
          <w:rFonts w:ascii="ITC Avant Garde" w:hAnsi="ITC Avant Garde"/>
          <w:bCs/>
        </w:rPr>
        <w:t>,</w:t>
      </w:r>
      <w:r w:rsidRPr="00C007AB">
        <w:rPr>
          <w:rFonts w:ascii="ITC Avant Garde" w:hAnsi="ITC Avant Garde"/>
          <w:bCs/>
        </w:rPr>
        <w:t xml:space="preserve"> conforme a lo ordenado por el Segundo </w:t>
      </w:r>
      <w:r w:rsidR="00DD7237" w:rsidRPr="00C007AB">
        <w:rPr>
          <w:rFonts w:ascii="ITC Avant Garde" w:hAnsi="ITC Avant Garde"/>
          <w:bCs/>
        </w:rPr>
        <w:t xml:space="preserve">Tribunal Colegiado </w:t>
      </w:r>
      <w:r w:rsidRPr="00C007AB">
        <w:rPr>
          <w:rFonts w:ascii="ITC Avant Garde" w:hAnsi="ITC Avant Garde"/>
          <w:bCs/>
        </w:rPr>
        <w:t xml:space="preserve">y el Pleno como órgano máximo de gobierno y decisión del Instituto, se encuentra facultado para ejecutar las acciones </w:t>
      </w:r>
      <w:r w:rsidR="0039026D" w:rsidRPr="00C007AB">
        <w:rPr>
          <w:rFonts w:ascii="ITC Avant Garde" w:hAnsi="ITC Avant Garde"/>
          <w:bCs/>
        </w:rPr>
        <w:t>tendientes a</w:t>
      </w:r>
      <w:r w:rsidR="00DD7237" w:rsidRPr="00C007AB">
        <w:rPr>
          <w:rFonts w:ascii="ITC Avant Garde" w:hAnsi="ITC Avant Garde"/>
          <w:bCs/>
        </w:rPr>
        <w:t xml:space="preserve"> </w:t>
      </w:r>
      <w:r w:rsidR="000375C4" w:rsidRPr="00C007AB">
        <w:rPr>
          <w:rFonts w:ascii="ITC Avant Garde" w:hAnsi="ITC Avant Garde"/>
          <w:bCs/>
        </w:rPr>
        <w:t>dar cumplimiento a lo precisado por el Segundo Tribunal Colegiado</w:t>
      </w:r>
      <w:r w:rsidR="00DD7237" w:rsidRPr="00C007AB">
        <w:rPr>
          <w:rFonts w:ascii="ITC Avant Garde" w:hAnsi="ITC Avant Garde"/>
          <w:lang w:eastAsia="es-MX"/>
        </w:rPr>
        <w:t>.</w:t>
      </w:r>
    </w:p>
    <w:p w14:paraId="4228A1EC" w14:textId="77777777" w:rsidR="00096391" w:rsidRDefault="00096391" w:rsidP="002D45C6">
      <w:pPr>
        <w:autoSpaceDE w:val="0"/>
        <w:autoSpaceDN w:val="0"/>
        <w:adjustRightInd w:val="0"/>
        <w:spacing w:after="0" w:line="240" w:lineRule="auto"/>
        <w:jc w:val="both"/>
        <w:rPr>
          <w:rFonts w:ascii="ITC Avant Garde" w:eastAsia="Times New Roman" w:hAnsi="ITC Avant Garde" w:cs="Arial"/>
          <w:kern w:val="1"/>
          <w:lang w:val="es-ES" w:eastAsia="ar-SA"/>
        </w:rPr>
      </w:pPr>
    </w:p>
    <w:p w14:paraId="6E47326A" w14:textId="77777777" w:rsidR="002D45C6" w:rsidRPr="00C007AB" w:rsidRDefault="002D45C6" w:rsidP="002D45C6">
      <w:pPr>
        <w:autoSpaceDE w:val="0"/>
        <w:autoSpaceDN w:val="0"/>
        <w:adjustRightInd w:val="0"/>
        <w:spacing w:after="0" w:line="240" w:lineRule="auto"/>
        <w:jc w:val="both"/>
        <w:rPr>
          <w:rFonts w:ascii="ITC Avant Garde" w:eastAsia="Times New Roman" w:hAnsi="ITC Avant Garde" w:cs="Arial"/>
          <w:kern w:val="1"/>
          <w:lang w:val="es-ES" w:eastAsia="ar-SA"/>
        </w:rPr>
      </w:pPr>
    </w:p>
    <w:p w14:paraId="69275C96" w14:textId="14719348" w:rsidR="003947D4" w:rsidRPr="00C007AB" w:rsidRDefault="00E046AD" w:rsidP="002D45C6">
      <w:pPr>
        <w:spacing w:after="0" w:line="240" w:lineRule="auto"/>
        <w:jc w:val="both"/>
        <w:rPr>
          <w:rFonts w:ascii="ITC Avant Garde" w:eastAsia="Times New Roman" w:hAnsi="ITC Avant Garde"/>
          <w:lang w:val="es-ES" w:eastAsia="es-ES"/>
        </w:rPr>
      </w:pPr>
      <w:r w:rsidRPr="00C007AB">
        <w:rPr>
          <w:rFonts w:ascii="ITC Avant Garde" w:eastAsia="Times New Roman" w:hAnsi="ITC Avant Garde"/>
          <w:b/>
          <w:kern w:val="1"/>
          <w:lang w:val="es-ES" w:eastAsia="ar-SA"/>
        </w:rPr>
        <w:t>SEGUNDO</w:t>
      </w:r>
      <w:r w:rsidRPr="00C007AB">
        <w:rPr>
          <w:rFonts w:ascii="ITC Avant Garde" w:eastAsia="Times New Roman" w:hAnsi="ITC Avant Garde"/>
          <w:b/>
          <w:kern w:val="1"/>
          <w:lang w:eastAsia="ar-SA"/>
        </w:rPr>
        <w:t xml:space="preserve">.- </w:t>
      </w:r>
      <w:r w:rsidR="008A6A05" w:rsidRPr="00D8107C">
        <w:rPr>
          <w:rFonts w:ascii="ITC Avant Garde" w:eastAsia="Times New Roman" w:hAnsi="ITC Avant Garde" w:cs="Arial"/>
          <w:b/>
          <w:bCs/>
          <w:kern w:val="2"/>
          <w:lang w:eastAsia="ar-SA"/>
        </w:rPr>
        <w:t xml:space="preserve">Alcance de la ejecutoria de amparo.- </w:t>
      </w:r>
      <w:r w:rsidR="003947D4" w:rsidRPr="00D8107C">
        <w:rPr>
          <w:rFonts w:ascii="ITC Avant Garde" w:eastAsia="Times New Roman" w:hAnsi="ITC Avant Garde"/>
          <w:lang w:val="es-ES" w:eastAsia="es-ES"/>
        </w:rPr>
        <w:t>La sentencia dictada en autos del Amparo en Revisión</w:t>
      </w:r>
      <w:r w:rsidR="006644E8">
        <w:rPr>
          <w:rFonts w:ascii="ITC Avant Garde" w:eastAsia="Times New Roman" w:hAnsi="ITC Avant Garde"/>
          <w:lang w:val="es-ES" w:eastAsia="es-ES"/>
        </w:rPr>
        <w:t xml:space="preserve"> de fecha 25 de febrero de 2016</w:t>
      </w:r>
      <w:r w:rsidR="003947D4" w:rsidRPr="00D8107C">
        <w:rPr>
          <w:rFonts w:ascii="ITC Avant Garde" w:eastAsia="Times New Roman" w:hAnsi="ITC Avant Garde"/>
          <w:lang w:val="es-ES" w:eastAsia="es-ES"/>
        </w:rPr>
        <w:t xml:space="preserve">, </w:t>
      </w:r>
      <w:r w:rsidR="004E0917" w:rsidRPr="00D8107C">
        <w:rPr>
          <w:rFonts w:ascii="ITC Avant Garde" w:eastAsia="Times New Roman" w:hAnsi="ITC Avant Garde"/>
          <w:lang w:val="es-ES" w:eastAsia="es-ES"/>
        </w:rPr>
        <w:t>establece en su parte resolutiva lo siguiente</w:t>
      </w:r>
      <w:r w:rsidR="003947D4" w:rsidRPr="00D8107C">
        <w:rPr>
          <w:rFonts w:ascii="ITC Avant Garde" w:eastAsia="Times New Roman" w:hAnsi="ITC Avant Garde"/>
          <w:lang w:val="es-ES" w:eastAsia="es-ES"/>
        </w:rPr>
        <w:t>:</w:t>
      </w:r>
    </w:p>
    <w:p w14:paraId="2617E5A6" w14:textId="77777777" w:rsidR="003947D4" w:rsidRPr="002D45C6" w:rsidRDefault="003947D4" w:rsidP="002D45C6">
      <w:pPr>
        <w:autoSpaceDE w:val="0"/>
        <w:autoSpaceDN w:val="0"/>
        <w:adjustRightInd w:val="0"/>
        <w:spacing w:after="0" w:line="240" w:lineRule="auto"/>
        <w:jc w:val="both"/>
        <w:rPr>
          <w:rFonts w:ascii="ITC Avant Garde" w:eastAsia="Times New Roman" w:hAnsi="ITC Avant Garde"/>
          <w:sz w:val="18"/>
          <w:lang w:val="es-ES" w:eastAsia="es-ES"/>
        </w:rPr>
      </w:pPr>
    </w:p>
    <w:p w14:paraId="7DD1CE25" w14:textId="77777777" w:rsidR="000375C4" w:rsidRPr="00C007AB" w:rsidRDefault="000375C4" w:rsidP="000375C4">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t>“(…)</w:t>
      </w:r>
    </w:p>
    <w:p w14:paraId="74DE4E29" w14:textId="77777777" w:rsidR="000375C4" w:rsidRPr="00C007AB" w:rsidRDefault="000375C4" w:rsidP="000375C4">
      <w:pPr>
        <w:spacing w:after="0"/>
        <w:ind w:left="851"/>
        <w:jc w:val="both"/>
        <w:rPr>
          <w:rFonts w:ascii="ITC Avant Garde" w:hAnsi="ITC Avant Garde"/>
          <w:i/>
          <w:sz w:val="14"/>
          <w:szCs w:val="14"/>
          <w:lang w:eastAsia="es-MX"/>
        </w:rPr>
      </w:pPr>
    </w:p>
    <w:p w14:paraId="0F696A51" w14:textId="77777777" w:rsidR="000375C4" w:rsidRPr="00C007AB" w:rsidRDefault="000375C4" w:rsidP="000375C4">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t xml:space="preserve">Así las cosas, dado el resultado alcanzado y revelada la eficacia de los conceptos de agravio de la revisión principal, </w:t>
      </w:r>
      <w:r w:rsidRPr="00C007AB">
        <w:rPr>
          <w:rFonts w:ascii="ITC Avant Garde" w:hAnsi="ITC Avant Garde"/>
          <w:b/>
          <w:i/>
          <w:sz w:val="14"/>
          <w:szCs w:val="14"/>
          <w:lang w:eastAsia="es-MX"/>
        </w:rPr>
        <w:t>procede recovar la sentencia recurrida y conceder el amparo al quejoso José Pérez Ramírez,</w:t>
      </w:r>
      <w:r w:rsidRPr="00C007AB">
        <w:rPr>
          <w:rFonts w:ascii="ITC Avant Garde" w:hAnsi="ITC Avant Garde"/>
          <w:i/>
          <w:sz w:val="14"/>
          <w:szCs w:val="14"/>
          <w:lang w:eastAsia="es-MX"/>
        </w:rPr>
        <w:t xml:space="preserve"> para el efecto de que el Pleno del Instituto Federal de Telecomunicaciones deje insubsistente la resolución aprobada en sesión de </w:t>
      </w:r>
      <w:r w:rsidRPr="00C007AB">
        <w:rPr>
          <w:rFonts w:ascii="ITC Avant Garde" w:hAnsi="ITC Avant Garde"/>
          <w:b/>
          <w:i/>
          <w:sz w:val="14"/>
          <w:szCs w:val="14"/>
          <w:lang w:eastAsia="es-MX"/>
        </w:rPr>
        <w:t>veinticinco de agosto de dos mil quince</w:t>
      </w:r>
      <w:r w:rsidRPr="00C007AB">
        <w:rPr>
          <w:rFonts w:ascii="ITC Avant Garde" w:hAnsi="ITC Avant Garde"/>
          <w:i/>
          <w:sz w:val="14"/>
          <w:szCs w:val="14"/>
          <w:lang w:eastAsia="es-MX"/>
        </w:rPr>
        <w:t xml:space="preserve">, mediante acuerdo P/IFT/250815/390, </w:t>
      </w:r>
      <w:r w:rsidRPr="000572D7">
        <w:rPr>
          <w:rFonts w:ascii="ITC Avant Garde" w:hAnsi="ITC Avant Garde"/>
          <w:b/>
          <w:i/>
          <w:sz w:val="14"/>
          <w:szCs w:val="14"/>
          <w:u w:val="single"/>
          <w:lang w:eastAsia="es-MX"/>
        </w:rPr>
        <w:t>y con libertad de jurisdicción emita una nueva decisión respecto de la solicitud de concesión efectuada por el justiciable</w:t>
      </w:r>
      <w:r w:rsidRPr="00C007AB">
        <w:rPr>
          <w:rFonts w:ascii="ITC Avant Garde" w:hAnsi="ITC Avant Garde"/>
          <w:i/>
          <w:sz w:val="14"/>
          <w:szCs w:val="14"/>
          <w:lang w:eastAsia="es-MX"/>
        </w:rPr>
        <w:t xml:space="preserve">, </w:t>
      </w:r>
      <w:r w:rsidRPr="000572D7">
        <w:rPr>
          <w:rFonts w:ascii="ITC Avant Garde" w:hAnsi="ITC Avant Garde"/>
          <w:b/>
          <w:i/>
          <w:sz w:val="14"/>
          <w:szCs w:val="14"/>
          <w:u w:val="single"/>
          <w:lang w:eastAsia="es-MX"/>
        </w:rPr>
        <w:t>ciñéndose a lo previsto en la Ley Federal de Radio y Televisión</w:t>
      </w:r>
      <w:r w:rsidRPr="00C007AB">
        <w:rPr>
          <w:rFonts w:ascii="ITC Avant Garde" w:hAnsi="ITC Avant Garde"/>
          <w:i/>
          <w:sz w:val="14"/>
          <w:szCs w:val="14"/>
          <w:lang w:eastAsia="es-MX"/>
        </w:rPr>
        <w:t xml:space="preserve"> –vigente a partir del veintiocho de enero de mil novecientos setenta y hasta el doce de abril de dos mil seis- </w:t>
      </w:r>
      <w:r w:rsidRPr="000572D7">
        <w:rPr>
          <w:rFonts w:ascii="ITC Avant Garde" w:hAnsi="ITC Avant Garde"/>
          <w:b/>
          <w:i/>
          <w:sz w:val="14"/>
          <w:szCs w:val="14"/>
          <w:u w:val="single"/>
          <w:lang w:eastAsia="es-MX"/>
        </w:rPr>
        <w:t>en lo ateniente al otorgamiento de concesiones para uso comercial</w:t>
      </w:r>
      <w:r w:rsidRPr="00C007AB">
        <w:rPr>
          <w:rFonts w:ascii="ITC Avant Garde" w:hAnsi="ITC Avant Garde"/>
          <w:i/>
          <w:sz w:val="14"/>
          <w:szCs w:val="14"/>
          <w:lang w:eastAsia="es-MX"/>
        </w:rPr>
        <w:t xml:space="preserve">.” (sic) </w:t>
      </w:r>
    </w:p>
    <w:p w14:paraId="5A205CCC" w14:textId="77777777" w:rsidR="000375C4" w:rsidRPr="00C007AB" w:rsidRDefault="000375C4" w:rsidP="000375C4">
      <w:pPr>
        <w:spacing w:after="0"/>
        <w:ind w:left="851"/>
        <w:jc w:val="both"/>
        <w:rPr>
          <w:rFonts w:ascii="ITC Avant Garde" w:hAnsi="ITC Avant Garde"/>
          <w:i/>
          <w:sz w:val="14"/>
          <w:szCs w:val="14"/>
          <w:lang w:eastAsia="es-MX"/>
        </w:rPr>
      </w:pPr>
    </w:p>
    <w:p w14:paraId="2694E0DE" w14:textId="77777777" w:rsidR="000375C4" w:rsidRPr="00C007AB" w:rsidRDefault="000375C4" w:rsidP="000375C4">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t>(…)</w:t>
      </w:r>
    </w:p>
    <w:p w14:paraId="3883678F" w14:textId="77777777" w:rsidR="000375C4" w:rsidRPr="00C007AB" w:rsidRDefault="000375C4" w:rsidP="000375C4">
      <w:pPr>
        <w:spacing w:after="0"/>
        <w:ind w:left="851"/>
        <w:jc w:val="both"/>
        <w:rPr>
          <w:rFonts w:ascii="ITC Avant Garde" w:hAnsi="ITC Avant Garde"/>
          <w:i/>
          <w:sz w:val="14"/>
          <w:szCs w:val="14"/>
          <w:lang w:eastAsia="es-MX"/>
        </w:rPr>
      </w:pPr>
    </w:p>
    <w:p w14:paraId="2428BAA8" w14:textId="77777777" w:rsidR="000375C4" w:rsidRPr="00C007AB" w:rsidRDefault="000375C4" w:rsidP="000375C4">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t xml:space="preserve">“PRIMERO. Se </w:t>
      </w:r>
      <w:r w:rsidRPr="00C007AB">
        <w:rPr>
          <w:rFonts w:ascii="ITC Avant Garde" w:hAnsi="ITC Avant Garde"/>
          <w:b/>
          <w:i/>
          <w:sz w:val="14"/>
          <w:szCs w:val="14"/>
          <w:lang w:eastAsia="es-MX"/>
        </w:rPr>
        <w:t>revoca</w:t>
      </w:r>
      <w:r w:rsidRPr="00C007AB">
        <w:rPr>
          <w:rFonts w:ascii="ITC Avant Garde" w:hAnsi="ITC Avant Garde"/>
          <w:i/>
          <w:sz w:val="14"/>
          <w:szCs w:val="14"/>
          <w:lang w:eastAsia="es-MX"/>
        </w:rPr>
        <w:t xml:space="preserve"> la sentencia recurrida.</w:t>
      </w:r>
    </w:p>
    <w:p w14:paraId="498D937A" w14:textId="77777777" w:rsidR="000375C4" w:rsidRPr="00C007AB" w:rsidRDefault="000375C4" w:rsidP="000375C4">
      <w:pPr>
        <w:spacing w:after="0"/>
        <w:ind w:left="851"/>
        <w:jc w:val="both"/>
        <w:rPr>
          <w:rFonts w:ascii="ITC Avant Garde" w:hAnsi="ITC Avant Garde"/>
          <w:i/>
          <w:sz w:val="14"/>
          <w:szCs w:val="14"/>
          <w:lang w:eastAsia="es-MX"/>
        </w:rPr>
      </w:pPr>
    </w:p>
    <w:p w14:paraId="575F7DFE" w14:textId="77777777" w:rsidR="000375C4" w:rsidRPr="00C007AB" w:rsidRDefault="000375C4" w:rsidP="000375C4">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t xml:space="preserve">SEGUNDO. La justicia de la Unión </w:t>
      </w:r>
      <w:r w:rsidRPr="00C007AB">
        <w:rPr>
          <w:rFonts w:ascii="ITC Avant Garde" w:hAnsi="ITC Avant Garde"/>
          <w:b/>
          <w:i/>
          <w:sz w:val="14"/>
          <w:szCs w:val="14"/>
          <w:lang w:eastAsia="es-MX"/>
        </w:rPr>
        <w:t>ampara y protege a José Pérez Ramírez</w:t>
      </w:r>
      <w:r w:rsidRPr="00C007AB">
        <w:rPr>
          <w:rFonts w:ascii="ITC Avant Garde" w:hAnsi="ITC Avant Garde"/>
          <w:i/>
          <w:sz w:val="14"/>
          <w:szCs w:val="14"/>
          <w:lang w:eastAsia="es-MX"/>
        </w:rPr>
        <w:t xml:space="preserve"> en contra del acto que reclama del Pleno del Instituto Federal de Telecomunicaciones, que se precisa en el resultando primero y para los efectos precisados en el considerando último de la ejecutoria.” (sic).</w:t>
      </w:r>
    </w:p>
    <w:p w14:paraId="05716ED7" w14:textId="77777777" w:rsidR="000375C4" w:rsidRPr="00C007AB" w:rsidRDefault="000375C4" w:rsidP="000375C4">
      <w:pPr>
        <w:spacing w:after="0"/>
        <w:ind w:left="851"/>
        <w:jc w:val="both"/>
        <w:rPr>
          <w:rFonts w:ascii="ITC Avant Garde" w:hAnsi="ITC Avant Garde"/>
          <w:i/>
          <w:sz w:val="14"/>
          <w:szCs w:val="14"/>
          <w:lang w:eastAsia="es-MX"/>
        </w:rPr>
      </w:pPr>
    </w:p>
    <w:p w14:paraId="6BB5E15B" w14:textId="77777777" w:rsidR="000375C4" w:rsidRPr="00C007AB" w:rsidRDefault="000375C4" w:rsidP="000375C4">
      <w:pPr>
        <w:spacing w:after="0"/>
        <w:ind w:left="851"/>
        <w:jc w:val="both"/>
        <w:rPr>
          <w:rFonts w:ascii="ITC Avant Garde" w:hAnsi="ITC Avant Garde"/>
          <w:i/>
          <w:sz w:val="14"/>
          <w:szCs w:val="14"/>
          <w:lang w:eastAsia="es-MX"/>
        </w:rPr>
      </w:pPr>
      <w:r w:rsidRPr="00C007AB">
        <w:rPr>
          <w:rFonts w:ascii="ITC Avant Garde" w:hAnsi="ITC Avant Garde"/>
          <w:i/>
          <w:sz w:val="14"/>
          <w:szCs w:val="14"/>
          <w:lang w:eastAsia="es-MX"/>
        </w:rPr>
        <w:lastRenderedPageBreak/>
        <w:t>(…)”</w:t>
      </w:r>
    </w:p>
    <w:p w14:paraId="3B934330" w14:textId="77777777" w:rsidR="008A6A05" w:rsidRPr="002D45C6" w:rsidRDefault="008A6A05" w:rsidP="002D45C6">
      <w:pPr>
        <w:tabs>
          <w:tab w:val="left" w:pos="10065"/>
        </w:tabs>
        <w:spacing w:after="0" w:line="240" w:lineRule="auto"/>
        <w:ind w:right="900"/>
        <w:contextualSpacing/>
        <w:jc w:val="both"/>
        <w:rPr>
          <w:rFonts w:ascii="ITC Avant Garde" w:eastAsia="Times New Roman" w:hAnsi="ITC Avant Garde"/>
          <w:lang w:val="es-ES" w:eastAsia="es-ES"/>
        </w:rPr>
      </w:pPr>
    </w:p>
    <w:p w14:paraId="1B856E45" w14:textId="77777777" w:rsidR="00DC36EA" w:rsidRPr="00C007AB" w:rsidRDefault="00B96720" w:rsidP="002D45C6">
      <w:pPr>
        <w:tabs>
          <w:tab w:val="left" w:pos="10065"/>
        </w:tabs>
        <w:spacing w:after="0" w:line="240" w:lineRule="auto"/>
        <w:ind w:right="-62"/>
        <w:contextualSpacing/>
        <w:jc w:val="both"/>
        <w:rPr>
          <w:rFonts w:ascii="ITC Avant Garde" w:eastAsia="Times New Roman" w:hAnsi="ITC Avant Garde"/>
          <w:b/>
          <w:u w:val="single"/>
          <w:lang w:val="es-ES" w:eastAsia="es-ES"/>
        </w:rPr>
      </w:pPr>
      <w:r w:rsidRPr="00C007AB">
        <w:rPr>
          <w:rFonts w:ascii="ITC Avant Garde" w:eastAsia="Times New Roman" w:hAnsi="ITC Avant Garde"/>
          <w:lang w:val="es-ES" w:eastAsia="es-ES"/>
        </w:rPr>
        <w:t>De acuerdo con</w:t>
      </w:r>
      <w:r w:rsidR="00DA0F96" w:rsidRPr="00C007AB">
        <w:rPr>
          <w:rFonts w:ascii="ITC Avant Garde" w:eastAsia="Times New Roman" w:hAnsi="ITC Avant Garde"/>
          <w:lang w:val="es-ES" w:eastAsia="es-ES"/>
        </w:rPr>
        <w:t xml:space="preserve"> l</w:t>
      </w:r>
      <w:r w:rsidR="00364BEA" w:rsidRPr="00C007AB">
        <w:rPr>
          <w:rFonts w:ascii="ITC Avant Garde" w:eastAsia="Times New Roman" w:hAnsi="ITC Avant Garde"/>
          <w:lang w:val="es-ES" w:eastAsia="es-ES"/>
        </w:rPr>
        <w:t>as consideraciones expuestas en la resolución que sustentan la determinación</w:t>
      </w:r>
      <w:r w:rsidR="00AD38B8" w:rsidRPr="00C007AB">
        <w:rPr>
          <w:rFonts w:ascii="ITC Avant Garde" w:eastAsia="Times New Roman" w:hAnsi="ITC Avant Garde"/>
          <w:lang w:val="es-ES" w:eastAsia="es-ES"/>
        </w:rPr>
        <w:t xml:space="preserve"> del </w:t>
      </w:r>
      <w:r w:rsidR="00D725CA" w:rsidRPr="00C007AB">
        <w:rPr>
          <w:rFonts w:ascii="ITC Avant Garde" w:eastAsia="Times New Roman" w:hAnsi="ITC Avant Garde"/>
          <w:lang w:val="es-ES" w:eastAsia="es-ES"/>
        </w:rPr>
        <w:t>Segundo Tribunal</w:t>
      </w:r>
      <w:r w:rsidR="00AD38B8" w:rsidRPr="00C007AB">
        <w:rPr>
          <w:rFonts w:ascii="ITC Avant Garde" w:eastAsia="Times New Roman" w:hAnsi="ITC Avant Garde"/>
          <w:lang w:val="es-ES" w:eastAsia="es-ES"/>
        </w:rPr>
        <w:t xml:space="preserve"> Colegiado</w:t>
      </w:r>
      <w:r w:rsidR="000B0D6F" w:rsidRPr="00C007AB">
        <w:rPr>
          <w:rFonts w:ascii="ITC Avant Garde" w:eastAsia="Times New Roman" w:hAnsi="ITC Avant Garde"/>
          <w:lang w:val="es-ES" w:eastAsia="es-ES"/>
        </w:rPr>
        <w:t>,</w:t>
      </w:r>
      <w:r w:rsidR="00364BEA" w:rsidRPr="00C007AB">
        <w:rPr>
          <w:rFonts w:ascii="ITC Avant Garde" w:eastAsia="Times New Roman" w:hAnsi="ITC Avant Garde"/>
          <w:lang w:val="es-ES" w:eastAsia="es-ES"/>
        </w:rPr>
        <w:t xml:space="preserve"> </w:t>
      </w:r>
      <w:r w:rsidR="00CC0C48" w:rsidRPr="00C007AB">
        <w:rPr>
          <w:rFonts w:ascii="ITC Avant Garde" w:eastAsia="Times New Roman" w:hAnsi="ITC Avant Garde"/>
          <w:lang w:val="es-ES" w:eastAsia="es-ES"/>
        </w:rPr>
        <w:t xml:space="preserve">el acto reclamado </w:t>
      </w:r>
      <w:r w:rsidR="00CC0C48" w:rsidRPr="00C007AB">
        <w:rPr>
          <w:rFonts w:ascii="ITC Avant Garde" w:eastAsia="Times New Roman" w:hAnsi="ITC Avant Garde"/>
          <w:b/>
          <w:u w:val="single"/>
          <w:lang w:val="es-ES" w:eastAsia="es-ES"/>
        </w:rPr>
        <w:t xml:space="preserve">no está debidamente fundado en cuanto a </w:t>
      </w:r>
      <w:r w:rsidR="004D011F" w:rsidRPr="00C007AB">
        <w:rPr>
          <w:rFonts w:ascii="ITC Avant Garde" w:eastAsia="Times New Roman" w:hAnsi="ITC Avant Garde"/>
          <w:b/>
          <w:u w:val="single"/>
          <w:lang w:val="es-ES" w:eastAsia="es-ES"/>
        </w:rPr>
        <w:t xml:space="preserve">que la autoridad debió sujetar su decisión a lo previsto en la ley secundaria </w:t>
      </w:r>
      <w:r w:rsidR="00474E5E" w:rsidRPr="00C007AB">
        <w:rPr>
          <w:rFonts w:ascii="ITC Avant Garde" w:eastAsia="Times New Roman" w:hAnsi="ITC Avant Garde"/>
          <w:b/>
          <w:u w:val="single"/>
          <w:lang w:val="es-ES" w:eastAsia="es-ES"/>
        </w:rPr>
        <w:t xml:space="preserve">(Ley Federal de Radio y Televisión) </w:t>
      </w:r>
      <w:r w:rsidR="004D011F" w:rsidRPr="00C007AB">
        <w:rPr>
          <w:rFonts w:ascii="ITC Avant Garde" w:eastAsia="Times New Roman" w:hAnsi="ITC Avant Garde"/>
          <w:b/>
          <w:u w:val="single"/>
          <w:lang w:val="es-ES" w:eastAsia="es-ES"/>
        </w:rPr>
        <w:t>y no en la normatividad que actualmente rige la materia de concesiones en atención a lo dispuesto en el artículo séptimo tran</w:t>
      </w:r>
      <w:r w:rsidR="001E462D" w:rsidRPr="00C007AB">
        <w:rPr>
          <w:rFonts w:ascii="ITC Avant Garde" w:eastAsia="Times New Roman" w:hAnsi="ITC Avant Garde"/>
          <w:b/>
          <w:u w:val="single"/>
          <w:lang w:val="es-ES" w:eastAsia="es-ES"/>
        </w:rPr>
        <w:t>s</w:t>
      </w:r>
      <w:r w:rsidR="004D011F" w:rsidRPr="00C007AB">
        <w:rPr>
          <w:rFonts w:ascii="ITC Avant Garde" w:eastAsia="Times New Roman" w:hAnsi="ITC Avant Garde"/>
          <w:b/>
          <w:u w:val="single"/>
          <w:lang w:val="es-ES" w:eastAsia="es-ES"/>
        </w:rPr>
        <w:t xml:space="preserve">itorio del decreto </w:t>
      </w:r>
      <w:r w:rsidR="001E462D" w:rsidRPr="00C007AB">
        <w:rPr>
          <w:rFonts w:ascii="ITC Avant Garde" w:eastAsia="Times New Roman" w:hAnsi="ITC Avant Garde"/>
          <w:b/>
          <w:u w:val="single"/>
          <w:lang w:val="es-ES" w:eastAsia="es-ES"/>
        </w:rPr>
        <w:t xml:space="preserve">de reforma </w:t>
      </w:r>
      <w:r w:rsidR="004D011F" w:rsidRPr="00C007AB">
        <w:rPr>
          <w:rFonts w:ascii="ITC Avant Garde" w:eastAsia="Times New Roman" w:hAnsi="ITC Avant Garde"/>
          <w:b/>
          <w:u w:val="single"/>
          <w:lang w:val="es-ES" w:eastAsia="es-ES"/>
        </w:rPr>
        <w:t>constitucional</w:t>
      </w:r>
      <w:r w:rsidR="001E462D" w:rsidRPr="00C007AB">
        <w:rPr>
          <w:rFonts w:ascii="ITC Avant Garde" w:eastAsia="Times New Roman" w:hAnsi="ITC Avant Garde"/>
          <w:b/>
          <w:u w:val="single"/>
          <w:lang w:val="es-ES" w:eastAsia="es-ES"/>
        </w:rPr>
        <w:t xml:space="preserve">, que establece </w:t>
      </w:r>
      <w:r w:rsidR="005859BB" w:rsidRPr="00C007AB">
        <w:rPr>
          <w:rFonts w:ascii="ITC Avant Garde" w:eastAsia="Times New Roman" w:hAnsi="ITC Avant Garde"/>
          <w:b/>
          <w:u w:val="single"/>
          <w:lang w:val="es-ES" w:eastAsia="es-ES"/>
        </w:rPr>
        <w:t>que los procedimientos pendientes a la fecha de integración del Instituto Federal de Telecomunicaciones, se continuarán en los términos de la legislaci</w:t>
      </w:r>
      <w:r w:rsidR="00474E5E" w:rsidRPr="00C007AB">
        <w:rPr>
          <w:rFonts w:ascii="ITC Avant Garde" w:eastAsia="Times New Roman" w:hAnsi="ITC Avant Garde"/>
          <w:b/>
          <w:u w:val="single"/>
          <w:lang w:val="es-ES" w:eastAsia="es-ES"/>
        </w:rPr>
        <w:t>ón aplicable al momento</w:t>
      </w:r>
      <w:r w:rsidR="00940148" w:rsidRPr="00C007AB">
        <w:rPr>
          <w:rFonts w:ascii="ITC Avant Garde" w:eastAsia="Times New Roman" w:hAnsi="ITC Avant Garde"/>
          <w:b/>
          <w:u w:val="single"/>
          <w:lang w:val="es-ES" w:eastAsia="es-ES"/>
        </w:rPr>
        <w:t xml:space="preserve"> en que se inició</w:t>
      </w:r>
      <w:r w:rsidR="0049660E" w:rsidRPr="00C007AB">
        <w:rPr>
          <w:rFonts w:ascii="ITC Avant Garde" w:eastAsia="Times New Roman" w:hAnsi="ITC Avant Garde"/>
          <w:lang w:val="es-ES" w:eastAsia="es-ES"/>
        </w:rPr>
        <w:t>, así lo ci</w:t>
      </w:r>
      <w:r w:rsidR="00474E5E" w:rsidRPr="00C007AB">
        <w:rPr>
          <w:rFonts w:ascii="ITC Avant Garde" w:eastAsia="Times New Roman" w:hAnsi="ITC Avant Garde"/>
          <w:lang w:val="es-ES" w:eastAsia="es-ES"/>
        </w:rPr>
        <w:t>ta</w:t>
      </w:r>
      <w:r w:rsidR="0049660E" w:rsidRPr="00C007AB">
        <w:rPr>
          <w:rFonts w:ascii="ITC Avant Garde" w:eastAsia="Times New Roman" w:hAnsi="ITC Avant Garde"/>
          <w:lang w:val="es-ES" w:eastAsia="es-ES"/>
        </w:rPr>
        <w:t>, en la parte que a continuación se transcribe:</w:t>
      </w:r>
    </w:p>
    <w:p w14:paraId="68E3FAC5" w14:textId="77777777" w:rsidR="0049660E" w:rsidRPr="00C007AB" w:rsidRDefault="0049660E" w:rsidP="008A6A05">
      <w:pPr>
        <w:tabs>
          <w:tab w:val="left" w:pos="10065"/>
        </w:tabs>
        <w:spacing w:after="0"/>
        <w:ind w:right="-62"/>
        <w:contextualSpacing/>
        <w:jc w:val="both"/>
        <w:rPr>
          <w:rFonts w:ascii="ITC Avant Garde" w:eastAsia="Times New Roman" w:hAnsi="ITC Avant Garde"/>
          <w:lang w:val="es-ES" w:eastAsia="es-ES"/>
        </w:rPr>
      </w:pPr>
    </w:p>
    <w:p w14:paraId="0D185021" w14:textId="77777777" w:rsidR="00474E5E" w:rsidRPr="00C007AB" w:rsidRDefault="0049660E" w:rsidP="00474E5E">
      <w:pPr>
        <w:autoSpaceDE w:val="0"/>
        <w:autoSpaceDN w:val="0"/>
        <w:adjustRightInd w:val="0"/>
        <w:spacing w:after="0"/>
        <w:ind w:left="709" w:right="615"/>
        <w:jc w:val="both"/>
        <w:rPr>
          <w:rFonts w:ascii="ITC Avant Garde" w:eastAsia="Times New Roman" w:hAnsi="ITC Avant Garde"/>
          <w:i/>
          <w:sz w:val="14"/>
          <w:szCs w:val="14"/>
          <w:lang w:val="es-ES" w:eastAsia="es-ES"/>
        </w:rPr>
      </w:pPr>
      <w:r w:rsidRPr="00C007AB">
        <w:rPr>
          <w:rFonts w:ascii="ITC Avant Garde" w:eastAsia="Times New Roman" w:hAnsi="ITC Avant Garde"/>
          <w:i/>
          <w:sz w:val="14"/>
          <w:szCs w:val="14"/>
          <w:lang w:val="es-ES" w:eastAsia="es-ES"/>
        </w:rPr>
        <w:t>“</w:t>
      </w:r>
      <w:r w:rsidR="00680ADA" w:rsidRPr="00C007AB">
        <w:rPr>
          <w:rFonts w:ascii="ITC Avant Garde" w:eastAsia="Times New Roman" w:hAnsi="ITC Avant Garde"/>
          <w:i/>
          <w:sz w:val="14"/>
          <w:szCs w:val="14"/>
          <w:lang w:val="es-ES" w:eastAsia="es-ES"/>
        </w:rPr>
        <w:t>…</w:t>
      </w:r>
      <w:r w:rsidR="00474E5E" w:rsidRPr="00C007AB">
        <w:rPr>
          <w:rFonts w:ascii="ITC Avant Garde" w:eastAsia="Times New Roman" w:hAnsi="ITC Avant Garde"/>
          <w:i/>
          <w:sz w:val="14"/>
          <w:szCs w:val="14"/>
          <w:lang w:val="es-ES" w:eastAsia="es-ES"/>
        </w:rPr>
        <w:t xml:space="preserve">este Tribunal estima que asiste razón al recurrente, en virtud de que sí su solicitud de concesión la presentó el siete de junio de dos mil y en esa fecha la legislación que resultaba aplicable en la materia de concesiones era la Ley Federal de Radio y Televisión, vigente a partir del veintiocho de enero de mil novecientos setenta y hasta el doce de abril </w:t>
      </w:r>
      <w:r w:rsidR="001C24AD" w:rsidRPr="00C007AB">
        <w:rPr>
          <w:rFonts w:ascii="ITC Avant Garde" w:eastAsia="Times New Roman" w:hAnsi="ITC Avant Garde"/>
          <w:i/>
          <w:sz w:val="14"/>
          <w:szCs w:val="14"/>
          <w:lang w:val="es-ES" w:eastAsia="es-ES"/>
        </w:rPr>
        <w:t xml:space="preserve">de dos mil seis, </w:t>
      </w:r>
      <w:r w:rsidR="001C24AD" w:rsidRPr="000572D7">
        <w:rPr>
          <w:rFonts w:ascii="ITC Avant Garde" w:eastAsia="Times New Roman" w:hAnsi="ITC Avant Garde"/>
          <w:b/>
          <w:i/>
          <w:sz w:val="14"/>
          <w:szCs w:val="14"/>
          <w:u w:val="single"/>
          <w:lang w:val="es-ES" w:eastAsia="es-ES"/>
        </w:rPr>
        <w:t>resulta incuestionable que la autoridad que la autoridad responsable debió sujetar su decisión a lo previsto en esa ley secundaria y no en la normatividad que actualmente rige la materia de concesiones, atento a lo dispuesto en el artículo séptimo transitorio del decreto de reforma constitucional … establece claramente, en lo que interesa, que los procedimientos pendientes a la fecha de integración del Instituto Federal de Telecomunicaciones, se continuarán substanciando en los términos de la legislación aplicable</w:t>
      </w:r>
      <w:r w:rsidR="003D3443" w:rsidRPr="000572D7">
        <w:rPr>
          <w:rFonts w:ascii="ITC Avant Garde" w:eastAsia="Times New Roman" w:hAnsi="ITC Avant Garde"/>
          <w:b/>
          <w:i/>
          <w:sz w:val="14"/>
          <w:szCs w:val="14"/>
          <w:u w:val="single"/>
          <w:lang w:val="es-ES" w:eastAsia="es-ES"/>
        </w:rPr>
        <w:t xml:space="preserve"> al momento de su inicio</w:t>
      </w:r>
      <w:r w:rsidR="003D3443" w:rsidRPr="00C007AB">
        <w:rPr>
          <w:rFonts w:ascii="ITC Avant Garde" w:eastAsia="Times New Roman" w:hAnsi="ITC Avant Garde"/>
          <w:i/>
          <w:sz w:val="14"/>
          <w:szCs w:val="14"/>
          <w:lang w:val="es-ES" w:eastAsia="es-ES"/>
        </w:rPr>
        <w:t>.</w:t>
      </w:r>
    </w:p>
    <w:p w14:paraId="78C6BF6D" w14:textId="77777777" w:rsidR="0049660E" w:rsidRPr="00C007AB" w:rsidRDefault="00311DF2" w:rsidP="00311DF2">
      <w:pPr>
        <w:autoSpaceDE w:val="0"/>
        <w:autoSpaceDN w:val="0"/>
        <w:adjustRightInd w:val="0"/>
        <w:spacing w:after="0"/>
        <w:ind w:left="709" w:right="615"/>
        <w:jc w:val="both"/>
        <w:rPr>
          <w:rFonts w:ascii="ITC Avant Garde" w:eastAsia="Times New Roman" w:hAnsi="ITC Avant Garde"/>
          <w:sz w:val="18"/>
          <w:lang w:val="es-ES" w:eastAsia="es-ES"/>
        </w:rPr>
      </w:pPr>
      <w:r w:rsidRPr="00C007AB">
        <w:rPr>
          <w:rFonts w:ascii="ITC Avant Garde" w:eastAsia="Times New Roman" w:hAnsi="ITC Avant Garde"/>
          <w:i/>
          <w:sz w:val="14"/>
          <w:szCs w:val="14"/>
          <w:lang w:val="es-ES" w:eastAsia="es-ES"/>
        </w:rPr>
        <w:t>(…)”</w:t>
      </w:r>
      <w:r w:rsidRPr="00C007AB">
        <w:rPr>
          <w:rFonts w:ascii="ITC Avant Garde" w:eastAsia="Times New Roman" w:hAnsi="ITC Avant Garde"/>
          <w:sz w:val="18"/>
          <w:lang w:val="es-ES" w:eastAsia="es-ES"/>
        </w:rPr>
        <w:t xml:space="preserve"> </w:t>
      </w:r>
      <w:r w:rsidR="00680ADA" w:rsidRPr="006844F7">
        <w:rPr>
          <w:rFonts w:ascii="ITC Avant Garde" w:eastAsia="Times New Roman" w:hAnsi="ITC Avant Garde"/>
          <w:i/>
          <w:sz w:val="18"/>
          <w:lang w:val="es-ES" w:eastAsia="es-ES"/>
        </w:rPr>
        <w:t>(sic).</w:t>
      </w:r>
    </w:p>
    <w:p w14:paraId="7BAAB6B3" w14:textId="77777777" w:rsidR="00AF493F" w:rsidRPr="00C007AB" w:rsidRDefault="00AF493F" w:rsidP="002D45C6">
      <w:pPr>
        <w:tabs>
          <w:tab w:val="left" w:pos="10065"/>
        </w:tabs>
        <w:spacing w:after="0" w:line="240" w:lineRule="auto"/>
        <w:ind w:right="-62"/>
        <w:contextualSpacing/>
        <w:jc w:val="both"/>
        <w:rPr>
          <w:rFonts w:ascii="ITC Avant Garde" w:eastAsia="Times New Roman" w:hAnsi="ITC Avant Garde"/>
          <w:lang w:val="es-ES" w:eastAsia="es-ES"/>
        </w:rPr>
      </w:pPr>
    </w:p>
    <w:p w14:paraId="5F2FE5D7" w14:textId="4E4EEDAF" w:rsidR="00A95271" w:rsidRDefault="00F04512" w:rsidP="002D45C6">
      <w:pPr>
        <w:tabs>
          <w:tab w:val="left" w:pos="10065"/>
        </w:tabs>
        <w:spacing w:after="0" w:line="240" w:lineRule="auto"/>
        <w:ind w:right="-62"/>
        <w:contextualSpacing/>
        <w:jc w:val="both"/>
        <w:rPr>
          <w:rFonts w:ascii="ITC Avant Garde" w:eastAsia="Times New Roman" w:hAnsi="ITC Avant Garde"/>
          <w:lang w:val="es-ES" w:eastAsia="es-ES"/>
        </w:rPr>
      </w:pPr>
      <w:r w:rsidRPr="00C007AB">
        <w:rPr>
          <w:rFonts w:ascii="ITC Avant Garde" w:eastAsia="Times New Roman" w:hAnsi="ITC Avant Garde"/>
          <w:lang w:val="es-ES" w:eastAsia="es-ES"/>
        </w:rPr>
        <w:t>L</w:t>
      </w:r>
      <w:r w:rsidR="00364BEA" w:rsidRPr="00C007AB">
        <w:rPr>
          <w:rFonts w:ascii="ITC Avant Garde" w:eastAsia="Times New Roman" w:hAnsi="ITC Avant Garde"/>
          <w:lang w:val="es-ES" w:eastAsia="es-ES"/>
        </w:rPr>
        <w:t xml:space="preserve">a autoridad jurisdiccional </w:t>
      </w:r>
      <w:r w:rsidR="00DD049C" w:rsidRPr="00C007AB">
        <w:rPr>
          <w:rFonts w:ascii="ITC Avant Garde" w:eastAsia="Times New Roman" w:hAnsi="ITC Avant Garde"/>
          <w:lang w:val="es-ES" w:eastAsia="es-ES"/>
        </w:rPr>
        <w:t>establece que</w:t>
      </w:r>
      <w:r w:rsidR="00DA0F96" w:rsidRPr="00C007AB">
        <w:rPr>
          <w:rFonts w:ascii="ITC Avant Garde" w:eastAsia="Times New Roman" w:hAnsi="ITC Avant Garde"/>
          <w:lang w:val="es-ES" w:eastAsia="es-ES"/>
        </w:rPr>
        <w:t xml:space="preserve"> </w:t>
      </w:r>
      <w:r w:rsidR="00311DF2" w:rsidRPr="00C007AB">
        <w:rPr>
          <w:rFonts w:ascii="ITC Avant Garde" w:eastAsia="Times New Roman" w:hAnsi="ITC Avant Garde"/>
          <w:lang w:val="es-ES" w:eastAsia="es-ES"/>
        </w:rPr>
        <w:t>con la presentación de la solicitud de concesión</w:t>
      </w:r>
      <w:r w:rsidR="00826611" w:rsidRPr="00C007AB">
        <w:rPr>
          <w:rFonts w:ascii="ITC Avant Garde" w:eastAsia="Times New Roman" w:hAnsi="ITC Avant Garde"/>
          <w:lang w:val="es-ES" w:eastAsia="es-ES"/>
        </w:rPr>
        <w:t xml:space="preserve"> (7 de junio de 2000)</w:t>
      </w:r>
      <w:r w:rsidR="00311DF2" w:rsidRPr="00C007AB">
        <w:rPr>
          <w:rFonts w:ascii="ITC Avant Garde" w:eastAsia="Times New Roman" w:hAnsi="ITC Avant Garde"/>
          <w:lang w:val="es-ES" w:eastAsia="es-ES"/>
        </w:rPr>
        <w:t xml:space="preserve">, se inició la substanciación del procedimiento que la </w:t>
      </w:r>
      <w:r w:rsidR="002A6C98">
        <w:rPr>
          <w:rFonts w:ascii="ITC Avant Garde" w:eastAsia="Times New Roman" w:hAnsi="ITC Avant Garde"/>
          <w:lang w:val="es-ES" w:eastAsia="es-ES"/>
        </w:rPr>
        <w:t>LFRTV</w:t>
      </w:r>
      <w:r w:rsidR="00311DF2" w:rsidRPr="00C007AB">
        <w:rPr>
          <w:rFonts w:ascii="ITC Avant Garde" w:eastAsia="Times New Roman" w:hAnsi="ITC Avant Garde"/>
          <w:lang w:val="es-ES" w:eastAsia="es-ES"/>
        </w:rPr>
        <w:t xml:space="preserve"> establecía para el otorgamiento de concesiones</w:t>
      </w:r>
      <w:r w:rsidR="00A95271">
        <w:rPr>
          <w:rFonts w:ascii="ITC Avant Garde" w:eastAsia="Times New Roman" w:hAnsi="ITC Avant Garde"/>
          <w:lang w:val="es-ES" w:eastAsia="es-ES"/>
        </w:rPr>
        <w:t>.</w:t>
      </w:r>
    </w:p>
    <w:p w14:paraId="4B9149D6" w14:textId="77777777" w:rsidR="00DD049C" w:rsidRPr="00C007AB" w:rsidRDefault="00DD049C" w:rsidP="002D45C6">
      <w:pPr>
        <w:tabs>
          <w:tab w:val="left" w:pos="10065"/>
        </w:tabs>
        <w:spacing w:after="0" w:line="240" w:lineRule="auto"/>
        <w:ind w:right="-62"/>
        <w:contextualSpacing/>
        <w:jc w:val="both"/>
        <w:rPr>
          <w:rFonts w:ascii="ITC Avant Garde" w:eastAsia="Times New Roman" w:hAnsi="ITC Avant Garde"/>
          <w:lang w:val="es-ES" w:eastAsia="es-ES"/>
        </w:rPr>
      </w:pPr>
    </w:p>
    <w:p w14:paraId="1FCA83B1" w14:textId="77777777" w:rsidR="00306907" w:rsidRPr="00C007AB" w:rsidRDefault="00E44703" w:rsidP="002D45C6">
      <w:pPr>
        <w:tabs>
          <w:tab w:val="left" w:pos="10065"/>
        </w:tabs>
        <w:spacing w:after="0" w:line="240" w:lineRule="auto"/>
        <w:ind w:right="-62"/>
        <w:contextualSpacing/>
        <w:jc w:val="both"/>
        <w:rPr>
          <w:rFonts w:ascii="ITC Avant Garde" w:eastAsia="Times New Roman" w:hAnsi="ITC Avant Garde"/>
          <w:lang w:eastAsia="es-ES"/>
        </w:rPr>
      </w:pPr>
      <w:r w:rsidRPr="00C007AB">
        <w:rPr>
          <w:rFonts w:ascii="ITC Avant Garde" w:eastAsia="Times New Roman" w:hAnsi="ITC Avant Garde"/>
          <w:lang w:val="es-ES" w:eastAsia="es-ES"/>
        </w:rPr>
        <w:t>Consecuentemente</w:t>
      </w:r>
      <w:r w:rsidR="00DD049C" w:rsidRPr="00C007AB">
        <w:rPr>
          <w:rFonts w:ascii="ITC Avant Garde" w:eastAsia="Times New Roman" w:hAnsi="ITC Avant Garde"/>
          <w:lang w:val="es-ES" w:eastAsia="es-ES"/>
        </w:rPr>
        <w:t xml:space="preserve">, </w:t>
      </w:r>
      <w:r w:rsidR="00AD38B8" w:rsidRPr="00C007AB">
        <w:rPr>
          <w:rFonts w:ascii="ITC Avant Garde" w:eastAsia="Times New Roman" w:hAnsi="ITC Avant Garde"/>
          <w:lang w:val="es-ES" w:eastAsia="es-ES"/>
        </w:rPr>
        <w:t xml:space="preserve">el </w:t>
      </w:r>
      <w:r w:rsidR="00D725CA" w:rsidRPr="00C007AB">
        <w:rPr>
          <w:rFonts w:ascii="ITC Avant Garde" w:eastAsia="Times New Roman" w:hAnsi="ITC Avant Garde"/>
          <w:lang w:val="es-ES" w:eastAsia="es-ES"/>
        </w:rPr>
        <w:t>Segundo Tribunal</w:t>
      </w:r>
      <w:r w:rsidR="00AD38B8" w:rsidRPr="00C007AB">
        <w:rPr>
          <w:rFonts w:ascii="ITC Avant Garde" w:eastAsia="Times New Roman" w:hAnsi="ITC Avant Garde"/>
          <w:lang w:val="es-ES" w:eastAsia="es-ES"/>
        </w:rPr>
        <w:t xml:space="preserve"> C</w:t>
      </w:r>
      <w:r w:rsidR="00860769" w:rsidRPr="00C007AB">
        <w:rPr>
          <w:rFonts w:ascii="ITC Avant Garde" w:eastAsia="Times New Roman" w:hAnsi="ITC Avant Garde"/>
          <w:lang w:val="es-ES" w:eastAsia="es-ES"/>
        </w:rPr>
        <w:t>olegiado concluye que</w:t>
      </w:r>
      <w:r w:rsidR="00306907" w:rsidRPr="00C007AB">
        <w:rPr>
          <w:rFonts w:ascii="ITC Avant Garde" w:eastAsia="Times New Roman" w:hAnsi="ITC Avant Garde"/>
          <w:lang w:val="es-ES" w:eastAsia="es-ES"/>
        </w:rPr>
        <w:t xml:space="preserve"> de conformidad con los artículos anteriormente transcritos debía el Instituto desarrollar el procedimiento para resolver la solicitud de concesión, en virtud de</w:t>
      </w:r>
      <w:r w:rsidR="00826611" w:rsidRPr="00C007AB">
        <w:rPr>
          <w:rFonts w:ascii="ITC Avant Garde" w:eastAsia="Times New Roman" w:hAnsi="ITC Avant Garde"/>
          <w:lang w:val="es-ES" w:eastAsia="es-ES"/>
        </w:rPr>
        <w:t xml:space="preserve"> que la legislación que lo preveí</w:t>
      </w:r>
      <w:r w:rsidR="00306907" w:rsidRPr="00C007AB">
        <w:rPr>
          <w:rFonts w:ascii="ITC Avant Garde" w:eastAsia="Times New Roman" w:hAnsi="ITC Avant Garde"/>
          <w:lang w:val="es-ES" w:eastAsia="es-ES"/>
        </w:rPr>
        <w:t xml:space="preserve">a era </w:t>
      </w:r>
      <w:r w:rsidR="00826611" w:rsidRPr="00C007AB">
        <w:rPr>
          <w:rFonts w:ascii="ITC Avant Garde" w:eastAsia="Times New Roman" w:hAnsi="ITC Avant Garde"/>
          <w:lang w:val="es-ES" w:eastAsia="es-ES"/>
        </w:rPr>
        <w:t xml:space="preserve">la </w:t>
      </w:r>
      <w:r w:rsidR="00306907" w:rsidRPr="00C007AB">
        <w:rPr>
          <w:rFonts w:ascii="ITC Avant Garde" w:eastAsia="Times New Roman" w:hAnsi="ITC Avant Garde"/>
          <w:lang w:val="es-ES" w:eastAsia="es-ES"/>
        </w:rPr>
        <w:t>que se encontraba vigente al momento de la presentación de la citada solicitud, esto es, junio de 2000.</w:t>
      </w:r>
    </w:p>
    <w:p w14:paraId="372AD4D3" w14:textId="77777777" w:rsidR="00E44703" w:rsidRPr="00C007AB" w:rsidRDefault="00E44703" w:rsidP="002D45C6">
      <w:pPr>
        <w:tabs>
          <w:tab w:val="left" w:pos="10065"/>
        </w:tabs>
        <w:spacing w:after="0" w:line="240" w:lineRule="auto"/>
        <w:ind w:right="-62"/>
        <w:contextualSpacing/>
        <w:jc w:val="both"/>
        <w:rPr>
          <w:rFonts w:ascii="ITC Avant Garde" w:eastAsia="Times New Roman" w:hAnsi="ITC Avant Garde"/>
          <w:lang w:eastAsia="es-ES"/>
        </w:rPr>
      </w:pPr>
    </w:p>
    <w:p w14:paraId="01336CFC" w14:textId="77777777" w:rsidR="00681018" w:rsidRPr="00C007AB" w:rsidRDefault="006644E8" w:rsidP="002D45C6">
      <w:pPr>
        <w:tabs>
          <w:tab w:val="left" w:pos="10065"/>
        </w:tabs>
        <w:spacing w:after="0" w:line="240" w:lineRule="auto"/>
        <w:ind w:right="-62"/>
        <w:contextualSpacing/>
        <w:jc w:val="both"/>
        <w:rPr>
          <w:rFonts w:ascii="ITC Avant Garde" w:eastAsia="Times New Roman" w:hAnsi="ITC Avant Garde"/>
          <w:lang w:eastAsia="es-ES"/>
        </w:rPr>
      </w:pPr>
      <w:r>
        <w:rPr>
          <w:rFonts w:ascii="ITC Avant Garde" w:eastAsia="Arial" w:hAnsi="ITC Avant Garde"/>
        </w:rPr>
        <w:t>En virtud de lo anterior, la e</w:t>
      </w:r>
      <w:r w:rsidR="00E85C9D" w:rsidRPr="00C007AB">
        <w:rPr>
          <w:rFonts w:ascii="ITC Avant Garde" w:eastAsia="Arial" w:hAnsi="ITC Avant Garde"/>
        </w:rPr>
        <w:t xml:space="preserve">jecutoria establece en su parte considerativa las directrices para el cumplimiento a la ejecutoria, en el siguiente sentido: </w:t>
      </w:r>
      <w:r w:rsidR="00A95271">
        <w:rPr>
          <w:rFonts w:ascii="ITC Avant Garde" w:eastAsia="Arial" w:hAnsi="ITC Avant Garde"/>
        </w:rPr>
        <w:t>“</w:t>
      </w:r>
      <w:r w:rsidR="00E85C9D" w:rsidRPr="00A841D8">
        <w:rPr>
          <w:rFonts w:ascii="ITC Avant Garde" w:eastAsia="Arial" w:hAnsi="ITC Avant Garde"/>
          <w:i/>
        </w:rPr>
        <w:t xml:space="preserve">que la autoridad responsable, esto es el </w:t>
      </w:r>
      <w:r w:rsidR="00B93FA8" w:rsidRPr="00A841D8">
        <w:rPr>
          <w:rFonts w:ascii="ITC Avant Garde" w:eastAsia="Arial" w:hAnsi="ITC Avant Garde"/>
          <w:i/>
        </w:rPr>
        <w:t>Pleno del Instituto Federal de Telecomunicaciones</w:t>
      </w:r>
      <w:r w:rsidR="00E85C9D" w:rsidRPr="00A841D8">
        <w:rPr>
          <w:rFonts w:ascii="ITC Avant Garde" w:eastAsia="Arial" w:hAnsi="ITC Avant Garde"/>
          <w:i/>
        </w:rPr>
        <w:t>, deb</w:t>
      </w:r>
      <w:r w:rsidR="00826611" w:rsidRPr="00A841D8">
        <w:rPr>
          <w:rFonts w:ascii="ITC Avant Garde" w:eastAsia="Arial" w:hAnsi="ITC Avant Garde"/>
          <w:i/>
        </w:rPr>
        <w:t>e</w:t>
      </w:r>
      <w:r w:rsidR="00E85C9D" w:rsidRPr="00A841D8">
        <w:rPr>
          <w:rFonts w:ascii="ITC Avant Garde" w:eastAsia="Arial" w:hAnsi="ITC Avant Garde"/>
          <w:i/>
        </w:rPr>
        <w:t xml:space="preserve"> dejar insubsistente la determinación contenida en l</w:t>
      </w:r>
      <w:r w:rsidR="00013FE0" w:rsidRPr="00A841D8">
        <w:rPr>
          <w:rFonts w:ascii="ITC Avant Garde" w:eastAsia="Arial" w:hAnsi="ITC Avant Garde"/>
          <w:i/>
        </w:rPr>
        <w:t>a resolución</w:t>
      </w:r>
      <w:r w:rsidR="00E85C9D" w:rsidRPr="00A841D8">
        <w:rPr>
          <w:rFonts w:ascii="ITC Avant Garde" w:eastAsia="Arial" w:hAnsi="ITC Avant Garde"/>
          <w:i/>
        </w:rPr>
        <w:t xml:space="preserve"> </w:t>
      </w:r>
      <w:r w:rsidR="00013FE0" w:rsidRPr="008960DB">
        <w:rPr>
          <w:rFonts w:ascii="ITC Avant Garde" w:eastAsia="Arial" w:hAnsi="ITC Avant Garde"/>
          <w:i/>
          <w:u w:val="single"/>
        </w:rPr>
        <w:t>P/IFT/250815/390 aprobada en la sesión XVII de fecha 25 de agosto de 2015</w:t>
      </w:r>
      <w:r w:rsidR="00E85C9D" w:rsidRPr="00A841D8">
        <w:rPr>
          <w:rFonts w:ascii="ITC Avant Garde" w:eastAsia="Times New Roman" w:hAnsi="ITC Avant Garde"/>
          <w:i/>
          <w:lang w:eastAsia="es-ES"/>
        </w:rPr>
        <w:t xml:space="preserve">, y que </w:t>
      </w:r>
      <w:r w:rsidR="00013FE0" w:rsidRPr="00A841D8">
        <w:rPr>
          <w:rFonts w:ascii="ITC Avant Garde" w:eastAsia="Times New Roman" w:hAnsi="ITC Avant Garde"/>
          <w:i/>
          <w:lang w:eastAsia="es-ES"/>
        </w:rPr>
        <w:t xml:space="preserve">con libertad de jurisdicción </w:t>
      </w:r>
      <w:r w:rsidR="00E85C9D" w:rsidRPr="00A841D8">
        <w:rPr>
          <w:rFonts w:ascii="ITC Avant Garde" w:eastAsia="Times New Roman" w:hAnsi="ITC Avant Garde"/>
          <w:i/>
          <w:lang w:eastAsia="es-ES"/>
        </w:rPr>
        <w:t>emit</w:t>
      </w:r>
      <w:r w:rsidR="000572D7" w:rsidRPr="00A841D8">
        <w:rPr>
          <w:rFonts w:ascii="ITC Avant Garde" w:eastAsia="Times New Roman" w:hAnsi="ITC Avant Garde"/>
          <w:i/>
          <w:lang w:eastAsia="es-ES"/>
        </w:rPr>
        <w:t>a</w:t>
      </w:r>
      <w:r w:rsidR="00E85C9D" w:rsidRPr="00A841D8">
        <w:rPr>
          <w:rFonts w:ascii="ITC Avant Garde" w:eastAsia="Times New Roman" w:hAnsi="ITC Avant Garde"/>
          <w:i/>
          <w:lang w:eastAsia="es-ES"/>
        </w:rPr>
        <w:t xml:space="preserve"> </w:t>
      </w:r>
      <w:r w:rsidR="000572D7" w:rsidRPr="00A841D8">
        <w:rPr>
          <w:rFonts w:ascii="ITC Avant Garde" w:eastAsia="Times New Roman" w:hAnsi="ITC Avant Garde"/>
          <w:i/>
          <w:lang w:eastAsia="es-ES"/>
        </w:rPr>
        <w:t xml:space="preserve">otra </w:t>
      </w:r>
      <w:r w:rsidR="00013FE0" w:rsidRPr="00A841D8">
        <w:rPr>
          <w:rFonts w:ascii="ITC Avant Garde" w:eastAsia="Times New Roman" w:hAnsi="ITC Avant Garde"/>
          <w:i/>
          <w:lang w:eastAsia="es-ES"/>
        </w:rPr>
        <w:t>decisión apegándose a lo previsto en la Ley Federal de Radio y Televisión, en lo concerniente a el otorgamiento</w:t>
      </w:r>
      <w:r w:rsidR="00E85C9D" w:rsidRPr="00A841D8">
        <w:rPr>
          <w:rFonts w:ascii="ITC Avant Garde" w:eastAsia="Times New Roman" w:hAnsi="ITC Avant Garde"/>
          <w:i/>
          <w:lang w:eastAsia="es-ES"/>
        </w:rPr>
        <w:t xml:space="preserve"> </w:t>
      </w:r>
      <w:r w:rsidR="00282A69" w:rsidRPr="00A841D8">
        <w:rPr>
          <w:rFonts w:ascii="ITC Avant Garde" w:eastAsia="Times New Roman" w:hAnsi="ITC Avant Garde"/>
          <w:i/>
          <w:lang w:eastAsia="es-ES"/>
        </w:rPr>
        <w:t>de concesiones para uso comercial</w:t>
      </w:r>
      <w:r w:rsidR="00A841D8">
        <w:rPr>
          <w:rFonts w:ascii="ITC Avant Garde" w:eastAsia="Times New Roman" w:hAnsi="ITC Avant Garde"/>
          <w:lang w:eastAsia="es-ES"/>
        </w:rPr>
        <w:t>”</w:t>
      </w:r>
      <w:r w:rsidR="00282A69" w:rsidRPr="00C007AB">
        <w:rPr>
          <w:rFonts w:ascii="ITC Avant Garde" w:eastAsia="Times New Roman" w:hAnsi="ITC Avant Garde"/>
          <w:lang w:eastAsia="es-ES"/>
        </w:rPr>
        <w:t>.</w:t>
      </w:r>
    </w:p>
    <w:p w14:paraId="2CE8BA38" w14:textId="77777777" w:rsidR="00622149" w:rsidRPr="00C007AB" w:rsidRDefault="00622149" w:rsidP="002D45C6">
      <w:pPr>
        <w:tabs>
          <w:tab w:val="left" w:pos="10065"/>
        </w:tabs>
        <w:spacing w:after="0" w:line="240" w:lineRule="auto"/>
        <w:ind w:right="-62"/>
        <w:contextualSpacing/>
        <w:jc w:val="both"/>
        <w:rPr>
          <w:rFonts w:ascii="ITC Avant Garde" w:eastAsia="Arial" w:hAnsi="ITC Avant Garde"/>
        </w:rPr>
      </w:pPr>
    </w:p>
    <w:p w14:paraId="773CB26F" w14:textId="06B41753" w:rsidR="006644E8" w:rsidRDefault="005A094F" w:rsidP="002D45C6">
      <w:pPr>
        <w:tabs>
          <w:tab w:val="left" w:pos="10065"/>
        </w:tabs>
        <w:spacing w:after="0" w:line="240" w:lineRule="auto"/>
        <w:ind w:right="-62"/>
        <w:contextualSpacing/>
        <w:jc w:val="both"/>
        <w:rPr>
          <w:rFonts w:ascii="ITC Avant Garde" w:eastAsia="Times New Roman" w:hAnsi="ITC Avant Garde"/>
          <w:lang w:val="es-ES" w:eastAsia="es-ES"/>
        </w:rPr>
      </w:pPr>
      <w:r>
        <w:rPr>
          <w:rFonts w:ascii="ITC Avant Garde" w:eastAsia="Times New Roman" w:hAnsi="ITC Avant Garde"/>
          <w:b/>
          <w:lang w:val="es-ES" w:eastAsia="es-ES"/>
        </w:rPr>
        <w:t>TERCERO</w:t>
      </w:r>
      <w:r w:rsidR="003801D5" w:rsidRPr="00C007AB">
        <w:rPr>
          <w:rFonts w:ascii="ITC Avant Garde" w:eastAsia="Times New Roman" w:hAnsi="ITC Avant Garde"/>
          <w:b/>
          <w:lang w:val="es-ES" w:eastAsia="es-ES"/>
        </w:rPr>
        <w:t>.-</w:t>
      </w:r>
      <w:r w:rsidR="003801D5" w:rsidRPr="00C007AB">
        <w:rPr>
          <w:rFonts w:ascii="ITC Avant Garde" w:eastAsia="Times New Roman" w:hAnsi="ITC Avant Garde"/>
          <w:lang w:val="es-ES" w:eastAsia="es-ES"/>
        </w:rPr>
        <w:t xml:space="preserve"> </w:t>
      </w:r>
      <w:r w:rsidR="00A841D8" w:rsidRPr="00A841D8">
        <w:rPr>
          <w:rFonts w:ascii="ITC Avant Garde" w:eastAsia="Times New Roman" w:hAnsi="ITC Avant Garde"/>
          <w:b/>
          <w:lang w:val="es-ES" w:eastAsia="es-ES"/>
        </w:rPr>
        <w:t xml:space="preserve">Cumplimiento </w:t>
      </w:r>
      <w:r w:rsidR="00B949A6">
        <w:rPr>
          <w:rFonts w:ascii="ITC Avant Garde" w:eastAsia="Times New Roman" w:hAnsi="ITC Avant Garde"/>
          <w:b/>
          <w:lang w:val="es-ES" w:eastAsia="es-ES"/>
        </w:rPr>
        <w:t>a lo vertido en la</w:t>
      </w:r>
      <w:r w:rsidR="00A841D8" w:rsidRPr="00A841D8">
        <w:rPr>
          <w:rFonts w:ascii="ITC Avant Garde" w:eastAsia="Times New Roman" w:hAnsi="ITC Avant Garde"/>
          <w:b/>
          <w:lang w:val="es-ES" w:eastAsia="es-ES"/>
        </w:rPr>
        <w:t xml:space="preserve"> ejecutoria de </w:t>
      </w:r>
      <w:r w:rsidR="00A841D8">
        <w:rPr>
          <w:rFonts w:ascii="ITC Avant Garde" w:eastAsia="Times New Roman" w:hAnsi="ITC Avant Garde"/>
          <w:b/>
          <w:lang w:val="es-ES" w:eastAsia="es-ES"/>
        </w:rPr>
        <w:t xml:space="preserve">la acción de </w:t>
      </w:r>
      <w:r w:rsidR="00A841D8" w:rsidRPr="00A841D8">
        <w:rPr>
          <w:rFonts w:ascii="ITC Avant Garde" w:eastAsia="Times New Roman" w:hAnsi="ITC Avant Garde"/>
          <w:b/>
          <w:lang w:val="es-ES" w:eastAsia="es-ES"/>
        </w:rPr>
        <w:t>amparo 1665/2015</w:t>
      </w:r>
      <w:r w:rsidR="00A841D8">
        <w:rPr>
          <w:rFonts w:ascii="ITC Avant Garde" w:eastAsia="Times New Roman" w:hAnsi="ITC Avant Garde"/>
          <w:lang w:val="es-ES" w:eastAsia="es-ES"/>
        </w:rPr>
        <w:t xml:space="preserve">.- </w:t>
      </w:r>
      <w:r w:rsidR="00FC6EC6" w:rsidRPr="00C007AB">
        <w:rPr>
          <w:rFonts w:ascii="ITC Avant Garde" w:eastAsia="Times New Roman" w:hAnsi="ITC Avant Garde"/>
          <w:lang w:val="es-ES" w:eastAsia="es-ES"/>
        </w:rPr>
        <w:t>Prev</w:t>
      </w:r>
      <w:r w:rsidR="00A1596A">
        <w:rPr>
          <w:rFonts w:ascii="ITC Avant Garde" w:eastAsia="Times New Roman" w:hAnsi="ITC Avant Garde"/>
          <w:lang w:val="es-ES" w:eastAsia="es-ES"/>
        </w:rPr>
        <w:t>io a dar estricto cumplimiento de</w:t>
      </w:r>
      <w:r w:rsidR="00FC6EC6" w:rsidRPr="00C007AB">
        <w:rPr>
          <w:rFonts w:ascii="ITC Avant Garde" w:eastAsia="Times New Roman" w:hAnsi="ITC Avant Garde"/>
          <w:lang w:val="es-ES" w:eastAsia="es-ES"/>
        </w:rPr>
        <w:t xml:space="preserve"> las directrices establecidas en la Ejecutoria</w:t>
      </w:r>
      <w:r w:rsidR="00A95271">
        <w:rPr>
          <w:rFonts w:ascii="ITC Avant Garde" w:eastAsia="Times New Roman" w:hAnsi="ITC Avant Garde"/>
          <w:lang w:val="es-ES" w:eastAsia="es-ES"/>
        </w:rPr>
        <w:t xml:space="preserve"> de mérito</w:t>
      </w:r>
      <w:r w:rsidR="00FC6EC6" w:rsidRPr="00C007AB">
        <w:rPr>
          <w:rFonts w:ascii="ITC Avant Garde" w:eastAsia="Times New Roman" w:hAnsi="ITC Avant Garde"/>
          <w:lang w:val="es-ES" w:eastAsia="es-ES"/>
        </w:rPr>
        <w:t>,</w:t>
      </w:r>
      <w:r w:rsidR="00002658" w:rsidRPr="00C007AB">
        <w:rPr>
          <w:rFonts w:ascii="ITC Avant Garde" w:eastAsia="Times New Roman" w:hAnsi="ITC Avant Garde"/>
          <w:lang w:val="es-ES" w:eastAsia="es-ES"/>
        </w:rPr>
        <w:t xml:space="preserve"> </w:t>
      </w:r>
      <w:r w:rsidR="00A1596A">
        <w:rPr>
          <w:rFonts w:ascii="ITC Avant Garde" w:eastAsia="Times New Roman" w:hAnsi="ITC Avant Garde"/>
          <w:lang w:val="es-ES" w:eastAsia="es-ES"/>
        </w:rPr>
        <w:t xml:space="preserve">se precisan </w:t>
      </w:r>
      <w:r w:rsidR="00C428F6">
        <w:rPr>
          <w:rFonts w:ascii="ITC Avant Garde" w:eastAsia="Times New Roman" w:hAnsi="ITC Avant Garde"/>
          <w:lang w:val="es-ES" w:eastAsia="es-ES"/>
        </w:rPr>
        <w:t>los efectos</w:t>
      </w:r>
      <w:r w:rsidR="00A1596A">
        <w:rPr>
          <w:rFonts w:ascii="ITC Avant Garde" w:eastAsia="Times New Roman" w:hAnsi="ITC Avant Garde"/>
          <w:lang w:val="es-ES" w:eastAsia="es-ES"/>
        </w:rPr>
        <w:t xml:space="preserve"> de la misma</w:t>
      </w:r>
      <w:r w:rsidR="006644E8">
        <w:rPr>
          <w:rFonts w:ascii="ITC Avant Garde" w:eastAsia="Times New Roman" w:hAnsi="ITC Avant Garde"/>
          <w:lang w:val="es-ES" w:eastAsia="es-ES"/>
        </w:rPr>
        <w:t>:</w:t>
      </w:r>
    </w:p>
    <w:p w14:paraId="194E5CB4" w14:textId="77777777" w:rsidR="002D45C6" w:rsidRDefault="002D45C6" w:rsidP="002D45C6">
      <w:pPr>
        <w:tabs>
          <w:tab w:val="left" w:pos="10065"/>
        </w:tabs>
        <w:spacing w:after="0" w:line="240" w:lineRule="auto"/>
        <w:ind w:right="-62"/>
        <w:contextualSpacing/>
        <w:jc w:val="both"/>
        <w:rPr>
          <w:rFonts w:ascii="ITC Avant Garde" w:eastAsia="Times New Roman" w:hAnsi="ITC Avant Garde"/>
          <w:lang w:val="es-ES" w:eastAsia="es-ES"/>
        </w:rPr>
      </w:pPr>
    </w:p>
    <w:p w14:paraId="16DEBA72" w14:textId="77777777" w:rsidR="006644E8" w:rsidRDefault="00C428F6" w:rsidP="002D45C6">
      <w:pPr>
        <w:pStyle w:val="Prrafodelista"/>
        <w:numPr>
          <w:ilvl w:val="0"/>
          <w:numId w:val="18"/>
        </w:numPr>
        <w:tabs>
          <w:tab w:val="left" w:pos="10065"/>
        </w:tabs>
        <w:ind w:right="-62"/>
        <w:contextualSpacing/>
        <w:jc w:val="both"/>
        <w:rPr>
          <w:rFonts w:ascii="ITC Avant Garde" w:hAnsi="ITC Avant Garde"/>
          <w:sz w:val="22"/>
          <w:szCs w:val="22"/>
          <w:lang w:val="es-ES" w:eastAsia="es-ES"/>
        </w:rPr>
      </w:pPr>
      <w:r w:rsidRPr="00A1596A">
        <w:rPr>
          <w:rFonts w:ascii="ITC Avant Garde" w:hAnsi="ITC Avant Garde"/>
          <w:sz w:val="22"/>
          <w:szCs w:val="22"/>
          <w:lang w:val="es-ES" w:eastAsia="es-ES"/>
        </w:rPr>
        <w:lastRenderedPageBreak/>
        <w:t xml:space="preserve">Que el Pleno del Instituto Federal de Telecomunicaciones deje insubsistente la resolución aprobada en sesión de veinticinco de agosto de dos mil quince, mediante acuerdo </w:t>
      </w:r>
      <w:r w:rsidRPr="006844F7">
        <w:rPr>
          <w:rFonts w:ascii="ITC Avant Garde" w:hAnsi="ITC Avant Garde"/>
          <w:b/>
          <w:sz w:val="22"/>
          <w:szCs w:val="22"/>
          <w:lang w:val="es-ES" w:eastAsia="es-ES"/>
        </w:rPr>
        <w:t>P/IFT/250842/390</w:t>
      </w:r>
      <w:r w:rsidRPr="00A1596A">
        <w:rPr>
          <w:rFonts w:ascii="ITC Avant Garde" w:hAnsi="ITC Avant Garde"/>
          <w:sz w:val="22"/>
          <w:szCs w:val="22"/>
          <w:lang w:val="es-ES" w:eastAsia="es-ES"/>
        </w:rPr>
        <w:t xml:space="preserve"> y</w:t>
      </w:r>
    </w:p>
    <w:p w14:paraId="79A3721D" w14:textId="77777777" w:rsidR="009E7E22" w:rsidRPr="00A1596A" w:rsidRDefault="009E7E22" w:rsidP="002D45C6">
      <w:pPr>
        <w:pStyle w:val="Prrafodelista"/>
        <w:tabs>
          <w:tab w:val="left" w:pos="10065"/>
        </w:tabs>
        <w:ind w:left="720" w:right="-62"/>
        <w:contextualSpacing/>
        <w:jc w:val="both"/>
        <w:rPr>
          <w:rFonts w:ascii="ITC Avant Garde" w:hAnsi="ITC Avant Garde"/>
          <w:sz w:val="22"/>
          <w:szCs w:val="22"/>
          <w:lang w:val="es-ES" w:eastAsia="es-ES"/>
        </w:rPr>
      </w:pPr>
    </w:p>
    <w:p w14:paraId="0E5DC66A" w14:textId="77777777" w:rsidR="00C428F6" w:rsidRPr="00A1596A" w:rsidRDefault="00C428F6" w:rsidP="002D45C6">
      <w:pPr>
        <w:pStyle w:val="Prrafodelista"/>
        <w:numPr>
          <w:ilvl w:val="0"/>
          <w:numId w:val="18"/>
        </w:numPr>
        <w:tabs>
          <w:tab w:val="left" w:pos="10065"/>
        </w:tabs>
        <w:ind w:right="-62"/>
        <w:contextualSpacing/>
        <w:jc w:val="both"/>
        <w:rPr>
          <w:rFonts w:ascii="ITC Avant Garde" w:hAnsi="ITC Avant Garde"/>
          <w:sz w:val="22"/>
          <w:szCs w:val="22"/>
          <w:lang w:val="es-ES" w:eastAsia="es-ES"/>
        </w:rPr>
      </w:pPr>
      <w:r w:rsidRPr="00A1596A">
        <w:rPr>
          <w:rFonts w:ascii="ITC Avant Garde" w:hAnsi="ITC Avant Garde"/>
          <w:sz w:val="22"/>
          <w:szCs w:val="22"/>
          <w:lang w:val="es-ES" w:eastAsia="es-ES"/>
        </w:rPr>
        <w:t>Que el Pleno del Instituto Federal de Telecomunicaciones con libertad de jurisdicción emita una nueva decisión respecto a la solicitud de concesión, apegándose a lo previsto en la Ley Federal de Radio y Televisión-vigente a partir del 28 de enero de 1970 hasta el 12 de abril 2006.</w:t>
      </w:r>
    </w:p>
    <w:p w14:paraId="3E9177FF" w14:textId="77777777" w:rsidR="006644E8" w:rsidRPr="00A95271" w:rsidRDefault="006644E8" w:rsidP="002D45C6">
      <w:pPr>
        <w:tabs>
          <w:tab w:val="left" w:pos="10065"/>
        </w:tabs>
        <w:spacing w:after="0" w:line="240" w:lineRule="auto"/>
        <w:ind w:right="-62"/>
        <w:contextualSpacing/>
        <w:jc w:val="both"/>
        <w:rPr>
          <w:rFonts w:ascii="ITC Avant Garde" w:eastAsia="Times New Roman" w:hAnsi="ITC Avant Garde"/>
          <w:lang w:val="es-ES" w:eastAsia="es-ES"/>
        </w:rPr>
      </w:pPr>
    </w:p>
    <w:p w14:paraId="6DB540E9" w14:textId="77777777" w:rsidR="00B748D3" w:rsidRPr="00A95271" w:rsidRDefault="00B748D3" w:rsidP="002D45C6">
      <w:pPr>
        <w:tabs>
          <w:tab w:val="left" w:pos="10065"/>
        </w:tabs>
        <w:spacing w:after="0" w:line="240" w:lineRule="auto"/>
        <w:ind w:right="-62"/>
        <w:contextualSpacing/>
        <w:jc w:val="both"/>
        <w:rPr>
          <w:rFonts w:ascii="ITC Avant Garde" w:eastAsia="Times New Roman" w:hAnsi="ITC Avant Garde"/>
          <w:lang w:val="es-ES" w:eastAsia="es-ES"/>
        </w:rPr>
      </w:pPr>
      <w:r w:rsidRPr="00A95271">
        <w:rPr>
          <w:rFonts w:ascii="ITC Avant Garde" w:eastAsia="Times New Roman" w:hAnsi="ITC Avant Garde"/>
          <w:lang w:val="es-ES" w:eastAsia="es-ES"/>
        </w:rPr>
        <w:t>Hecho lo anterior, se procede a cumplir lo sentenciado por el Segundo Tribunal Colegiado.</w:t>
      </w:r>
    </w:p>
    <w:p w14:paraId="5D880B3A" w14:textId="77777777" w:rsidR="00B748D3" w:rsidRDefault="00B748D3" w:rsidP="002D45C6">
      <w:pPr>
        <w:tabs>
          <w:tab w:val="left" w:pos="10065"/>
        </w:tabs>
        <w:spacing w:after="0" w:line="240" w:lineRule="auto"/>
        <w:ind w:right="-62"/>
        <w:contextualSpacing/>
        <w:jc w:val="both"/>
        <w:rPr>
          <w:rFonts w:ascii="ITC Avant Garde" w:eastAsia="Times New Roman" w:hAnsi="ITC Avant Garde"/>
          <w:lang w:val="es-ES" w:eastAsia="es-ES"/>
        </w:rPr>
      </w:pPr>
    </w:p>
    <w:p w14:paraId="47238F27" w14:textId="1E107EC1" w:rsidR="00151ABE" w:rsidRPr="00C007AB" w:rsidRDefault="005A094F" w:rsidP="002D45C6">
      <w:pPr>
        <w:tabs>
          <w:tab w:val="left" w:pos="10065"/>
        </w:tabs>
        <w:spacing w:after="0" w:line="240" w:lineRule="auto"/>
        <w:ind w:right="-62"/>
        <w:contextualSpacing/>
        <w:jc w:val="both"/>
        <w:rPr>
          <w:rFonts w:ascii="ITC Avant Garde" w:eastAsia="Times New Roman" w:hAnsi="ITC Avant Garde"/>
          <w:lang w:val="es-ES" w:eastAsia="es-ES"/>
        </w:rPr>
      </w:pPr>
      <w:r>
        <w:rPr>
          <w:rFonts w:ascii="ITC Avant Garde" w:eastAsia="Times New Roman" w:hAnsi="ITC Avant Garde"/>
          <w:b/>
          <w:lang w:val="es-ES" w:eastAsia="es-ES"/>
        </w:rPr>
        <w:t>CUARTO</w:t>
      </w:r>
      <w:r w:rsidR="00A1596A" w:rsidRPr="00A1596A">
        <w:rPr>
          <w:rFonts w:ascii="ITC Avant Garde" w:eastAsia="Times New Roman" w:hAnsi="ITC Avant Garde"/>
          <w:b/>
          <w:lang w:val="es-ES" w:eastAsia="es-ES"/>
        </w:rPr>
        <w:t>.-</w:t>
      </w:r>
      <w:r w:rsidR="00A1596A">
        <w:rPr>
          <w:rFonts w:ascii="ITC Avant Garde" w:eastAsia="Times New Roman" w:hAnsi="ITC Avant Garde"/>
          <w:lang w:val="es-ES" w:eastAsia="es-ES"/>
        </w:rPr>
        <w:t xml:space="preserve"> </w:t>
      </w:r>
      <w:r w:rsidR="00A1596A">
        <w:rPr>
          <w:rFonts w:ascii="ITC Avant Garde" w:eastAsia="Times New Roman" w:hAnsi="ITC Avant Garde"/>
          <w:b/>
          <w:lang w:val="es-ES" w:eastAsia="es-ES"/>
        </w:rPr>
        <w:t>C</w:t>
      </w:r>
      <w:r w:rsidR="00B51C7E">
        <w:rPr>
          <w:rFonts w:ascii="ITC Avant Garde" w:eastAsia="Times New Roman" w:hAnsi="ITC Avant Garde"/>
          <w:b/>
          <w:lang w:val="es-ES" w:eastAsia="es-ES"/>
        </w:rPr>
        <w:t xml:space="preserve">umplimiento a lo señalado en el inciso a) del considerando </w:t>
      </w:r>
      <w:r>
        <w:rPr>
          <w:rFonts w:ascii="ITC Avant Garde" w:eastAsia="Times New Roman" w:hAnsi="ITC Avant Garde"/>
          <w:b/>
          <w:lang w:val="es-ES" w:eastAsia="es-ES"/>
        </w:rPr>
        <w:t xml:space="preserve">Tercero </w:t>
      </w:r>
      <w:r w:rsidR="00B51C7E">
        <w:rPr>
          <w:rFonts w:ascii="ITC Avant Garde" w:eastAsia="Times New Roman" w:hAnsi="ITC Avant Garde"/>
          <w:b/>
          <w:lang w:val="es-ES" w:eastAsia="es-ES"/>
        </w:rPr>
        <w:t xml:space="preserve">de la presente </w:t>
      </w:r>
      <w:r w:rsidR="00F2312A">
        <w:rPr>
          <w:rFonts w:ascii="ITC Avant Garde" w:eastAsia="Times New Roman" w:hAnsi="ITC Avant Garde"/>
          <w:b/>
          <w:lang w:val="es-ES" w:eastAsia="es-ES"/>
        </w:rPr>
        <w:t>R</w:t>
      </w:r>
      <w:r w:rsidR="00B51C7E">
        <w:rPr>
          <w:rFonts w:ascii="ITC Avant Garde" w:eastAsia="Times New Roman" w:hAnsi="ITC Avant Garde"/>
          <w:b/>
          <w:lang w:val="es-ES" w:eastAsia="es-ES"/>
        </w:rPr>
        <w:t>esolución</w:t>
      </w:r>
      <w:r w:rsidR="00A1596A">
        <w:rPr>
          <w:rFonts w:ascii="ITC Avant Garde" w:eastAsia="Times New Roman" w:hAnsi="ITC Avant Garde"/>
          <w:b/>
          <w:lang w:val="es-ES" w:eastAsia="es-ES"/>
        </w:rPr>
        <w:t xml:space="preserve">.- </w:t>
      </w:r>
      <w:r w:rsidR="00C428F6">
        <w:rPr>
          <w:rFonts w:ascii="ITC Avant Garde" w:eastAsia="Times New Roman" w:hAnsi="ITC Avant Garde"/>
          <w:lang w:val="es-ES" w:eastAsia="es-ES"/>
        </w:rPr>
        <w:t>P</w:t>
      </w:r>
      <w:r w:rsidR="003A1105" w:rsidRPr="00C007AB">
        <w:rPr>
          <w:rFonts w:ascii="ITC Avant Garde" w:eastAsia="Times New Roman" w:hAnsi="ITC Avant Garde"/>
          <w:lang w:val="es-ES" w:eastAsia="es-ES"/>
        </w:rPr>
        <w:t xml:space="preserve">or una cuestión de orden lógico y consistencia jurídica, </w:t>
      </w:r>
      <w:r w:rsidR="00C428F6">
        <w:rPr>
          <w:rFonts w:ascii="ITC Avant Garde" w:eastAsia="Times New Roman" w:hAnsi="ITC Avant Garde"/>
          <w:lang w:val="es-ES" w:eastAsia="es-ES"/>
        </w:rPr>
        <w:t xml:space="preserve">esta autoridad considera </w:t>
      </w:r>
      <w:r w:rsidR="00B949A6">
        <w:rPr>
          <w:rFonts w:ascii="ITC Avant Garde" w:eastAsia="Times New Roman" w:hAnsi="ITC Avant Garde"/>
          <w:lang w:val="es-ES" w:eastAsia="es-ES"/>
        </w:rPr>
        <w:t xml:space="preserve">en </w:t>
      </w:r>
      <w:r w:rsidR="00002658" w:rsidRPr="00C007AB">
        <w:rPr>
          <w:rFonts w:ascii="ITC Avant Garde" w:eastAsia="Times New Roman" w:hAnsi="ITC Avant Garde"/>
          <w:lang w:val="es-ES" w:eastAsia="es-ES"/>
        </w:rPr>
        <w:t>primer</w:t>
      </w:r>
      <w:r w:rsidR="0040427E">
        <w:rPr>
          <w:rFonts w:ascii="ITC Avant Garde" w:eastAsia="Times New Roman" w:hAnsi="ITC Avant Garde"/>
          <w:lang w:val="es-ES" w:eastAsia="es-ES"/>
        </w:rPr>
        <w:t xml:space="preserve"> término</w:t>
      </w:r>
      <w:r w:rsidR="00002658" w:rsidRPr="00C007AB">
        <w:rPr>
          <w:rFonts w:ascii="ITC Avant Garde" w:eastAsia="Times New Roman" w:hAnsi="ITC Avant Garde"/>
          <w:lang w:val="es-ES" w:eastAsia="es-ES"/>
        </w:rPr>
        <w:t xml:space="preserve"> </w:t>
      </w:r>
      <w:r w:rsidR="00B949A6">
        <w:rPr>
          <w:rFonts w:ascii="ITC Avant Garde" w:eastAsia="Times New Roman" w:hAnsi="ITC Avant Garde"/>
          <w:lang w:val="es-ES" w:eastAsia="es-ES"/>
        </w:rPr>
        <w:t xml:space="preserve">dar estricto cumplimiento a lo señalado en el inciso </w:t>
      </w:r>
      <w:r w:rsidR="00B949A6" w:rsidRPr="00B949A6">
        <w:rPr>
          <w:rFonts w:ascii="ITC Avant Garde" w:eastAsia="Times New Roman" w:hAnsi="ITC Avant Garde"/>
          <w:b/>
          <w:lang w:val="es-ES" w:eastAsia="es-ES"/>
        </w:rPr>
        <w:t>a)</w:t>
      </w:r>
      <w:r w:rsidR="00B949A6">
        <w:rPr>
          <w:rFonts w:ascii="ITC Avant Garde" w:eastAsia="Times New Roman" w:hAnsi="ITC Avant Garde"/>
          <w:lang w:val="es-ES" w:eastAsia="es-ES"/>
        </w:rPr>
        <w:t xml:space="preserve"> del considerando </w:t>
      </w:r>
      <w:r w:rsidR="00B51C7E">
        <w:rPr>
          <w:rFonts w:ascii="ITC Avant Garde" w:eastAsia="Times New Roman" w:hAnsi="ITC Avant Garde"/>
          <w:lang w:val="es-ES" w:eastAsia="es-ES"/>
        </w:rPr>
        <w:t xml:space="preserve">CUARTO de la presente resolución, </w:t>
      </w:r>
      <w:r w:rsidR="00465824">
        <w:rPr>
          <w:rFonts w:ascii="ITC Avant Garde" w:eastAsia="Times New Roman" w:hAnsi="ITC Avant Garde"/>
          <w:lang w:val="es-ES" w:eastAsia="es-ES"/>
        </w:rPr>
        <w:t xml:space="preserve">por lo que </w:t>
      </w:r>
      <w:r w:rsidR="00B51C7E">
        <w:rPr>
          <w:rFonts w:ascii="ITC Avant Garde" w:eastAsia="Times New Roman" w:hAnsi="ITC Avant Garde"/>
          <w:lang w:val="es-ES" w:eastAsia="es-ES"/>
        </w:rPr>
        <w:t>se</w:t>
      </w:r>
      <w:r w:rsidR="00B949A6">
        <w:rPr>
          <w:rFonts w:ascii="ITC Avant Garde" w:eastAsia="Times New Roman" w:hAnsi="ITC Avant Garde"/>
          <w:lang w:val="es-ES" w:eastAsia="es-ES"/>
        </w:rPr>
        <w:t xml:space="preserve"> procede a </w:t>
      </w:r>
      <w:r w:rsidR="00002658" w:rsidRPr="00C007AB">
        <w:rPr>
          <w:rFonts w:ascii="ITC Avant Garde" w:eastAsia="Times New Roman" w:hAnsi="ITC Avant Garde"/>
          <w:lang w:val="es-ES" w:eastAsia="es-ES"/>
        </w:rPr>
        <w:t>dej</w:t>
      </w:r>
      <w:r w:rsidR="00B949A6">
        <w:rPr>
          <w:rFonts w:ascii="ITC Avant Garde" w:eastAsia="Times New Roman" w:hAnsi="ITC Avant Garde"/>
          <w:lang w:val="es-ES" w:eastAsia="es-ES"/>
        </w:rPr>
        <w:t>ar</w:t>
      </w:r>
      <w:r w:rsidR="00002658" w:rsidRPr="00C007AB">
        <w:rPr>
          <w:rFonts w:ascii="ITC Avant Garde" w:eastAsia="Times New Roman" w:hAnsi="ITC Avant Garde"/>
          <w:lang w:val="es-ES" w:eastAsia="es-ES"/>
        </w:rPr>
        <w:t xml:space="preserve"> sin efecto</w:t>
      </w:r>
      <w:r w:rsidR="00A403B6" w:rsidRPr="00C007AB">
        <w:rPr>
          <w:rFonts w:ascii="ITC Avant Garde" w:eastAsia="Times New Roman" w:hAnsi="ITC Avant Garde"/>
          <w:lang w:val="es-ES" w:eastAsia="es-ES"/>
        </w:rPr>
        <w:t xml:space="preserve">s </w:t>
      </w:r>
      <w:r w:rsidR="004577B2" w:rsidRPr="00C007AB">
        <w:rPr>
          <w:rFonts w:ascii="ITC Avant Garde" w:eastAsia="Arial" w:hAnsi="ITC Avant Garde"/>
        </w:rPr>
        <w:t xml:space="preserve">el </w:t>
      </w:r>
      <w:r w:rsidR="004577B2" w:rsidRPr="00C007AB">
        <w:rPr>
          <w:rFonts w:ascii="ITC Avant Garde" w:eastAsia="Arial" w:hAnsi="ITC Avant Garde"/>
          <w:b/>
        </w:rPr>
        <w:t xml:space="preserve">Acuerdo </w:t>
      </w:r>
      <w:r w:rsidR="00A403B6" w:rsidRPr="00C007AB">
        <w:rPr>
          <w:rFonts w:ascii="ITC Avant Garde" w:eastAsia="Arial" w:hAnsi="ITC Avant Garde"/>
          <w:b/>
        </w:rPr>
        <w:t xml:space="preserve">P/IFT/250815/390 aprobada en la </w:t>
      </w:r>
      <w:r w:rsidR="004577B2" w:rsidRPr="00C007AB">
        <w:rPr>
          <w:rFonts w:ascii="ITC Avant Garde" w:eastAsia="Arial" w:hAnsi="ITC Avant Garde"/>
          <w:b/>
        </w:rPr>
        <w:t xml:space="preserve">Sesión Ordinaria </w:t>
      </w:r>
      <w:r w:rsidR="00A403B6" w:rsidRPr="00C007AB">
        <w:rPr>
          <w:rFonts w:ascii="ITC Avant Garde" w:eastAsia="Arial" w:hAnsi="ITC Avant Garde"/>
          <w:b/>
        </w:rPr>
        <w:t>XVII de fecha 25 de agosto de 2015</w:t>
      </w:r>
      <w:r w:rsidR="00A403B6" w:rsidRPr="00C007AB">
        <w:rPr>
          <w:rFonts w:ascii="ITC Avant Garde" w:eastAsia="Arial" w:hAnsi="ITC Avant Garde"/>
        </w:rPr>
        <w:t xml:space="preserve">, </w:t>
      </w:r>
      <w:r w:rsidR="0025701F" w:rsidRPr="00C007AB">
        <w:rPr>
          <w:rFonts w:ascii="ITC Avant Garde" w:eastAsia="Times New Roman" w:hAnsi="ITC Avant Garde"/>
          <w:lang w:val="es-ES" w:eastAsia="es-ES"/>
        </w:rPr>
        <w:t>en congruencia a lo judicialmente resuelto</w:t>
      </w:r>
      <w:r w:rsidR="006F2985" w:rsidRPr="00C007AB">
        <w:rPr>
          <w:rFonts w:ascii="ITC Avant Garde" w:eastAsia="Times New Roman" w:hAnsi="ITC Avant Garde"/>
          <w:lang w:val="es-ES" w:eastAsia="es-ES"/>
        </w:rPr>
        <w:t xml:space="preserve"> en la ejecutoria de </w:t>
      </w:r>
      <w:r w:rsidR="00F2312A">
        <w:rPr>
          <w:rFonts w:ascii="ITC Avant Garde" w:eastAsia="Times New Roman" w:hAnsi="ITC Avant Garde"/>
          <w:lang w:val="es-ES" w:eastAsia="es-ES"/>
        </w:rPr>
        <w:t xml:space="preserve">mérito de </w:t>
      </w:r>
      <w:r w:rsidR="00B949A6">
        <w:rPr>
          <w:rFonts w:ascii="ITC Avant Garde" w:eastAsia="Times New Roman" w:hAnsi="ITC Avant Garde"/>
          <w:lang w:val="es-ES" w:eastAsia="es-ES"/>
        </w:rPr>
        <w:t>26 de febrero de 201</w:t>
      </w:r>
      <w:r w:rsidR="00F2312A">
        <w:rPr>
          <w:rFonts w:ascii="ITC Avant Garde" w:eastAsia="Times New Roman" w:hAnsi="ITC Avant Garde"/>
          <w:lang w:val="es-ES" w:eastAsia="es-ES"/>
        </w:rPr>
        <w:t>6</w:t>
      </w:r>
      <w:r w:rsidR="006F2985" w:rsidRPr="00C007AB">
        <w:rPr>
          <w:rFonts w:ascii="ITC Avant Garde" w:eastAsia="Times New Roman" w:hAnsi="ITC Avant Garde"/>
          <w:lang w:val="es-ES" w:eastAsia="es-ES"/>
        </w:rPr>
        <w:t xml:space="preserve">; así como, </w:t>
      </w:r>
      <w:r w:rsidR="00D00C28" w:rsidRPr="00C007AB">
        <w:rPr>
          <w:rFonts w:ascii="ITC Avant Garde" w:eastAsia="Times New Roman" w:hAnsi="ITC Avant Garde"/>
          <w:lang w:val="es-ES" w:eastAsia="es-ES"/>
        </w:rPr>
        <w:t>en atención a lo</w:t>
      </w:r>
      <w:r w:rsidR="0025701F" w:rsidRPr="00C007AB">
        <w:rPr>
          <w:rFonts w:ascii="ITC Avant Garde" w:eastAsia="Times New Roman" w:hAnsi="ITC Avant Garde"/>
          <w:lang w:val="es-ES" w:eastAsia="es-ES"/>
        </w:rPr>
        <w:t xml:space="preserve"> previsto en el numeral 8 de la Ley Federal de Procedimiento Administrativo, </w:t>
      </w:r>
      <w:r w:rsidR="006F2985" w:rsidRPr="00C007AB">
        <w:rPr>
          <w:rFonts w:ascii="ITC Avant Garde" w:eastAsia="Times New Roman" w:hAnsi="ITC Avant Garde"/>
          <w:lang w:val="es-ES" w:eastAsia="es-ES"/>
        </w:rPr>
        <w:t xml:space="preserve">dicho acto </w:t>
      </w:r>
      <w:r w:rsidR="0025701F" w:rsidRPr="00C007AB">
        <w:rPr>
          <w:rFonts w:ascii="ITC Avant Garde" w:eastAsia="Times New Roman" w:hAnsi="ITC Avant Garde"/>
          <w:lang w:val="es-ES" w:eastAsia="es-ES"/>
        </w:rPr>
        <w:t xml:space="preserve">materia de la </w:t>
      </w:r>
      <w:r w:rsidR="00C7798F">
        <w:rPr>
          <w:rFonts w:ascii="ITC Avant Garde" w:eastAsia="Times New Roman" w:hAnsi="ITC Avant Garde"/>
          <w:lang w:val="es-ES" w:eastAsia="es-ES"/>
        </w:rPr>
        <w:t>l</w:t>
      </w:r>
      <w:r w:rsidR="0025701F" w:rsidRPr="00C007AB">
        <w:rPr>
          <w:rFonts w:ascii="ITC Avant Garde" w:eastAsia="Times New Roman" w:hAnsi="ITC Avant Garde"/>
          <w:lang w:val="es-ES" w:eastAsia="es-ES"/>
        </w:rPr>
        <w:t xml:space="preserve">itis en el juicio </w:t>
      </w:r>
      <w:r w:rsidR="00A403B6" w:rsidRPr="00A841D8">
        <w:rPr>
          <w:rFonts w:ascii="ITC Avant Garde" w:eastAsia="Times New Roman" w:hAnsi="ITC Avant Garde"/>
          <w:b/>
          <w:lang w:val="es-ES" w:eastAsia="es-ES"/>
        </w:rPr>
        <w:t>1665/2015</w:t>
      </w:r>
      <w:r w:rsidR="00151ABE" w:rsidRPr="00C007AB">
        <w:rPr>
          <w:rFonts w:ascii="ITC Avant Garde" w:eastAsia="Times New Roman" w:hAnsi="ITC Avant Garde"/>
          <w:lang w:val="es-ES" w:eastAsia="es-ES"/>
        </w:rPr>
        <w:t xml:space="preserve">, cuya determinación </w:t>
      </w:r>
      <w:r w:rsidR="0025701F" w:rsidRPr="00C007AB">
        <w:rPr>
          <w:rFonts w:ascii="ITC Avant Garde" w:eastAsia="Times New Roman" w:hAnsi="ITC Avant Garde"/>
          <w:lang w:val="es-ES" w:eastAsia="es-ES"/>
        </w:rPr>
        <w:t>se ha dejado sin efectos</w:t>
      </w:r>
      <w:r w:rsidR="00D00C28" w:rsidRPr="00C007AB">
        <w:rPr>
          <w:rFonts w:ascii="ITC Avant Garde" w:eastAsia="Times New Roman" w:hAnsi="ITC Avant Garde"/>
          <w:lang w:val="es-ES" w:eastAsia="es-ES"/>
        </w:rPr>
        <w:t xml:space="preserve"> en virtud</w:t>
      </w:r>
      <w:r w:rsidR="00002658" w:rsidRPr="00C007AB">
        <w:rPr>
          <w:rFonts w:ascii="ITC Avant Garde" w:eastAsia="Times New Roman" w:hAnsi="ITC Avant Garde"/>
          <w:lang w:val="es-ES" w:eastAsia="es-ES"/>
        </w:rPr>
        <w:t xml:space="preserve"> del otorgamiento del amparo</w:t>
      </w:r>
      <w:r w:rsidR="00A403B6" w:rsidRPr="00C007AB">
        <w:rPr>
          <w:rFonts w:ascii="ITC Avant Garde" w:eastAsia="Times New Roman" w:hAnsi="ITC Avant Garde"/>
          <w:lang w:val="es-ES" w:eastAsia="es-ES"/>
        </w:rPr>
        <w:t>.</w:t>
      </w:r>
    </w:p>
    <w:p w14:paraId="3A37B844" w14:textId="77777777" w:rsidR="00151ABE" w:rsidRPr="00C007AB" w:rsidRDefault="00151ABE" w:rsidP="002D45C6">
      <w:pPr>
        <w:tabs>
          <w:tab w:val="left" w:pos="10065"/>
        </w:tabs>
        <w:spacing w:after="0" w:line="240" w:lineRule="auto"/>
        <w:ind w:right="-62"/>
        <w:contextualSpacing/>
        <w:jc w:val="both"/>
        <w:rPr>
          <w:rFonts w:ascii="ITC Avant Garde" w:eastAsia="Times New Roman" w:hAnsi="ITC Avant Garde"/>
          <w:lang w:val="es-ES" w:eastAsia="es-ES"/>
        </w:rPr>
      </w:pPr>
    </w:p>
    <w:p w14:paraId="06A4CE2A" w14:textId="6F3E13AD" w:rsidR="00D12E71" w:rsidRPr="00C007AB" w:rsidRDefault="00151ABE" w:rsidP="002D45C6">
      <w:pPr>
        <w:tabs>
          <w:tab w:val="left" w:pos="10065"/>
        </w:tabs>
        <w:spacing w:after="0" w:line="240" w:lineRule="auto"/>
        <w:ind w:right="-62"/>
        <w:contextualSpacing/>
        <w:jc w:val="both"/>
        <w:rPr>
          <w:rFonts w:ascii="ITC Avant Garde" w:eastAsia="Times New Roman" w:hAnsi="ITC Avant Garde"/>
          <w:lang w:eastAsia="es-ES"/>
        </w:rPr>
      </w:pPr>
      <w:r w:rsidRPr="00C007AB">
        <w:rPr>
          <w:rFonts w:ascii="ITC Avant Garde" w:eastAsia="Times New Roman" w:hAnsi="ITC Avant Garde"/>
          <w:lang w:val="es-ES" w:eastAsia="es-ES"/>
        </w:rPr>
        <w:t>Por lo anterior,</w:t>
      </w:r>
      <w:r w:rsidR="0025701F" w:rsidRPr="00C007AB">
        <w:rPr>
          <w:rFonts w:ascii="ITC Avant Garde" w:eastAsia="Times New Roman" w:hAnsi="ITC Avant Garde"/>
          <w:lang w:val="es-ES" w:eastAsia="es-ES"/>
        </w:rPr>
        <w:t xml:space="preserve"> resulta procedente </w:t>
      </w:r>
      <w:r w:rsidR="00F1282F" w:rsidRPr="00C007AB">
        <w:rPr>
          <w:rFonts w:ascii="ITC Avant Garde" w:eastAsia="Times New Roman" w:hAnsi="ITC Avant Garde"/>
          <w:lang w:val="es-ES" w:eastAsia="es-ES"/>
        </w:rPr>
        <w:t xml:space="preserve">declarar </w:t>
      </w:r>
      <w:r w:rsidR="0025701F" w:rsidRPr="00C007AB">
        <w:rPr>
          <w:rFonts w:ascii="ITC Avant Garde" w:eastAsia="Times New Roman" w:hAnsi="ITC Avant Garde"/>
          <w:lang w:val="es-ES" w:eastAsia="es-ES"/>
        </w:rPr>
        <w:t>insubsistente</w:t>
      </w:r>
      <w:r w:rsidR="00002658" w:rsidRPr="00C007AB">
        <w:rPr>
          <w:rFonts w:ascii="ITC Avant Garde" w:eastAsia="Times New Roman" w:hAnsi="ITC Avant Garde"/>
          <w:lang w:val="es-ES" w:eastAsia="es-ES"/>
        </w:rPr>
        <w:t xml:space="preserve"> </w:t>
      </w:r>
      <w:r w:rsidR="00F1282F" w:rsidRPr="00C007AB">
        <w:rPr>
          <w:rFonts w:ascii="ITC Avant Garde" w:eastAsia="Times New Roman" w:hAnsi="ITC Avant Garde"/>
          <w:lang w:val="es-ES" w:eastAsia="es-ES"/>
        </w:rPr>
        <w:t xml:space="preserve">y dejar sin efectos </w:t>
      </w:r>
      <w:r w:rsidR="00002658" w:rsidRPr="00C007AB">
        <w:rPr>
          <w:rFonts w:ascii="ITC Avant Garde" w:eastAsia="Times New Roman" w:hAnsi="ITC Avant Garde"/>
          <w:lang w:val="es-ES" w:eastAsia="es-ES"/>
        </w:rPr>
        <w:t xml:space="preserve">la determinación adoptada </w:t>
      </w:r>
      <w:r w:rsidR="00583F63" w:rsidRPr="00C007AB">
        <w:rPr>
          <w:rFonts w:ascii="ITC Avant Garde" w:eastAsia="Times New Roman" w:hAnsi="ITC Avant Garde"/>
          <w:lang w:eastAsia="es-ES"/>
        </w:rPr>
        <w:t>por el Pleno de</w:t>
      </w:r>
      <w:r w:rsidR="00D767BD" w:rsidRPr="00C007AB">
        <w:rPr>
          <w:rFonts w:ascii="ITC Avant Garde" w:eastAsia="Times New Roman" w:hAnsi="ITC Avant Garde"/>
          <w:lang w:eastAsia="es-ES"/>
        </w:rPr>
        <w:t xml:space="preserve"> este</w:t>
      </w:r>
      <w:r w:rsidR="00583F63" w:rsidRPr="00C007AB">
        <w:rPr>
          <w:rFonts w:ascii="ITC Avant Garde" w:eastAsia="Times New Roman" w:hAnsi="ITC Avant Garde"/>
          <w:lang w:eastAsia="es-ES"/>
        </w:rPr>
        <w:t xml:space="preserve"> </w:t>
      </w:r>
      <w:r w:rsidR="00E94179" w:rsidRPr="00C007AB">
        <w:rPr>
          <w:rFonts w:ascii="ITC Avant Garde" w:eastAsia="Times New Roman" w:hAnsi="ITC Avant Garde"/>
          <w:lang w:eastAsia="es-ES"/>
        </w:rPr>
        <w:t>I</w:t>
      </w:r>
      <w:r w:rsidR="00583F63" w:rsidRPr="00C007AB">
        <w:rPr>
          <w:rFonts w:ascii="ITC Avant Garde" w:eastAsia="Times New Roman" w:hAnsi="ITC Avant Garde"/>
          <w:lang w:eastAsia="es-ES"/>
        </w:rPr>
        <w:t xml:space="preserve">nstituto </w:t>
      </w:r>
      <w:r w:rsidR="00002658" w:rsidRPr="00C007AB">
        <w:rPr>
          <w:rFonts w:ascii="ITC Avant Garde" w:eastAsia="Times New Roman" w:hAnsi="ITC Avant Garde"/>
          <w:lang w:val="es-ES" w:eastAsia="es-ES"/>
        </w:rPr>
        <w:t xml:space="preserve">mediante </w:t>
      </w:r>
      <w:r w:rsidR="00D12E71" w:rsidRPr="00C007AB">
        <w:rPr>
          <w:rFonts w:ascii="ITC Avant Garde" w:eastAsia="Times New Roman" w:hAnsi="ITC Avant Garde"/>
          <w:b/>
          <w:lang w:val="es-ES" w:eastAsia="es-ES"/>
        </w:rPr>
        <w:t>a</w:t>
      </w:r>
      <w:r w:rsidR="00002658" w:rsidRPr="00C007AB">
        <w:rPr>
          <w:rFonts w:ascii="ITC Avant Garde" w:eastAsia="Times New Roman" w:hAnsi="ITC Avant Garde"/>
          <w:b/>
          <w:lang w:val="es-ES" w:eastAsia="es-ES"/>
        </w:rPr>
        <w:t>cuerdo</w:t>
      </w:r>
      <w:r w:rsidR="00583F63" w:rsidRPr="00C007AB">
        <w:rPr>
          <w:rFonts w:ascii="ITC Avant Garde" w:eastAsia="Times New Roman" w:hAnsi="ITC Avant Garde"/>
          <w:b/>
          <w:lang w:val="es-ES" w:eastAsia="es-ES"/>
        </w:rPr>
        <w:t xml:space="preserve"> número</w:t>
      </w:r>
      <w:r w:rsidR="00002658" w:rsidRPr="00C007AB">
        <w:rPr>
          <w:rFonts w:ascii="ITC Avant Garde" w:eastAsia="Times New Roman" w:hAnsi="ITC Avant Garde"/>
          <w:b/>
          <w:lang w:val="es-ES" w:eastAsia="es-ES"/>
        </w:rPr>
        <w:t xml:space="preserve"> </w:t>
      </w:r>
      <w:r w:rsidR="00002658" w:rsidRPr="00C007AB">
        <w:rPr>
          <w:rFonts w:ascii="ITC Avant Garde" w:eastAsia="Times New Roman" w:hAnsi="ITC Avant Garde"/>
          <w:b/>
          <w:lang w:eastAsia="es-ES"/>
        </w:rPr>
        <w:t>P/IFT/</w:t>
      </w:r>
      <w:r w:rsidR="00D12E71" w:rsidRPr="00C007AB">
        <w:rPr>
          <w:rFonts w:ascii="ITC Avant Garde" w:eastAsia="Times New Roman" w:hAnsi="ITC Avant Garde"/>
          <w:b/>
          <w:lang w:eastAsia="es-ES"/>
        </w:rPr>
        <w:t>250815</w:t>
      </w:r>
      <w:r w:rsidR="00002658" w:rsidRPr="00C007AB">
        <w:rPr>
          <w:rFonts w:ascii="ITC Avant Garde" w:eastAsia="Times New Roman" w:hAnsi="ITC Avant Garde"/>
          <w:b/>
          <w:lang w:eastAsia="es-ES"/>
        </w:rPr>
        <w:t>/</w:t>
      </w:r>
      <w:r w:rsidR="00D12E71" w:rsidRPr="00C007AB">
        <w:rPr>
          <w:rFonts w:ascii="ITC Avant Garde" w:eastAsia="Times New Roman" w:hAnsi="ITC Avant Garde"/>
          <w:b/>
          <w:lang w:eastAsia="es-ES"/>
        </w:rPr>
        <w:t>390</w:t>
      </w:r>
      <w:r w:rsidR="00583F63" w:rsidRPr="00C007AB">
        <w:rPr>
          <w:rFonts w:ascii="ITC Avant Garde" w:eastAsia="Times New Roman" w:hAnsi="ITC Avant Garde"/>
          <w:lang w:eastAsia="es-ES"/>
        </w:rPr>
        <w:t>,</w:t>
      </w:r>
      <w:r w:rsidR="00002658" w:rsidRPr="00C007AB">
        <w:rPr>
          <w:rFonts w:ascii="ITC Avant Garde" w:eastAsia="Times New Roman" w:hAnsi="ITC Avant Garde"/>
          <w:lang w:eastAsia="es-ES"/>
        </w:rPr>
        <w:t xml:space="preserve"> aprobado en la XV</w:t>
      </w:r>
      <w:r w:rsidR="00D12E71" w:rsidRPr="00C007AB">
        <w:rPr>
          <w:rFonts w:ascii="ITC Avant Garde" w:eastAsia="Times New Roman" w:hAnsi="ITC Avant Garde"/>
          <w:lang w:eastAsia="es-ES"/>
        </w:rPr>
        <w:t>II</w:t>
      </w:r>
      <w:r w:rsidR="00002658" w:rsidRPr="00C007AB">
        <w:rPr>
          <w:rFonts w:ascii="ITC Avant Garde" w:eastAsia="Times New Roman" w:hAnsi="ITC Avant Garde"/>
          <w:lang w:eastAsia="es-ES"/>
        </w:rPr>
        <w:t xml:space="preserve"> Sesión Ordinaria celebrada el </w:t>
      </w:r>
      <w:r w:rsidR="00D12E71" w:rsidRPr="00C007AB">
        <w:rPr>
          <w:rFonts w:ascii="ITC Avant Garde" w:eastAsia="Times New Roman" w:hAnsi="ITC Avant Garde"/>
          <w:lang w:eastAsia="es-ES"/>
        </w:rPr>
        <w:t>25</w:t>
      </w:r>
      <w:r w:rsidR="00002658" w:rsidRPr="00C007AB">
        <w:rPr>
          <w:rFonts w:ascii="ITC Avant Garde" w:eastAsia="Times New Roman" w:hAnsi="ITC Avant Garde"/>
          <w:lang w:eastAsia="es-ES"/>
        </w:rPr>
        <w:t xml:space="preserve"> de </w:t>
      </w:r>
      <w:r w:rsidR="00D12E71" w:rsidRPr="00C007AB">
        <w:rPr>
          <w:rFonts w:ascii="ITC Avant Garde" w:eastAsia="Times New Roman" w:hAnsi="ITC Avant Garde"/>
          <w:lang w:eastAsia="es-ES"/>
        </w:rPr>
        <w:t>agosto</w:t>
      </w:r>
      <w:r w:rsidR="00002658" w:rsidRPr="00C007AB">
        <w:rPr>
          <w:rFonts w:ascii="ITC Avant Garde" w:eastAsia="Times New Roman" w:hAnsi="ITC Avant Garde"/>
          <w:lang w:eastAsia="es-ES"/>
        </w:rPr>
        <w:t xml:space="preserve"> de 2015</w:t>
      </w:r>
      <w:r w:rsidR="00D767BD" w:rsidRPr="00C007AB">
        <w:rPr>
          <w:rFonts w:ascii="ITC Avant Garde" w:eastAsia="Times New Roman" w:hAnsi="ITC Avant Garde"/>
          <w:lang w:eastAsia="es-ES"/>
        </w:rPr>
        <w:t>,</w:t>
      </w:r>
      <w:r w:rsidR="00615F11" w:rsidRPr="00C007AB">
        <w:rPr>
          <w:rFonts w:ascii="ITC Avant Garde" w:eastAsia="Times New Roman" w:hAnsi="ITC Avant Garde"/>
          <w:lang w:eastAsia="es-ES"/>
        </w:rPr>
        <w:t xml:space="preserve"> </w:t>
      </w:r>
      <w:r w:rsidR="00D767BD" w:rsidRPr="00C007AB">
        <w:rPr>
          <w:rFonts w:ascii="ITC Avant Garde" w:eastAsia="Times New Roman" w:hAnsi="ITC Avant Garde"/>
          <w:lang w:eastAsia="es-ES"/>
        </w:rPr>
        <w:t>en</w:t>
      </w:r>
      <w:r w:rsidR="00E94179" w:rsidRPr="00C007AB">
        <w:rPr>
          <w:rFonts w:ascii="ITC Avant Garde" w:eastAsia="Times New Roman" w:hAnsi="ITC Avant Garde"/>
          <w:lang w:eastAsia="es-ES"/>
        </w:rPr>
        <w:t xml:space="preserve"> el</w:t>
      </w:r>
      <w:r w:rsidR="00002658" w:rsidRPr="00C007AB">
        <w:rPr>
          <w:rFonts w:ascii="ITC Avant Garde" w:eastAsia="Times New Roman" w:hAnsi="ITC Avant Garde"/>
          <w:lang w:eastAsia="es-ES"/>
        </w:rPr>
        <w:t xml:space="preserve"> cual</w:t>
      </w:r>
      <w:r w:rsidR="00D767BD" w:rsidRPr="00C007AB">
        <w:rPr>
          <w:rFonts w:ascii="ITC Avant Garde" w:eastAsia="Times New Roman" w:hAnsi="ITC Avant Garde"/>
          <w:lang w:eastAsia="es-ES"/>
        </w:rPr>
        <w:t>,</w:t>
      </w:r>
      <w:r w:rsidR="00002658" w:rsidRPr="00C007AB">
        <w:rPr>
          <w:rFonts w:ascii="ITC Avant Garde" w:eastAsia="Times New Roman" w:hAnsi="ITC Avant Garde"/>
          <w:lang w:eastAsia="es-ES"/>
        </w:rPr>
        <w:t xml:space="preserve"> se resolvió </w:t>
      </w:r>
      <w:r w:rsidR="00F2312A">
        <w:rPr>
          <w:rFonts w:ascii="ITC Avant Garde" w:eastAsia="Times New Roman" w:hAnsi="ITC Avant Garde"/>
          <w:lang w:eastAsia="es-ES"/>
        </w:rPr>
        <w:t xml:space="preserve">en su </w:t>
      </w:r>
      <w:r w:rsidR="006844F7" w:rsidRPr="006844F7">
        <w:rPr>
          <w:rFonts w:ascii="ITC Avant Garde" w:eastAsia="Times New Roman" w:hAnsi="ITC Avant Garde"/>
          <w:b/>
          <w:lang w:eastAsia="es-ES"/>
        </w:rPr>
        <w:t>Considerando Cuarto</w:t>
      </w:r>
      <w:r w:rsidR="006844F7">
        <w:rPr>
          <w:rFonts w:ascii="ITC Avant Garde" w:eastAsia="Times New Roman" w:hAnsi="ITC Avant Garde"/>
          <w:lang w:eastAsia="es-ES"/>
        </w:rPr>
        <w:t xml:space="preserve"> </w:t>
      </w:r>
      <w:r w:rsidR="00F2312A" w:rsidRPr="006844F7">
        <w:rPr>
          <w:rFonts w:ascii="ITC Avant Garde" w:eastAsia="Times New Roman" w:hAnsi="ITC Avant Garde"/>
          <w:b/>
          <w:lang w:eastAsia="es-ES"/>
        </w:rPr>
        <w:t xml:space="preserve">la </w:t>
      </w:r>
      <w:r w:rsidR="00D12E71" w:rsidRPr="006844F7">
        <w:rPr>
          <w:rFonts w:ascii="ITC Avant Garde" w:eastAsia="Times New Roman" w:hAnsi="ITC Avant Garde"/>
          <w:b/>
          <w:lang w:eastAsia="es-ES"/>
        </w:rPr>
        <w:t>im</w:t>
      </w:r>
      <w:r w:rsidR="00002658" w:rsidRPr="006844F7">
        <w:rPr>
          <w:rFonts w:ascii="ITC Avant Garde" w:eastAsia="Times New Roman" w:hAnsi="ITC Avant Garde"/>
          <w:b/>
          <w:lang w:eastAsia="es-ES"/>
        </w:rPr>
        <w:t>proceden</w:t>
      </w:r>
      <w:r w:rsidR="00F2312A" w:rsidRPr="006844F7">
        <w:rPr>
          <w:rFonts w:ascii="ITC Avant Garde" w:eastAsia="Times New Roman" w:hAnsi="ITC Avant Garde"/>
          <w:b/>
          <w:lang w:eastAsia="es-ES"/>
        </w:rPr>
        <w:t>cia de</w:t>
      </w:r>
      <w:r w:rsidR="00615F11" w:rsidRPr="006844F7">
        <w:rPr>
          <w:rFonts w:ascii="ITC Avant Garde" w:eastAsia="Times New Roman" w:hAnsi="ITC Avant Garde"/>
          <w:b/>
          <w:lang w:eastAsia="es-ES"/>
        </w:rPr>
        <w:t xml:space="preserve"> la solicitud </w:t>
      </w:r>
      <w:r w:rsidR="00615F11" w:rsidRPr="006844F7">
        <w:rPr>
          <w:rFonts w:ascii="ITC Avant Garde" w:eastAsia="Arial" w:hAnsi="ITC Avant Garde"/>
          <w:b/>
        </w:rPr>
        <w:t>para instalar, operar</w:t>
      </w:r>
      <w:r w:rsidR="00615F11" w:rsidRPr="006844F7">
        <w:rPr>
          <w:rFonts w:ascii="ITC Avant Garde" w:hAnsi="ITC Avant Garde"/>
          <w:b/>
          <w:lang w:eastAsia="es-MX"/>
        </w:rPr>
        <w:t xml:space="preserve"> y explotar comercialmente la frecuencia 98.9 MHz, con </w:t>
      </w:r>
      <w:r w:rsidR="008960DB" w:rsidRPr="006844F7">
        <w:rPr>
          <w:rFonts w:ascii="ITC Avant Garde" w:hAnsi="ITC Avant Garde"/>
          <w:b/>
          <w:lang w:eastAsia="es-MX"/>
        </w:rPr>
        <w:t>distintivo de llamada XHDGM-FM</w:t>
      </w:r>
      <w:r w:rsidR="00615F11" w:rsidRPr="006844F7">
        <w:rPr>
          <w:rFonts w:ascii="ITC Avant Garde" w:hAnsi="ITC Avant Garde"/>
          <w:b/>
          <w:lang w:eastAsia="es-MX"/>
        </w:rPr>
        <w:t xml:space="preserve"> y población principal a servir </w:t>
      </w:r>
      <w:r w:rsidR="00F2312A">
        <w:rPr>
          <w:rFonts w:ascii="ITC Avant Garde" w:hAnsi="ITC Avant Garde"/>
          <w:b/>
          <w:lang w:eastAsia="es-MX"/>
        </w:rPr>
        <w:t xml:space="preserve">en </w:t>
      </w:r>
      <w:r w:rsidR="00615F11" w:rsidRPr="006844F7">
        <w:rPr>
          <w:rFonts w:ascii="ITC Avant Garde" w:hAnsi="ITC Avant Garde"/>
          <w:b/>
          <w:lang w:eastAsia="es-MX"/>
        </w:rPr>
        <w:t>Playa del Carmen, Quintana Roo</w:t>
      </w:r>
      <w:r w:rsidR="00615F11" w:rsidRPr="00C007AB">
        <w:rPr>
          <w:rFonts w:ascii="ITC Avant Garde" w:hAnsi="ITC Avant Garde"/>
          <w:lang w:eastAsia="es-MX"/>
        </w:rPr>
        <w:t>,</w:t>
      </w:r>
      <w:r w:rsidR="00615F11" w:rsidRPr="00C007AB">
        <w:rPr>
          <w:rFonts w:ascii="ITC Avant Garde" w:eastAsia="Times New Roman" w:hAnsi="ITC Avant Garde"/>
          <w:lang w:eastAsia="es-ES"/>
        </w:rPr>
        <w:t xml:space="preserve"> al tenor de lo que a continuación se transcribe:</w:t>
      </w:r>
    </w:p>
    <w:p w14:paraId="7B85E357" w14:textId="77777777" w:rsidR="00615F11" w:rsidRPr="00C007AB" w:rsidRDefault="00615F11" w:rsidP="002D45C6">
      <w:pPr>
        <w:tabs>
          <w:tab w:val="left" w:pos="10065"/>
        </w:tabs>
        <w:spacing w:after="0" w:line="240" w:lineRule="auto"/>
        <w:ind w:right="-62"/>
        <w:contextualSpacing/>
        <w:jc w:val="both"/>
        <w:rPr>
          <w:rFonts w:ascii="ITC Avant Garde" w:eastAsia="Times New Roman" w:hAnsi="ITC Avant Garde"/>
          <w:lang w:eastAsia="es-ES"/>
        </w:rPr>
      </w:pPr>
    </w:p>
    <w:p w14:paraId="5A6F88C0" w14:textId="77777777" w:rsidR="00615F11" w:rsidRPr="00995611" w:rsidRDefault="00615F11" w:rsidP="00615F11">
      <w:pPr>
        <w:tabs>
          <w:tab w:val="left" w:pos="10065"/>
        </w:tabs>
        <w:spacing w:after="0"/>
        <w:ind w:left="851" w:right="-62"/>
        <w:contextualSpacing/>
        <w:jc w:val="both"/>
        <w:rPr>
          <w:rFonts w:ascii="ITC Avant Garde" w:eastAsia="Times New Roman" w:hAnsi="ITC Avant Garde"/>
          <w:sz w:val="16"/>
          <w:lang w:eastAsia="es-ES"/>
        </w:rPr>
      </w:pPr>
      <w:r w:rsidRPr="00995611">
        <w:rPr>
          <w:rFonts w:ascii="ITC Avant Garde" w:eastAsia="Times New Roman" w:hAnsi="ITC Avant Garde"/>
          <w:sz w:val="16"/>
          <w:lang w:eastAsia="es-ES"/>
        </w:rPr>
        <w:t>“(…)</w:t>
      </w:r>
    </w:p>
    <w:p w14:paraId="03DE093E" w14:textId="4515BAD9" w:rsidR="00615F11" w:rsidRPr="00995611" w:rsidRDefault="00615F11" w:rsidP="00615F11">
      <w:pPr>
        <w:tabs>
          <w:tab w:val="left" w:pos="10065"/>
        </w:tabs>
        <w:spacing w:after="0"/>
        <w:ind w:left="851" w:right="-62"/>
        <w:contextualSpacing/>
        <w:jc w:val="both"/>
        <w:rPr>
          <w:rFonts w:ascii="ITC Avant Garde" w:eastAsia="Times New Roman" w:hAnsi="ITC Avant Garde"/>
          <w:i/>
          <w:sz w:val="16"/>
          <w:lang w:eastAsia="es-ES"/>
        </w:rPr>
      </w:pPr>
      <w:r w:rsidRPr="00995611">
        <w:rPr>
          <w:rFonts w:ascii="ITC Avant Garde" w:eastAsia="Times New Roman" w:hAnsi="ITC Avant Garde"/>
          <w:i/>
          <w:sz w:val="16"/>
          <w:lang w:eastAsia="es-ES"/>
        </w:rPr>
        <w:t xml:space="preserve">Por tanto, toda vez que de conformidad con lo dispuesto en los artículos 27, 28 y 134 de la Constitución, en las normas previstas en el Decreto de reformas de 2006, en particular el artículo 17 de la </w:t>
      </w:r>
      <w:r w:rsidR="002A6C98">
        <w:rPr>
          <w:rFonts w:ascii="ITC Avant Garde" w:eastAsia="Times New Roman" w:hAnsi="ITC Avant Garde"/>
          <w:i/>
          <w:sz w:val="16"/>
          <w:lang w:eastAsia="es-ES"/>
        </w:rPr>
        <w:t>LFRTV</w:t>
      </w:r>
      <w:r w:rsidRPr="00995611">
        <w:rPr>
          <w:rFonts w:ascii="ITC Avant Garde" w:eastAsia="Times New Roman" w:hAnsi="ITC Avant Garde"/>
          <w:i/>
          <w:sz w:val="16"/>
          <w:lang w:eastAsia="es-ES"/>
        </w:rPr>
        <w:t xml:space="preserve">V, así como los artículos 54 y 56 de la Ley, las concesiones de radiodifusión comercial únicamente pueden ser otorgadas mediante un procedimiento de licitación pública, por el cual es Estado tiene derecho a recibir una contraprestación económica, a juicio de esta autoridad </w:t>
      </w:r>
      <w:r w:rsidRPr="00995611">
        <w:rPr>
          <w:rFonts w:ascii="ITC Avant Garde" w:eastAsia="Times New Roman" w:hAnsi="ITC Avant Garde"/>
          <w:b/>
          <w:i/>
          <w:sz w:val="16"/>
          <w:lang w:eastAsia="es-ES"/>
        </w:rPr>
        <w:t>resulta improcedente la solicitud</w:t>
      </w:r>
      <w:r w:rsidRPr="00995611">
        <w:rPr>
          <w:rFonts w:ascii="ITC Avant Garde" w:eastAsia="Times New Roman" w:hAnsi="ITC Avant Garde"/>
          <w:i/>
          <w:sz w:val="16"/>
          <w:lang w:eastAsia="es-ES"/>
        </w:rPr>
        <w:t xml:space="preserve"> de mérito, toda vez que fue presentada sobre las bases y estructura contenida en el Acuerdo de Susceptibilidad acorde a un marco legal que ha sido abrogado, y que su alcance y contenido no encuentra sustento jurídico que posibilite su aplicación de acuerdo a la pretensión del ahora solicitante.</w:t>
      </w:r>
    </w:p>
    <w:p w14:paraId="78153AAE" w14:textId="77777777" w:rsidR="00615F11" w:rsidRPr="00995611" w:rsidRDefault="00615F11" w:rsidP="00615F11">
      <w:pPr>
        <w:tabs>
          <w:tab w:val="left" w:pos="10065"/>
        </w:tabs>
        <w:spacing w:after="0"/>
        <w:ind w:left="851" w:right="-62"/>
        <w:contextualSpacing/>
        <w:jc w:val="both"/>
        <w:rPr>
          <w:rFonts w:ascii="ITC Avant Garde" w:eastAsia="Times New Roman" w:hAnsi="ITC Avant Garde"/>
          <w:sz w:val="16"/>
          <w:lang w:eastAsia="es-ES"/>
        </w:rPr>
      </w:pPr>
      <w:r w:rsidRPr="00995611">
        <w:rPr>
          <w:rFonts w:ascii="ITC Avant Garde" w:eastAsia="Times New Roman" w:hAnsi="ITC Avant Garde"/>
          <w:sz w:val="16"/>
          <w:lang w:eastAsia="es-ES"/>
        </w:rPr>
        <w:t xml:space="preserve">(…)” </w:t>
      </w:r>
    </w:p>
    <w:p w14:paraId="61791706" w14:textId="77777777" w:rsidR="00D12E71" w:rsidRPr="00C007AB" w:rsidRDefault="00D12E71" w:rsidP="002D45C6">
      <w:pPr>
        <w:tabs>
          <w:tab w:val="left" w:pos="10065"/>
        </w:tabs>
        <w:spacing w:after="0" w:line="240" w:lineRule="auto"/>
        <w:ind w:right="-62"/>
        <w:contextualSpacing/>
        <w:jc w:val="both"/>
        <w:rPr>
          <w:rFonts w:ascii="ITC Avant Garde" w:eastAsia="Times New Roman" w:hAnsi="ITC Avant Garde"/>
          <w:lang w:eastAsia="es-ES"/>
        </w:rPr>
      </w:pPr>
    </w:p>
    <w:p w14:paraId="7D753E15" w14:textId="19DFC63E" w:rsidR="00E94179" w:rsidRPr="00C007AB" w:rsidRDefault="00E94179" w:rsidP="002D45C6">
      <w:pPr>
        <w:tabs>
          <w:tab w:val="left" w:pos="10065"/>
        </w:tabs>
        <w:spacing w:after="0" w:line="240" w:lineRule="auto"/>
        <w:ind w:right="-62"/>
        <w:contextualSpacing/>
        <w:jc w:val="both"/>
        <w:rPr>
          <w:rFonts w:ascii="ITC Avant Garde" w:eastAsia="Times New Roman" w:hAnsi="ITC Avant Garde"/>
          <w:bCs/>
          <w:lang w:eastAsia="es-ES"/>
        </w:rPr>
      </w:pPr>
      <w:r w:rsidRPr="00C007AB">
        <w:rPr>
          <w:rFonts w:ascii="ITC Avant Garde" w:eastAsia="Arial" w:hAnsi="ITC Avant Garde"/>
        </w:rPr>
        <w:t>En consecuencia</w:t>
      </w:r>
      <w:r w:rsidR="000C1B37" w:rsidRPr="00C007AB">
        <w:rPr>
          <w:rFonts w:ascii="ITC Avant Garde" w:eastAsia="Arial" w:hAnsi="ITC Avant Garde"/>
        </w:rPr>
        <w:t xml:space="preserve">, </w:t>
      </w:r>
      <w:r w:rsidR="009E7E22">
        <w:rPr>
          <w:rFonts w:ascii="ITC Avant Garde" w:eastAsia="Arial" w:hAnsi="ITC Avant Garde"/>
        </w:rPr>
        <w:t xml:space="preserve">esta autoridad determina </w:t>
      </w:r>
      <w:r w:rsidR="000C1B37" w:rsidRPr="00C007AB">
        <w:rPr>
          <w:rFonts w:ascii="ITC Avant Garde" w:eastAsia="Arial" w:hAnsi="ITC Avant Garde"/>
          <w:b/>
        </w:rPr>
        <w:t>dejar sin efectos e</w:t>
      </w:r>
      <w:r w:rsidR="000C1B37" w:rsidRPr="00C007AB">
        <w:rPr>
          <w:rFonts w:ascii="ITC Avant Garde" w:eastAsia="Times New Roman" w:hAnsi="ITC Avant Garde"/>
          <w:b/>
          <w:lang w:val="es-ES" w:eastAsia="es-ES"/>
        </w:rPr>
        <w:t xml:space="preserve">l </w:t>
      </w:r>
      <w:r w:rsidR="004577B2" w:rsidRPr="00C007AB">
        <w:rPr>
          <w:rFonts w:ascii="ITC Avant Garde" w:eastAsia="Arial" w:hAnsi="ITC Avant Garde"/>
          <w:b/>
        </w:rPr>
        <w:t>Acuerdo P/IFT/250815/390 aprobada en la Sesión Ordinaria XVII de fecha 25 de agosto de 2015</w:t>
      </w:r>
      <w:r w:rsidR="000C1B37" w:rsidRPr="00C007AB">
        <w:rPr>
          <w:rFonts w:ascii="ITC Avant Garde" w:eastAsia="Times New Roman" w:hAnsi="ITC Avant Garde"/>
          <w:lang w:eastAsia="es-ES"/>
        </w:rPr>
        <w:t xml:space="preserve">, mediante el cual se </w:t>
      </w:r>
      <w:r w:rsidR="00D85E84">
        <w:rPr>
          <w:rFonts w:ascii="ITC Avant Garde" w:eastAsia="Times New Roman" w:hAnsi="ITC Avant Garde"/>
          <w:lang w:eastAsia="es-ES"/>
        </w:rPr>
        <w:t>determinó la imp</w:t>
      </w:r>
      <w:r w:rsidR="00D85E84" w:rsidRPr="00C007AB">
        <w:rPr>
          <w:rFonts w:ascii="ITC Avant Garde" w:eastAsia="Times New Roman" w:hAnsi="ITC Avant Garde"/>
          <w:lang w:eastAsia="es-ES"/>
        </w:rPr>
        <w:t>rocede</w:t>
      </w:r>
      <w:r w:rsidR="00D85E84">
        <w:rPr>
          <w:rFonts w:ascii="ITC Avant Garde" w:eastAsia="Times New Roman" w:hAnsi="ITC Avant Garde"/>
          <w:lang w:eastAsia="es-ES"/>
        </w:rPr>
        <w:t>ncia de</w:t>
      </w:r>
      <w:r w:rsidR="000C1B37" w:rsidRPr="00C007AB">
        <w:rPr>
          <w:rFonts w:ascii="ITC Avant Garde" w:eastAsia="Times New Roman" w:hAnsi="ITC Avant Garde"/>
          <w:lang w:eastAsia="es-ES"/>
        </w:rPr>
        <w:t xml:space="preserve"> la </w:t>
      </w:r>
      <w:r w:rsidR="00F117A1" w:rsidRPr="00C007AB">
        <w:rPr>
          <w:rFonts w:ascii="ITC Avant Garde" w:eastAsia="Times New Roman" w:hAnsi="ITC Avant Garde"/>
          <w:lang w:eastAsia="es-ES"/>
        </w:rPr>
        <w:t>solicitud</w:t>
      </w:r>
      <w:r w:rsidR="00017C71" w:rsidRPr="00C007AB">
        <w:rPr>
          <w:rFonts w:ascii="ITC Avant Garde" w:eastAsia="Times New Roman" w:hAnsi="ITC Avant Garde"/>
          <w:lang w:eastAsia="es-ES"/>
        </w:rPr>
        <w:t xml:space="preserve"> presentada por el C. José Pérez Ramírez</w:t>
      </w:r>
      <w:r w:rsidR="00F117A1" w:rsidRPr="00C007AB">
        <w:rPr>
          <w:rFonts w:ascii="ITC Avant Garde" w:eastAsia="Times New Roman" w:hAnsi="ITC Avant Garde"/>
          <w:lang w:eastAsia="es-ES"/>
        </w:rPr>
        <w:t xml:space="preserve"> </w:t>
      </w:r>
      <w:r w:rsidR="00017C71" w:rsidRPr="00C007AB">
        <w:rPr>
          <w:rFonts w:ascii="ITC Avant Garde" w:eastAsia="Arial" w:hAnsi="ITC Avant Garde"/>
        </w:rPr>
        <w:t>para instalar, operar</w:t>
      </w:r>
      <w:r w:rsidR="00017C71" w:rsidRPr="00C007AB">
        <w:rPr>
          <w:rFonts w:ascii="ITC Avant Garde" w:hAnsi="ITC Avant Garde"/>
          <w:lang w:eastAsia="es-MX"/>
        </w:rPr>
        <w:t xml:space="preserve"> y explotar comercialmente la </w:t>
      </w:r>
      <w:r w:rsidR="00017C71" w:rsidRPr="00C007AB">
        <w:rPr>
          <w:rFonts w:ascii="ITC Avant Garde" w:hAnsi="ITC Avant Garde"/>
          <w:lang w:eastAsia="es-MX"/>
        </w:rPr>
        <w:lastRenderedPageBreak/>
        <w:t xml:space="preserve">frecuencia 98.9 MHz, con </w:t>
      </w:r>
      <w:r w:rsidR="008960DB">
        <w:rPr>
          <w:rFonts w:ascii="ITC Avant Garde" w:hAnsi="ITC Avant Garde"/>
          <w:lang w:eastAsia="es-MX"/>
        </w:rPr>
        <w:t>distintivo de llamada XHDGM-FM</w:t>
      </w:r>
      <w:r w:rsidR="00017C71" w:rsidRPr="00C007AB">
        <w:rPr>
          <w:rFonts w:ascii="ITC Avant Garde" w:hAnsi="ITC Avant Garde"/>
          <w:lang w:eastAsia="es-MX"/>
        </w:rPr>
        <w:t xml:space="preserve"> y población principal a servir Playa del Carmen, Quintana Roo</w:t>
      </w:r>
      <w:r w:rsidR="00E27468" w:rsidRPr="00C007AB">
        <w:rPr>
          <w:rFonts w:ascii="ITC Avant Garde" w:eastAsia="Times New Roman" w:hAnsi="ITC Avant Garde"/>
          <w:bCs/>
          <w:lang w:eastAsia="es-ES"/>
        </w:rPr>
        <w:t>.</w:t>
      </w:r>
    </w:p>
    <w:p w14:paraId="15DBA3F7" w14:textId="77777777" w:rsidR="00E94179" w:rsidRDefault="00E94179" w:rsidP="002D45C6">
      <w:pPr>
        <w:tabs>
          <w:tab w:val="left" w:pos="10065"/>
        </w:tabs>
        <w:spacing w:after="0" w:line="240" w:lineRule="auto"/>
        <w:ind w:right="-62"/>
        <w:contextualSpacing/>
        <w:jc w:val="both"/>
        <w:rPr>
          <w:rFonts w:ascii="ITC Avant Garde" w:eastAsia="Times New Roman" w:hAnsi="ITC Avant Garde"/>
          <w:bCs/>
          <w:lang w:eastAsia="es-ES"/>
        </w:rPr>
      </w:pPr>
    </w:p>
    <w:p w14:paraId="307005F9" w14:textId="77777777" w:rsidR="002D45C6" w:rsidRPr="00912F2D" w:rsidRDefault="002D45C6" w:rsidP="002D45C6">
      <w:pPr>
        <w:tabs>
          <w:tab w:val="left" w:pos="10065"/>
        </w:tabs>
        <w:spacing w:after="0" w:line="240" w:lineRule="auto"/>
        <w:ind w:right="-62"/>
        <w:contextualSpacing/>
        <w:jc w:val="both"/>
        <w:rPr>
          <w:rFonts w:ascii="ITC Avant Garde" w:eastAsia="Times New Roman" w:hAnsi="ITC Avant Garde"/>
          <w:bCs/>
          <w:lang w:eastAsia="es-ES"/>
        </w:rPr>
      </w:pPr>
    </w:p>
    <w:p w14:paraId="07626D75" w14:textId="77777777" w:rsidR="00495E4A" w:rsidRPr="00495E4A" w:rsidRDefault="005A094F" w:rsidP="00495E4A">
      <w:pPr>
        <w:tabs>
          <w:tab w:val="left" w:pos="10065"/>
        </w:tabs>
        <w:spacing w:after="0" w:line="240" w:lineRule="auto"/>
        <w:ind w:right="-62"/>
        <w:contextualSpacing/>
        <w:jc w:val="both"/>
        <w:rPr>
          <w:rFonts w:ascii="ITC Avant Garde" w:eastAsia="Times New Roman" w:hAnsi="ITC Avant Garde"/>
          <w:lang w:eastAsia="es-ES"/>
        </w:rPr>
      </w:pPr>
      <w:r w:rsidRPr="002D45C6">
        <w:rPr>
          <w:rFonts w:ascii="ITC Avant Garde" w:eastAsia="Times New Roman" w:hAnsi="ITC Avant Garde"/>
          <w:b/>
          <w:lang w:eastAsia="es-ES"/>
        </w:rPr>
        <w:t>QUINTO</w:t>
      </w:r>
      <w:r w:rsidR="005B59EB" w:rsidRPr="002D45C6">
        <w:rPr>
          <w:rFonts w:ascii="ITC Avant Garde" w:eastAsia="Times New Roman" w:hAnsi="ITC Avant Garde"/>
          <w:b/>
          <w:lang w:eastAsia="es-ES"/>
        </w:rPr>
        <w:t xml:space="preserve">.- </w:t>
      </w:r>
      <w:r w:rsidRPr="002D45C6">
        <w:rPr>
          <w:rFonts w:ascii="ITC Avant Garde" w:eastAsia="Times New Roman" w:hAnsi="ITC Avant Garde"/>
          <w:b/>
          <w:lang w:eastAsia="es-ES"/>
        </w:rPr>
        <w:t>Atención a lo señalado en el inciso b) del considerando Tercero de la presente Resolución</w:t>
      </w:r>
      <w:r w:rsidRPr="002D45C6">
        <w:rPr>
          <w:rFonts w:ascii="ITC Avant Garde" w:eastAsia="Times New Roman" w:hAnsi="ITC Avant Garde"/>
          <w:lang w:eastAsia="es-ES"/>
        </w:rPr>
        <w:t>.</w:t>
      </w:r>
      <w:r w:rsidRPr="002D45C6" w:rsidDel="002B739E">
        <w:rPr>
          <w:rFonts w:ascii="ITC Avant Garde" w:eastAsia="Times New Roman" w:hAnsi="ITC Avant Garde"/>
          <w:lang w:eastAsia="es-ES"/>
        </w:rPr>
        <w:t xml:space="preserve"> </w:t>
      </w:r>
      <w:r w:rsidR="00495E4A" w:rsidRPr="00495E4A">
        <w:rPr>
          <w:rFonts w:ascii="ITC Avant Garde" w:eastAsia="Times New Roman" w:hAnsi="ITC Avant Garde"/>
          <w:lang w:eastAsia="es-ES"/>
        </w:rPr>
        <w:t>En cumplimiento de la ejecutoria del R.A. 12/2016, una vez que ha dejado sin efectos la resolución contenida en el Acuerdo P/IFT/250815/390, y para asegurar su debido cumplimiento en los extremos que ordena, este Pleno instruye a la Unidad de Concesiones y Servicios a que realice el análisis y la revisión de la solicitud en comento, a la luz del procedimiento previsto en la Ley Federal de Radio y Televisión y, específicamente, en el Acuerdo de Susceptibilidad, evaluando en sus términos cualitativos y cuantitativos como lo son, entre otros, los elementos técnicos, programáticos y financieros a que se refiere el numeral 2 de dicho Acuerdo.</w:t>
      </w:r>
    </w:p>
    <w:p w14:paraId="660DE52A" w14:textId="77777777" w:rsidR="00495E4A" w:rsidRPr="00495E4A" w:rsidRDefault="00495E4A" w:rsidP="00495E4A">
      <w:pPr>
        <w:tabs>
          <w:tab w:val="left" w:pos="10065"/>
        </w:tabs>
        <w:spacing w:after="0" w:line="240" w:lineRule="auto"/>
        <w:ind w:right="-62"/>
        <w:contextualSpacing/>
        <w:jc w:val="both"/>
        <w:rPr>
          <w:rFonts w:ascii="ITC Avant Garde" w:eastAsia="Times New Roman" w:hAnsi="ITC Avant Garde"/>
          <w:lang w:eastAsia="es-ES"/>
        </w:rPr>
      </w:pPr>
      <w:r w:rsidRPr="00495E4A">
        <w:rPr>
          <w:rFonts w:ascii="ITC Avant Garde" w:eastAsia="Times New Roman" w:hAnsi="ITC Avant Garde"/>
          <w:lang w:eastAsia="es-ES"/>
        </w:rPr>
        <w:t xml:space="preserve"> </w:t>
      </w:r>
    </w:p>
    <w:p w14:paraId="3E1D56EC" w14:textId="77777777" w:rsidR="00495E4A" w:rsidRPr="00495E4A" w:rsidRDefault="00495E4A" w:rsidP="00495E4A">
      <w:pPr>
        <w:tabs>
          <w:tab w:val="left" w:pos="10065"/>
        </w:tabs>
        <w:spacing w:after="0" w:line="240" w:lineRule="auto"/>
        <w:ind w:right="-62"/>
        <w:contextualSpacing/>
        <w:jc w:val="both"/>
        <w:rPr>
          <w:rFonts w:ascii="ITC Avant Garde" w:eastAsia="Times New Roman" w:hAnsi="ITC Avant Garde"/>
          <w:lang w:eastAsia="es-ES"/>
        </w:rPr>
      </w:pPr>
      <w:r w:rsidRPr="00495E4A">
        <w:rPr>
          <w:rFonts w:ascii="ITC Avant Garde" w:eastAsia="Times New Roman" w:hAnsi="ITC Avant Garde"/>
          <w:lang w:eastAsia="es-ES"/>
        </w:rPr>
        <w:t>Asimismo y una vez realizado el análisis mencionado, la Unidad deberá someter a consideración del Pleno un proyecto que deberá atender a los términos ordenados por la ejecutoria recaída al juicio de amparo 1665/2015.</w:t>
      </w:r>
    </w:p>
    <w:p w14:paraId="069C6D56" w14:textId="77777777" w:rsidR="00495E4A" w:rsidRPr="00495E4A" w:rsidRDefault="00495E4A" w:rsidP="00495E4A">
      <w:pPr>
        <w:tabs>
          <w:tab w:val="left" w:pos="10065"/>
        </w:tabs>
        <w:spacing w:after="0" w:line="240" w:lineRule="auto"/>
        <w:ind w:right="-62"/>
        <w:contextualSpacing/>
        <w:jc w:val="both"/>
        <w:rPr>
          <w:rFonts w:ascii="ITC Avant Garde" w:eastAsia="Times New Roman" w:hAnsi="ITC Avant Garde"/>
          <w:lang w:eastAsia="es-ES"/>
        </w:rPr>
      </w:pPr>
      <w:r w:rsidRPr="00495E4A">
        <w:rPr>
          <w:rFonts w:ascii="ITC Avant Garde" w:eastAsia="Times New Roman" w:hAnsi="ITC Avant Garde"/>
          <w:lang w:eastAsia="es-ES"/>
        </w:rPr>
        <w:t xml:space="preserve"> </w:t>
      </w:r>
    </w:p>
    <w:p w14:paraId="1A433811" w14:textId="0AA470BF" w:rsidR="005B59EB" w:rsidRDefault="00495E4A" w:rsidP="00495E4A">
      <w:pPr>
        <w:tabs>
          <w:tab w:val="left" w:pos="10065"/>
        </w:tabs>
        <w:spacing w:after="0" w:line="240" w:lineRule="auto"/>
        <w:ind w:right="-62"/>
        <w:contextualSpacing/>
        <w:jc w:val="both"/>
        <w:rPr>
          <w:rFonts w:ascii="ITC Avant Garde" w:hAnsi="ITC Avant Garde"/>
          <w:lang w:val="es-ES" w:eastAsia="ar-SA"/>
        </w:rPr>
      </w:pPr>
      <w:r w:rsidRPr="00495E4A">
        <w:rPr>
          <w:rFonts w:ascii="ITC Avant Garde" w:eastAsia="Times New Roman" w:hAnsi="ITC Avant Garde"/>
          <w:lang w:eastAsia="es-ES"/>
        </w:rPr>
        <w:t>Por lo anterior, con fundamento en los artículos séptimo transitorio, segundo párrafo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relación con el sexto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17, 18 y 19 de la Ley Federal de Radio y Televisión (abrogada)</w:t>
      </w:r>
      <w:r w:rsidR="00804E93">
        <w:rPr>
          <w:rFonts w:ascii="ITC Avant Garde" w:eastAsia="Times New Roman" w:hAnsi="ITC Avant Garde"/>
          <w:lang w:eastAsia="es-ES"/>
        </w:rPr>
        <w:t>; el</w:t>
      </w:r>
      <w:r w:rsidRPr="00495E4A">
        <w:rPr>
          <w:rFonts w:ascii="ITC Avant Garde" w:eastAsia="Times New Roman" w:hAnsi="ITC Avant Garde"/>
          <w:lang w:eastAsia="es-ES"/>
        </w:rPr>
        <w:t xml:space="preserve"> “ACUERDO por el que se declaran susceptibles de operarse y explotarse diversas frecuencias atribuidas a radiodifusión” publicado en el Diario Oficial de la</w:t>
      </w:r>
      <w:r w:rsidR="00804E93">
        <w:rPr>
          <w:rFonts w:ascii="ITC Avant Garde" w:eastAsia="Times New Roman" w:hAnsi="ITC Avant Garde"/>
          <w:lang w:eastAsia="es-ES"/>
        </w:rPr>
        <w:t xml:space="preserve"> Federación el 10 abril de 2000;</w:t>
      </w:r>
      <w:r w:rsidRPr="00495E4A">
        <w:rPr>
          <w:rFonts w:ascii="ITC Avant Garde" w:eastAsia="Times New Roman" w:hAnsi="ITC Avant Garde"/>
          <w:lang w:eastAsia="es-ES"/>
        </w:rPr>
        <w:t xml:space="preserve"> 1, 2, 15 fracción IV, 16</w:t>
      </w:r>
      <w:r w:rsidR="00804E93">
        <w:rPr>
          <w:rFonts w:ascii="ITC Avant Garde" w:eastAsia="Times New Roman" w:hAnsi="ITC Avant Garde"/>
          <w:lang w:eastAsia="es-ES"/>
        </w:rPr>
        <w:t xml:space="preserve"> y</w:t>
      </w:r>
      <w:r w:rsidRPr="00495E4A">
        <w:rPr>
          <w:rFonts w:ascii="ITC Avant Garde" w:eastAsia="Times New Roman" w:hAnsi="ITC Avant Garde"/>
          <w:lang w:eastAsia="es-ES"/>
        </w:rPr>
        <w:t xml:space="preserve"> 17 fracción I de la Ley Federal de Telecomunicaciones y Radiodifusión; 35 fracción I, 36, 38 y 39 de la Ley Federal de</w:t>
      </w:r>
      <w:r>
        <w:rPr>
          <w:rFonts w:ascii="ITC Avant Garde" w:eastAsia="Times New Roman" w:hAnsi="ITC Avant Garde"/>
          <w:lang w:eastAsia="es-ES"/>
        </w:rPr>
        <w:t xml:space="preserve"> Procedimiento Administrativo;</w:t>
      </w:r>
      <w:r w:rsidRPr="00495E4A">
        <w:rPr>
          <w:rFonts w:ascii="ITC Avant Garde" w:eastAsia="Times New Roman" w:hAnsi="ITC Avant Garde"/>
          <w:lang w:eastAsia="es-ES"/>
        </w:rPr>
        <w:t xml:space="preserve"> 1, 4 fracción I, y 6 del Estatuto Orgánico del Instituto Federal de Telecomunicaciones</w:t>
      </w:r>
      <w:r w:rsidR="00E23FB3">
        <w:rPr>
          <w:rFonts w:ascii="ITC Avant Garde" w:eastAsia="Times New Roman" w:hAnsi="ITC Avant Garde"/>
          <w:lang w:eastAsia="es-ES"/>
        </w:rPr>
        <w:t>;</w:t>
      </w:r>
      <w:r>
        <w:rPr>
          <w:rFonts w:ascii="ITC Avant Garde" w:eastAsia="Times New Roman" w:hAnsi="ITC Avant Garde"/>
          <w:lang w:eastAsia="es-ES"/>
        </w:rPr>
        <w:t xml:space="preserve"> y</w:t>
      </w:r>
      <w:r w:rsidRPr="00495E4A">
        <w:rPr>
          <w:rFonts w:ascii="ITC Avant Garde" w:eastAsia="Times New Roman" w:hAnsi="ITC Avant Garde"/>
          <w:lang w:eastAsia="es-ES"/>
        </w:rPr>
        <w:t xml:space="preserve"> 2º de la Ley Federal de Procedimiento Administrativo vigente</w:t>
      </w:r>
      <w:r>
        <w:rPr>
          <w:rFonts w:ascii="ITC Avant Garde" w:eastAsia="Times New Roman" w:hAnsi="ITC Avant Garde"/>
          <w:lang w:eastAsia="es-ES"/>
        </w:rPr>
        <w:t xml:space="preserve"> en el</w:t>
      </w:r>
      <w:r w:rsidR="00E87CCC">
        <w:rPr>
          <w:rFonts w:ascii="ITC Avant Garde" w:eastAsia="Times New Roman" w:hAnsi="ITC Avant Garde"/>
          <w:lang w:eastAsia="es-ES"/>
        </w:rPr>
        <w:t xml:space="preserve"> año</w:t>
      </w:r>
      <w:r>
        <w:rPr>
          <w:rFonts w:ascii="ITC Avant Garde" w:eastAsia="Times New Roman" w:hAnsi="ITC Avant Garde"/>
          <w:lang w:eastAsia="es-ES"/>
        </w:rPr>
        <w:t xml:space="preserve"> 2000</w:t>
      </w:r>
      <w:r w:rsidRPr="00495E4A">
        <w:rPr>
          <w:rFonts w:ascii="ITC Avant Garde" w:eastAsia="Times New Roman" w:hAnsi="ITC Avant Garde"/>
          <w:lang w:eastAsia="es-ES"/>
        </w:rPr>
        <w:t>, este órgano autónomo emite los siguientes:</w:t>
      </w:r>
    </w:p>
    <w:p w14:paraId="6421E61E" w14:textId="77777777" w:rsidR="00495E4A" w:rsidRDefault="00495E4A" w:rsidP="002D45C6">
      <w:pPr>
        <w:spacing w:after="0" w:line="240" w:lineRule="auto"/>
        <w:jc w:val="center"/>
        <w:rPr>
          <w:rFonts w:ascii="ITC Avant Garde" w:hAnsi="ITC Avant Garde"/>
          <w:b/>
          <w:bCs/>
          <w:lang w:val="es-ES" w:eastAsia="ar-SA"/>
        </w:rPr>
      </w:pPr>
    </w:p>
    <w:p w14:paraId="1FCA9F12" w14:textId="77777777" w:rsidR="005B59EB" w:rsidRPr="008207B5" w:rsidRDefault="005B59EB" w:rsidP="008207B5">
      <w:pPr>
        <w:pStyle w:val="Ttulo2"/>
        <w:jc w:val="center"/>
        <w:rPr>
          <w:rFonts w:ascii="ITC Avant Garde" w:hAnsi="ITC Avant Garde"/>
          <w:color w:val="000000" w:themeColor="text1"/>
          <w:lang w:eastAsia="ar-SA"/>
        </w:rPr>
      </w:pPr>
      <w:r w:rsidRPr="008207B5">
        <w:rPr>
          <w:rFonts w:ascii="ITC Avant Garde" w:hAnsi="ITC Avant Garde"/>
          <w:b/>
          <w:color w:val="000000" w:themeColor="text1"/>
          <w:sz w:val="22"/>
          <w:szCs w:val="22"/>
        </w:rPr>
        <w:t>RESOLUTIVOS</w:t>
      </w:r>
      <w:r>
        <w:rPr>
          <w:rFonts w:ascii="ITC Avant Garde" w:hAnsi="ITC Avant Garde"/>
          <w:b/>
          <w:bCs/>
          <w:lang w:val="es-ES" w:eastAsia="ar-SA"/>
        </w:rPr>
        <w:t xml:space="preserve"> </w:t>
      </w:r>
    </w:p>
    <w:p w14:paraId="3B45468A" w14:textId="77777777" w:rsidR="005B59EB" w:rsidRDefault="005B59EB" w:rsidP="002D45C6">
      <w:pPr>
        <w:spacing w:after="0" w:line="240" w:lineRule="auto"/>
        <w:jc w:val="both"/>
        <w:rPr>
          <w:rFonts w:ascii="ITC Avant Garde" w:hAnsi="ITC Avant Garde"/>
          <w:lang w:eastAsia="ar-SA"/>
        </w:rPr>
      </w:pPr>
    </w:p>
    <w:p w14:paraId="6BAFDD2B" w14:textId="3D09D95F" w:rsidR="005B59EB" w:rsidRDefault="005B59EB" w:rsidP="002D45C6">
      <w:pPr>
        <w:spacing w:after="0" w:line="240" w:lineRule="auto"/>
        <w:jc w:val="both"/>
        <w:rPr>
          <w:rFonts w:ascii="ITC Avant Garde" w:hAnsi="ITC Avant Garde"/>
          <w:lang w:eastAsia="ar-SA"/>
        </w:rPr>
      </w:pPr>
      <w:r>
        <w:rPr>
          <w:rFonts w:ascii="ITC Avant Garde" w:hAnsi="ITC Avant Garde"/>
          <w:b/>
          <w:bCs/>
          <w:lang w:eastAsia="ar-SA"/>
        </w:rPr>
        <w:t>PRIMERO.-</w:t>
      </w:r>
      <w:r>
        <w:rPr>
          <w:rFonts w:ascii="ITC Avant Garde" w:hAnsi="ITC Avant Garde"/>
          <w:lang w:eastAsia="ar-SA"/>
        </w:rPr>
        <w:t xml:space="preserve"> Derivado de lo ordenado en la ejecutoria recaída al juicio de amparo </w:t>
      </w:r>
      <w:r>
        <w:rPr>
          <w:rFonts w:ascii="ITC Avant Garde" w:hAnsi="ITC Avant Garde"/>
          <w:b/>
          <w:bCs/>
          <w:lang w:eastAsia="ar-SA"/>
        </w:rPr>
        <w:t>1665/2015</w:t>
      </w:r>
      <w:r>
        <w:rPr>
          <w:rFonts w:ascii="ITC Avant Garde" w:hAnsi="ITC Avant Garde"/>
          <w:lang w:eastAsia="ar-SA"/>
        </w:rPr>
        <w:t xml:space="preserve"> emitida por la Juez Segundo</w:t>
      </w:r>
      <w:r w:rsidR="00066CD6">
        <w:rPr>
          <w:rFonts w:ascii="ITC Avant Garde" w:hAnsi="ITC Avant Garde"/>
          <w:lang w:eastAsia="ar-SA"/>
        </w:rPr>
        <w:t xml:space="preserve"> de Distrito en Materia Administrativa Especializado en Competencia Económica, Radiodifusión y Telecomunicaciones con residencia en </w:t>
      </w:r>
      <w:r w:rsidR="006701DA">
        <w:rPr>
          <w:rFonts w:ascii="ITC Avant Garde" w:hAnsi="ITC Avant Garde"/>
          <w:lang w:eastAsia="ar-SA"/>
        </w:rPr>
        <w:t>la Ciudad de México</w:t>
      </w:r>
      <w:r w:rsidR="00066CD6">
        <w:rPr>
          <w:rFonts w:ascii="ITC Avant Garde" w:hAnsi="ITC Avant Garde"/>
          <w:lang w:eastAsia="ar-SA"/>
        </w:rPr>
        <w:t xml:space="preserve"> y Jurisdicción en toda la República</w:t>
      </w:r>
      <w:r>
        <w:rPr>
          <w:rFonts w:ascii="ITC Avant Garde" w:hAnsi="ITC Avant Garde"/>
          <w:lang w:eastAsia="ar-SA"/>
        </w:rPr>
        <w:t xml:space="preserve">, </w:t>
      </w:r>
      <w:r>
        <w:rPr>
          <w:rFonts w:ascii="ITC Avant Garde" w:hAnsi="ITC Avant Garde"/>
          <w:b/>
          <w:bCs/>
          <w:lang w:eastAsia="ar-SA"/>
        </w:rPr>
        <w:t>se deja sin efectos</w:t>
      </w:r>
      <w:r>
        <w:rPr>
          <w:rFonts w:ascii="ITC Avant Garde" w:hAnsi="ITC Avant Garde"/>
          <w:lang w:eastAsia="ar-SA"/>
        </w:rPr>
        <w:t xml:space="preserve"> el Acuerdo aprobado en la XVII Sesión Ordinaria celebrada el 25 de agosto de 2015, bajo el número </w:t>
      </w:r>
      <w:r>
        <w:rPr>
          <w:rFonts w:ascii="ITC Avant Garde" w:hAnsi="ITC Avant Garde"/>
          <w:b/>
          <w:bCs/>
          <w:lang w:eastAsia="ar-SA"/>
        </w:rPr>
        <w:t>P/IFT/250815/390</w:t>
      </w:r>
      <w:r>
        <w:rPr>
          <w:rFonts w:ascii="ITC Avant Garde" w:hAnsi="ITC Avant Garde"/>
          <w:lang w:eastAsia="ar-SA"/>
        </w:rPr>
        <w:t xml:space="preserve">, mediante el cual el Pleno del </w:t>
      </w:r>
      <w:r>
        <w:rPr>
          <w:rFonts w:ascii="ITC Avant Garde" w:hAnsi="ITC Avant Garde"/>
          <w:lang w:eastAsia="ar-SA"/>
        </w:rPr>
        <w:lastRenderedPageBreak/>
        <w:t xml:space="preserve">Instituto Federal de Telecomunicaciones dio cumplimiento a la ejecutoria de amparo </w:t>
      </w:r>
      <w:r>
        <w:rPr>
          <w:rFonts w:ascii="ITC Avant Garde" w:hAnsi="ITC Avant Garde"/>
          <w:b/>
          <w:bCs/>
          <w:lang w:eastAsia="ar-SA"/>
        </w:rPr>
        <w:t>54/2015</w:t>
      </w:r>
      <w:r>
        <w:rPr>
          <w:rFonts w:ascii="ITC Avant Garde" w:hAnsi="ITC Avant Garde"/>
          <w:lang w:eastAsia="ar-SA"/>
        </w:rPr>
        <w:t xml:space="preserve"> radicado ante el Juzgado Segundo de Distrito en </w:t>
      </w:r>
      <w:r w:rsidR="00C1066F">
        <w:rPr>
          <w:rFonts w:ascii="ITC Avant Garde" w:hAnsi="ITC Avant Garde"/>
          <w:lang w:eastAsia="ar-SA"/>
        </w:rPr>
        <w:t>M</w:t>
      </w:r>
      <w:r>
        <w:rPr>
          <w:rFonts w:ascii="ITC Avant Garde" w:hAnsi="ITC Avant Garde"/>
          <w:lang w:eastAsia="ar-SA"/>
        </w:rPr>
        <w:t xml:space="preserve">ateria </w:t>
      </w:r>
      <w:r w:rsidR="00C1066F">
        <w:rPr>
          <w:rFonts w:ascii="ITC Avant Garde" w:hAnsi="ITC Avant Garde"/>
          <w:lang w:eastAsia="ar-SA"/>
        </w:rPr>
        <w:t>A</w:t>
      </w:r>
      <w:r>
        <w:rPr>
          <w:rFonts w:ascii="ITC Avant Garde" w:hAnsi="ITC Avant Garde"/>
          <w:lang w:eastAsia="ar-SA"/>
        </w:rPr>
        <w:t xml:space="preserve">dministrativa, especializado en </w:t>
      </w:r>
      <w:r w:rsidR="00C1066F">
        <w:rPr>
          <w:rFonts w:ascii="ITC Avant Garde" w:hAnsi="ITC Avant Garde"/>
          <w:lang w:eastAsia="ar-SA"/>
        </w:rPr>
        <w:t>C</w:t>
      </w:r>
      <w:r>
        <w:rPr>
          <w:rFonts w:ascii="ITC Avant Garde" w:hAnsi="ITC Avant Garde"/>
          <w:lang w:eastAsia="ar-SA"/>
        </w:rPr>
        <w:t xml:space="preserve">ompetencia </w:t>
      </w:r>
      <w:r w:rsidR="00C1066F">
        <w:rPr>
          <w:rFonts w:ascii="ITC Avant Garde" w:hAnsi="ITC Avant Garde"/>
          <w:lang w:eastAsia="ar-SA"/>
        </w:rPr>
        <w:t>E</w:t>
      </w:r>
      <w:r>
        <w:rPr>
          <w:rFonts w:ascii="ITC Avant Garde" w:hAnsi="ITC Avant Garde"/>
          <w:lang w:eastAsia="ar-SA"/>
        </w:rPr>
        <w:t xml:space="preserve">conómica, </w:t>
      </w:r>
      <w:r w:rsidR="00C1066F">
        <w:rPr>
          <w:rFonts w:ascii="ITC Avant Garde" w:hAnsi="ITC Avant Garde"/>
          <w:lang w:eastAsia="ar-SA"/>
        </w:rPr>
        <w:t>R</w:t>
      </w:r>
      <w:r>
        <w:rPr>
          <w:rFonts w:ascii="ITC Avant Garde" w:hAnsi="ITC Avant Garde"/>
          <w:lang w:eastAsia="ar-SA"/>
        </w:rPr>
        <w:t xml:space="preserve">adiodifusión y </w:t>
      </w:r>
      <w:r w:rsidR="00C1066F">
        <w:rPr>
          <w:rFonts w:ascii="ITC Avant Garde" w:hAnsi="ITC Avant Garde"/>
          <w:lang w:eastAsia="ar-SA"/>
        </w:rPr>
        <w:t>T</w:t>
      </w:r>
      <w:r>
        <w:rPr>
          <w:rFonts w:ascii="ITC Avant Garde" w:hAnsi="ITC Avant Garde"/>
          <w:lang w:eastAsia="ar-SA"/>
        </w:rPr>
        <w:t xml:space="preserve">elecomunicaciones, con residencia en </w:t>
      </w:r>
      <w:r w:rsidR="006701DA">
        <w:rPr>
          <w:rFonts w:ascii="ITC Avant Garde" w:hAnsi="ITC Avant Garde"/>
          <w:lang w:eastAsia="ar-SA"/>
        </w:rPr>
        <w:t>la Ciudad de México</w:t>
      </w:r>
      <w:r>
        <w:rPr>
          <w:rFonts w:ascii="ITC Avant Garde" w:hAnsi="ITC Avant Garde"/>
          <w:lang w:eastAsia="ar-SA"/>
        </w:rPr>
        <w:t xml:space="preserve"> y jurisdicción en toda la República.</w:t>
      </w:r>
    </w:p>
    <w:p w14:paraId="54C4ADEF" w14:textId="77777777" w:rsidR="005B59EB" w:rsidRDefault="005B59EB" w:rsidP="002D45C6">
      <w:pPr>
        <w:spacing w:after="0" w:line="240" w:lineRule="auto"/>
        <w:jc w:val="both"/>
        <w:rPr>
          <w:rFonts w:ascii="ITC Avant Garde" w:hAnsi="ITC Avant Garde"/>
          <w:lang w:eastAsia="ar-SA"/>
        </w:rPr>
      </w:pPr>
    </w:p>
    <w:p w14:paraId="4DDA50E7" w14:textId="295841CA" w:rsidR="00752A5D" w:rsidRPr="002D45C6" w:rsidRDefault="005B59EB" w:rsidP="002D45C6">
      <w:pPr>
        <w:spacing w:after="0" w:line="240" w:lineRule="auto"/>
        <w:jc w:val="both"/>
        <w:rPr>
          <w:rFonts w:ascii="ITC Avant Garde" w:hAnsi="ITC Avant Garde"/>
          <w:lang w:eastAsia="ar-SA"/>
        </w:rPr>
      </w:pPr>
      <w:r w:rsidRPr="002D45C6">
        <w:rPr>
          <w:rFonts w:ascii="ITC Avant Garde" w:hAnsi="ITC Avant Garde"/>
          <w:b/>
          <w:bCs/>
          <w:lang w:val="es-ES" w:eastAsia="ar-SA"/>
        </w:rPr>
        <w:t>SEGUNDO.</w:t>
      </w:r>
      <w:r w:rsidRPr="002D45C6">
        <w:rPr>
          <w:rFonts w:ascii="ITC Avant Garde" w:hAnsi="ITC Avant Garde"/>
          <w:lang w:val="es-ES" w:eastAsia="ar-SA"/>
        </w:rPr>
        <w:t xml:space="preserve"> </w:t>
      </w:r>
      <w:r w:rsidR="00495E4A" w:rsidRPr="00495E4A">
        <w:rPr>
          <w:rFonts w:ascii="ITC Avant Garde" w:hAnsi="ITC Avant Garde"/>
          <w:lang w:val="es-ES" w:eastAsia="ar-SA"/>
        </w:rPr>
        <w:t>A fin de que este Pleno del Instituto se encuentre en posibilidad de emitir una nueva decisión respecto a la solicitud de concesión en los términos ordenados por la ejecutoria recaída al juicio de amparo 1665/2015, emitida por el Juzgado Segundo</w:t>
      </w:r>
      <w:r w:rsidR="002636A7">
        <w:rPr>
          <w:rFonts w:ascii="ITC Avant Garde" w:hAnsi="ITC Avant Garde"/>
          <w:lang w:val="es-ES" w:eastAsia="ar-SA"/>
        </w:rPr>
        <w:t xml:space="preserve"> de</w:t>
      </w:r>
      <w:r w:rsidR="00495E4A" w:rsidRPr="00495E4A">
        <w:rPr>
          <w:rFonts w:ascii="ITC Avant Garde" w:hAnsi="ITC Avant Garde"/>
          <w:lang w:val="es-ES" w:eastAsia="ar-SA"/>
        </w:rPr>
        <w:t xml:space="preserve"> Distrito en </w:t>
      </w:r>
      <w:r w:rsidR="002636A7">
        <w:rPr>
          <w:rFonts w:ascii="ITC Avant Garde" w:hAnsi="ITC Avant Garde"/>
          <w:lang w:val="es-ES" w:eastAsia="ar-SA"/>
        </w:rPr>
        <w:t>M</w:t>
      </w:r>
      <w:r w:rsidR="00495E4A" w:rsidRPr="00495E4A">
        <w:rPr>
          <w:rFonts w:ascii="ITC Avant Garde" w:hAnsi="ITC Avant Garde"/>
          <w:lang w:val="es-ES" w:eastAsia="ar-SA"/>
        </w:rPr>
        <w:t xml:space="preserve">ateria </w:t>
      </w:r>
      <w:r w:rsidR="002636A7">
        <w:rPr>
          <w:rFonts w:ascii="ITC Avant Garde" w:hAnsi="ITC Avant Garde"/>
          <w:lang w:val="es-ES" w:eastAsia="ar-SA"/>
        </w:rPr>
        <w:t>A</w:t>
      </w:r>
      <w:r w:rsidR="00495E4A" w:rsidRPr="00495E4A">
        <w:rPr>
          <w:rFonts w:ascii="ITC Avant Garde" w:hAnsi="ITC Avant Garde"/>
          <w:lang w:val="es-ES" w:eastAsia="ar-SA"/>
        </w:rPr>
        <w:t xml:space="preserve">dministrativa, especializado en </w:t>
      </w:r>
      <w:r w:rsidR="00C1066F">
        <w:rPr>
          <w:rFonts w:ascii="ITC Avant Garde" w:hAnsi="ITC Avant Garde"/>
          <w:lang w:val="es-ES" w:eastAsia="ar-SA"/>
        </w:rPr>
        <w:t>C</w:t>
      </w:r>
      <w:r w:rsidR="00495E4A" w:rsidRPr="00495E4A">
        <w:rPr>
          <w:rFonts w:ascii="ITC Avant Garde" w:hAnsi="ITC Avant Garde"/>
          <w:lang w:val="es-ES" w:eastAsia="ar-SA"/>
        </w:rPr>
        <w:t xml:space="preserve">ompetencia </w:t>
      </w:r>
      <w:r w:rsidR="00C1066F">
        <w:rPr>
          <w:rFonts w:ascii="ITC Avant Garde" w:hAnsi="ITC Avant Garde"/>
          <w:lang w:val="es-ES" w:eastAsia="ar-SA"/>
        </w:rPr>
        <w:t>E</w:t>
      </w:r>
      <w:r w:rsidR="00495E4A" w:rsidRPr="00495E4A">
        <w:rPr>
          <w:rFonts w:ascii="ITC Avant Garde" w:hAnsi="ITC Avant Garde"/>
          <w:lang w:val="es-ES" w:eastAsia="ar-SA"/>
        </w:rPr>
        <w:t xml:space="preserve">conómica, </w:t>
      </w:r>
      <w:r w:rsidR="00C1066F">
        <w:rPr>
          <w:rFonts w:ascii="ITC Avant Garde" w:hAnsi="ITC Avant Garde"/>
          <w:lang w:val="es-ES" w:eastAsia="ar-SA"/>
        </w:rPr>
        <w:t>R</w:t>
      </w:r>
      <w:r w:rsidR="00495E4A" w:rsidRPr="00495E4A">
        <w:rPr>
          <w:rFonts w:ascii="ITC Avant Garde" w:hAnsi="ITC Avant Garde"/>
          <w:lang w:val="es-ES" w:eastAsia="ar-SA"/>
        </w:rPr>
        <w:t xml:space="preserve">adiodifusión y </w:t>
      </w:r>
      <w:r w:rsidR="00C1066F">
        <w:rPr>
          <w:rFonts w:ascii="ITC Avant Garde" w:hAnsi="ITC Avant Garde"/>
          <w:lang w:val="es-ES" w:eastAsia="ar-SA"/>
        </w:rPr>
        <w:t>T</w:t>
      </w:r>
      <w:r w:rsidR="00495E4A" w:rsidRPr="00495E4A">
        <w:rPr>
          <w:rFonts w:ascii="ITC Avant Garde" w:hAnsi="ITC Avant Garde"/>
          <w:lang w:val="es-ES" w:eastAsia="ar-SA"/>
        </w:rPr>
        <w:t xml:space="preserve">elecomunicaciones, con residencia en </w:t>
      </w:r>
      <w:r w:rsidR="006701DA">
        <w:rPr>
          <w:rFonts w:ascii="ITC Avant Garde" w:hAnsi="ITC Avant Garde"/>
          <w:lang w:val="es-ES" w:eastAsia="ar-SA"/>
        </w:rPr>
        <w:t>la Ciudad de México</w:t>
      </w:r>
      <w:r w:rsidR="00495E4A" w:rsidRPr="00495E4A">
        <w:rPr>
          <w:rFonts w:ascii="ITC Avant Garde" w:hAnsi="ITC Avant Garde"/>
          <w:lang w:val="es-ES" w:eastAsia="ar-SA"/>
        </w:rPr>
        <w:t xml:space="preserve"> y jurisdicción en toda la República, se instruye a la Unidad de Concesiones y Servicios a que realice el análisis de la solicitud presentada por José Pérez Ramírez, para instalar, operar y explotar comercialmente la frecuencia 98.9 MHz, con distintivo de llamada XHDGM-FM y población principal a servir en Playa del Carmen, Quintana Roo, con el propósito de que evalué el cumplimiento de los requisitos vigentes al momento de su presentación y en su momento someta a consideración del Pleno el proyecto que corresponda en los términos ordenados por la ejecutoria señalada</w:t>
      </w:r>
      <w:r w:rsidR="00752A5D" w:rsidRPr="002D45C6">
        <w:rPr>
          <w:rFonts w:ascii="ITC Avant Garde" w:hAnsi="ITC Avant Garde"/>
          <w:lang w:eastAsia="ar-SA"/>
        </w:rPr>
        <w:t>.</w:t>
      </w:r>
    </w:p>
    <w:p w14:paraId="0D59BE39" w14:textId="77777777" w:rsidR="005B59EB" w:rsidRDefault="005B59EB" w:rsidP="002D45C6">
      <w:pPr>
        <w:spacing w:after="0" w:line="240" w:lineRule="auto"/>
        <w:jc w:val="both"/>
        <w:rPr>
          <w:rFonts w:ascii="ITC Avant Garde" w:hAnsi="ITC Avant Garde"/>
          <w:lang w:val="es-ES" w:eastAsia="ar-SA"/>
        </w:rPr>
      </w:pPr>
    </w:p>
    <w:p w14:paraId="4105C1CE" w14:textId="71FA7633" w:rsidR="005B59EB" w:rsidRPr="002D45C6" w:rsidRDefault="005B59EB" w:rsidP="002D45C6">
      <w:pPr>
        <w:spacing w:after="0" w:line="240" w:lineRule="auto"/>
        <w:jc w:val="both"/>
        <w:rPr>
          <w:rFonts w:ascii="ITC Avant Garde" w:hAnsi="ITC Avant Garde"/>
          <w:lang w:eastAsia="ar-SA"/>
        </w:rPr>
      </w:pPr>
      <w:r w:rsidRPr="002D45C6">
        <w:rPr>
          <w:rFonts w:ascii="ITC Avant Garde" w:hAnsi="ITC Avant Garde"/>
          <w:b/>
          <w:bCs/>
          <w:lang w:val="es-ES" w:eastAsia="ar-SA"/>
        </w:rPr>
        <w:t>TERCERO</w:t>
      </w:r>
      <w:r w:rsidRPr="002D45C6">
        <w:rPr>
          <w:rFonts w:ascii="ITC Avant Garde" w:hAnsi="ITC Avant Garde"/>
          <w:lang w:val="es-ES" w:eastAsia="ar-SA"/>
        </w:rPr>
        <w:t xml:space="preserve">.- </w:t>
      </w:r>
      <w:r w:rsidRPr="002D45C6">
        <w:rPr>
          <w:rFonts w:ascii="ITC Avant Garde" w:hAnsi="ITC Avant Garde"/>
          <w:lang w:eastAsia="ar-SA"/>
        </w:rPr>
        <w:t xml:space="preserve">Se instruye a la Unidad de Concesiones y Servicios a notificar personalmente al C. </w:t>
      </w:r>
      <w:r w:rsidRPr="002D45C6">
        <w:rPr>
          <w:rFonts w:ascii="ITC Avant Garde" w:hAnsi="ITC Avant Garde"/>
          <w:b/>
          <w:bCs/>
          <w:lang w:eastAsia="ar-SA"/>
        </w:rPr>
        <w:t>José Pérez Ramírez</w:t>
      </w:r>
      <w:r w:rsidRPr="002D45C6">
        <w:rPr>
          <w:rFonts w:ascii="ITC Avant Garde" w:hAnsi="ITC Avant Garde"/>
          <w:lang w:eastAsia="ar-SA"/>
        </w:rPr>
        <w:t xml:space="preserve"> el contenido de la presente resolución.</w:t>
      </w:r>
    </w:p>
    <w:p w14:paraId="14E8DF32" w14:textId="77777777" w:rsidR="005B59EB" w:rsidRDefault="005B59EB" w:rsidP="002D45C6">
      <w:pPr>
        <w:spacing w:after="0" w:line="240" w:lineRule="auto"/>
        <w:jc w:val="both"/>
        <w:rPr>
          <w:rFonts w:ascii="ITC Avant Garde" w:hAnsi="ITC Avant Garde"/>
          <w:lang w:val="es-ES" w:eastAsia="ar-SA"/>
        </w:rPr>
      </w:pPr>
    </w:p>
    <w:p w14:paraId="44C72F18" w14:textId="39E0B807" w:rsidR="005B59EB" w:rsidRDefault="00752A5D" w:rsidP="002D45C6">
      <w:pPr>
        <w:spacing w:after="0" w:line="240" w:lineRule="auto"/>
        <w:jc w:val="both"/>
        <w:rPr>
          <w:rFonts w:ascii="ITC Avant Garde" w:hAnsi="ITC Avant Garde"/>
          <w:lang w:eastAsia="ar-SA"/>
        </w:rPr>
      </w:pPr>
      <w:r w:rsidRPr="002D45C6">
        <w:rPr>
          <w:rFonts w:ascii="ITC Avant Garde" w:hAnsi="ITC Avant Garde"/>
          <w:b/>
          <w:bCs/>
          <w:lang w:val="es-ES" w:eastAsia="ar-SA"/>
        </w:rPr>
        <w:t>CUARTO</w:t>
      </w:r>
      <w:r w:rsidR="005B59EB" w:rsidRPr="002D45C6">
        <w:rPr>
          <w:rFonts w:ascii="ITC Avant Garde" w:hAnsi="ITC Avant Garde"/>
          <w:lang w:val="es-ES" w:eastAsia="ar-SA"/>
        </w:rPr>
        <w:t xml:space="preserve">.- Se instruye a la Unidad de Asuntos Jurídicos, para que una vez que reciba copia certificada de la presente resolución, así como de </w:t>
      </w:r>
      <w:r w:rsidR="00605575" w:rsidRPr="002D45C6">
        <w:rPr>
          <w:rFonts w:ascii="ITC Avant Garde" w:hAnsi="ITC Avant Garde"/>
          <w:lang w:val="es-ES" w:eastAsia="ar-SA"/>
        </w:rPr>
        <w:t>sus</w:t>
      </w:r>
      <w:r w:rsidR="005B59EB" w:rsidRPr="002D45C6">
        <w:rPr>
          <w:rFonts w:ascii="ITC Avant Garde" w:hAnsi="ITC Avant Garde"/>
          <w:lang w:val="es-ES" w:eastAsia="ar-SA"/>
        </w:rPr>
        <w:t xml:space="preserve"> constancias de notificación por parte de la Unidad de Concesiones y Servicios, gire oficio al </w:t>
      </w:r>
      <w:r w:rsidR="005B59EB" w:rsidRPr="002D45C6">
        <w:rPr>
          <w:rFonts w:ascii="ITC Avant Garde" w:hAnsi="ITC Avant Garde"/>
          <w:lang w:eastAsia="ar-SA"/>
        </w:rPr>
        <w:t>Juzgado Segundo</w:t>
      </w:r>
      <w:r w:rsidR="00C1066F">
        <w:rPr>
          <w:rFonts w:ascii="ITC Avant Garde" w:hAnsi="ITC Avant Garde"/>
          <w:lang w:eastAsia="ar-SA"/>
        </w:rPr>
        <w:t xml:space="preserve"> de</w:t>
      </w:r>
      <w:r w:rsidR="005B59EB" w:rsidRPr="002D45C6">
        <w:rPr>
          <w:rFonts w:ascii="ITC Avant Garde" w:hAnsi="ITC Avant Garde"/>
          <w:lang w:eastAsia="ar-SA"/>
        </w:rPr>
        <w:t xml:space="preserve"> Distrito en Materia Administrativa, Especializado en Competencia Económica, Radiodifusión y Telecomunicaciones, con residencia en </w:t>
      </w:r>
      <w:r w:rsidR="006701DA">
        <w:rPr>
          <w:rFonts w:ascii="ITC Avant Garde" w:hAnsi="ITC Avant Garde"/>
          <w:lang w:eastAsia="ar-SA"/>
        </w:rPr>
        <w:t>la Ciudad de México</w:t>
      </w:r>
      <w:r w:rsidR="005B59EB" w:rsidRPr="002D45C6">
        <w:rPr>
          <w:rFonts w:ascii="ITC Avant Garde" w:hAnsi="ITC Avant Garde"/>
          <w:lang w:eastAsia="ar-SA"/>
        </w:rPr>
        <w:t xml:space="preserve"> y Jurisdicción en toda la República, en los autos del juicio </w:t>
      </w:r>
      <w:r w:rsidR="005B59EB" w:rsidRPr="002D45C6">
        <w:rPr>
          <w:rFonts w:ascii="ITC Avant Garde" w:hAnsi="ITC Avant Garde"/>
          <w:b/>
          <w:bCs/>
          <w:lang w:eastAsia="ar-SA"/>
        </w:rPr>
        <w:t>1665/2015</w:t>
      </w:r>
      <w:r w:rsidR="005B59EB" w:rsidRPr="002D45C6">
        <w:rPr>
          <w:rFonts w:ascii="ITC Avant Garde" w:hAnsi="ITC Avant Garde"/>
          <w:lang w:eastAsia="ar-SA"/>
        </w:rPr>
        <w:t xml:space="preserve">, a efecto de informar y acreditar el debido cumplimiento a la ejecutoria dictada por el Segundo Tribunal Colegiado de Circuito en Materia Administrativa Especializado en Competencia Económica, Radiodifusión y Telecomunicaciones con residencia en </w:t>
      </w:r>
      <w:r w:rsidR="006701DA">
        <w:rPr>
          <w:rFonts w:ascii="ITC Avant Garde" w:hAnsi="ITC Avant Garde"/>
          <w:lang w:eastAsia="ar-SA"/>
        </w:rPr>
        <w:t>la Ciudad de México</w:t>
      </w:r>
      <w:r w:rsidR="005B59EB" w:rsidRPr="002D45C6">
        <w:rPr>
          <w:rFonts w:ascii="ITC Avant Garde" w:hAnsi="ITC Avant Garde"/>
          <w:lang w:eastAsia="ar-SA"/>
        </w:rPr>
        <w:t xml:space="preserve"> y Jurisdicción en toda la República en el expediente </w:t>
      </w:r>
      <w:r w:rsidR="005B59EB" w:rsidRPr="002D45C6">
        <w:rPr>
          <w:rFonts w:ascii="ITC Avant Garde" w:hAnsi="ITC Avant Garde"/>
          <w:b/>
          <w:bCs/>
          <w:lang w:eastAsia="ar-SA"/>
        </w:rPr>
        <w:t>R.A. 12/2016</w:t>
      </w:r>
      <w:r w:rsidR="005B59EB" w:rsidRPr="002D45C6">
        <w:rPr>
          <w:rFonts w:ascii="ITC Avant Garde" w:hAnsi="ITC Avant Garde"/>
          <w:lang w:eastAsia="ar-SA"/>
        </w:rPr>
        <w:t>.</w:t>
      </w:r>
    </w:p>
    <w:p w14:paraId="3A12D419" w14:textId="77777777" w:rsidR="00E17946" w:rsidRDefault="00E17946" w:rsidP="00E17946">
      <w:pPr>
        <w:pStyle w:val="Sinespaciado"/>
        <w:jc w:val="both"/>
        <w:rPr>
          <w:rFonts w:ascii="ITC Avant Garde" w:hAnsi="ITC Avant Garde"/>
          <w:sz w:val="14"/>
        </w:rPr>
      </w:pPr>
    </w:p>
    <w:p w14:paraId="07C12082" w14:textId="3A859D00" w:rsidR="00E17946" w:rsidRPr="008207B5" w:rsidRDefault="00E17946" w:rsidP="008207B5">
      <w:pPr>
        <w:pStyle w:val="Sinespaciado"/>
        <w:jc w:val="both"/>
        <w:rPr>
          <w:rFonts w:ascii="ITC Avant Garde" w:eastAsia="Times New Roman" w:hAnsi="ITC Avant Garde"/>
          <w:sz w:val="14"/>
        </w:rPr>
      </w:pPr>
      <w:r w:rsidRPr="00E17946">
        <w:rPr>
          <w:rFonts w:ascii="ITC Avant Garde" w:hAnsi="ITC Avant Garde"/>
          <w:sz w:val="14"/>
        </w:rPr>
        <w:t>La presente Resolución fue aprobada por el Pleno del Instituto Federal de Telecomunicaciones en su X Sesión Ordinaria celebrada el 20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P/IFT/200416/161.</w:t>
      </w:r>
    </w:p>
    <w:sectPr w:rsidR="00E17946" w:rsidRPr="008207B5" w:rsidSect="002D45C6">
      <w:headerReference w:type="even" r:id="rId8"/>
      <w:footerReference w:type="default" r:id="rId9"/>
      <w:headerReference w:type="first" r:id="rId10"/>
      <w:pgSz w:w="12240" w:h="15840"/>
      <w:pgMar w:top="1985" w:right="1701" w:bottom="1276" w:left="1701" w:header="708" w:footer="98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8184D" w14:textId="77777777" w:rsidR="00A608FE" w:rsidRDefault="00A608FE">
      <w:pPr>
        <w:spacing w:after="0" w:line="240" w:lineRule="auto"/>
      </w:pPr>
      <w:r>
        <w:separator/>
      </w:r>
    </w:p>
  </w:endnote>
  <w:endnote w:type="continuationSeparator" w:id="0">
    <w:p w14:paraId="678B5B59" w14:textId="77777777" w:rsidR="00A608FE" w:rsidRDefault="00A6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824336"/>
      <w:docPartObj>
        <w:docPartGallery w:val="Page Numbers (Bottom of Page)"/>
        <w:docPartUnique/>
      </w:docPartObj>
    </w:sdtPr>
    <w:sdtEndPr>
      <w:rPr>
        <w:rFonts w:ascii="ITC Avant Garde" w:hAnsi="ITC Avant Garde"/>
        <w:sz w:val="20"/>
        <w:szCs w:val="20"/>
      </w:rPr>
    </w:sdtEndPr>
    <w:sdtContent>
      <w:p w14:paraId="0D02A620" w14:textId="77777777" w:rsidR="004B05A4" w:rsidRPr="002D45C6" w:rsidRDefault="004B05A4">
        <w:pPr>
          <w:pStyle w:val="Piedepgina"/>
          <w:jc w:val="right"/>
          <w:rPr>
            <w:rFonts w:ascii="ITC Avant Garde" w:hAnsi="ITC Avant Garde"/>
            <w:sz w:val="20"/>
            <w:szCs w:val="20"/>
          </w:rPr>
        </w:pPr>
        <w:r w:rsidRPr="002D45C6">
          <w:rPr>
            <w:rFonts w:ascii="ITC Avant Garde" w:hAnsi="ITC Avant Garde"/>
            <w:sz w:val="20"/>
            <w:szCs w:val="20"/>
          </w:rPr>
          <w:fldChar w:fldCharType="begin"/>
        </w:r>
        <w:r w:rsidRPr="002D45C6">
          <w:rPr>
            <w:rFonts w:ascii="ITC Avant Garde" w:hAnsi="ITC Avant Garde"/>
            <w:sz w:val="20"/>
            <w:szCs w:val="20"/>
          </w:rPr>
          <w:instrText>PAGE   \* MERGEFORMAT</w:instrText>
        </w:r>
        <w:r w:rsidRPr="002D45C6">
          <w:rPr>
            <w:rFonts w:ascii="ITC Avant Garde" w:hAnsi="ITC Avant Garde"/>
            <w:sz w:val="20"/>
            <w:szCs w:val="20"/>
          </w:rPr>
          <w:fldChar w:fldCharType="separate"/>
        </w:r>
        <w:r w:rsidR="00865E30" w:rsidRPr="00865E30">
          <w:rPr>
            <w:rFonts w:ascii="ITC Avant Garde" w:hAnsi="ITC Avant Garde"/>
            <w:noProof/>
            <w:sz w:val="20"/>
            <w:szCs w:val="20"/>
            <w:lang w:val="es-ES"/>
          </w:rPr>
          <w:t>10</w:t>
        </w:r>
        <w:r w:rsidRPr="002D45C6">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E7642" w14:textId="77777777" w:rsidR="00A608FE" w:rsidRDefault="00A608FE">
      <w:pPr>
        <w:spacing w:after="0" w:line="240" w:lineRule="auto"/>
      </w:pPr>
      <w:r>
        <w:separator/>
      </w:r>
    </w:p>
  </w:footnote>
  <w:footnote w:type="continuationSeparator" w:id="0">
    <w:p w14:paraId="53BCE9B1" w14:textId="77777777" w:rsidR="00A608FE" w:rsidRDefault="00A60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E6733" w14:textId="0518AE8C" w:rsidR="004B05A4" w:rsidRDefault="004B05A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3A5" w14:textId="3D2D1202" w:rsidR="004B05A4" w:rsidRDefault="004B05A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C414C4"/>
    <w:multiLevelType w:val="hybridMultilevel"/>
    <w:tmpl w:val="F460A30C"/>
    <w:lvl w:ilvl="0" w:tplc="8124B172">
      <w:start w:val="1"/>
      <w:numFmt w:val="upperRoman"/>
      <w:lvlText w:val="%1."/>
      <w:lvlJc w:val="right"/>
      <w:pPr>
        <w:ind w:left="720" w:hanging="360"/>
      </w:pPr>
      <w:rPr>
        <w:rFonts w:cs="Times New Roman"/>
        <w:b/>
        <w:i w:val="0"/>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15:restartNumberingAfterBreak="0">
    <w:nsid w:val="06DB3602"/>
    <w:multiLevelType w:val="hybridMultilevel"/>
    <w:tmpl w:val="F142F67E"/>
    <w:lvl w:ilvl="0" w:tplc="24F056D0">
      <w:start w:val="1"/>
      <w:numFmt w:val="upperRoman"/>
      <w:lvlText w:val="%1."/>
      <w:lvlJc w:val="left"/>
      <w:pPr>
        <w:ind w:left="1080" w:hanging="720"/>
      </w:pPr>
      <w:rPr>
        <w:rFonts w:hint="default"/>
        <w:b/>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8B5B09"/>
    <w:multiLevelType w:val="hybridMultilevel"/>
    <w:tmpl w:val="32EC05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50135F"/>
    <w:multiLevelType w:val="hybridMultilevel"/>
    <w:tmpl w:val="A5D8EBBC"/>
    <w:lvl w:ilvl="0" w:tplc="080A0001">
      <w:start w:val="1"/>
      <w:numFmt w:val="bullet"/>
      <w:lvlText w:val=""/>
      <w:lvlJc w:val="left"/>
      <w:pPr>
        <w:ind w:left="720" w:hanging="360"/>
      </w:pPr>
      <w:rPr>
        <w:rFonts w:ascii="Symbol" w:hAnsi="Symbol" w:hint="default"/>
      </w:rPr>
    </w:lvl>
    <w:lvl w:ilvl="1" w:tplc="3A02C94A">
      <w:start w:val="13"/>
      <w:numFmt w:val="bullet"/>
      <w:lvlText w:val="•"/>
      <w:lvlJc w:val="left"/>
      <w:pPr>
        <w:ind w:left="1440" w:hanging="360"/>
      </w:pPr>
      <w:rPr>
        <w:rFonts w:ascii="ITC Avant Garde" w:eastAsia="Times New Roman" w:hAnsi="ITC Avant Garde"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042884"/>
    <w:multiLevelType w:val="hybridMultilevel"/>
    <w:tmpl w:val="6BCAC530"/>
    <w:lvl w:ilvl="0" w:tplc="70B41A3A">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B62C81"/>
    <w:multiLevelType w:val="hybridMultilevel"/>
    <w:tmpl w:val="FE84B4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5D4E56"/>
    <w:multiLevelType w:val="hybridMultilevel"/>
    <w:tmpl w:val="57828D44"/>
    <w:lvl w:ilvl="0" w:tplc="B2FE3F3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33C43F1"/>
    <w:multiLevelType w:val="hybridMultilevel"/>
    <w:tmpl w:val="E3E8BC08"/>
    <w:lvl w:ilvl="0" w:tplc="C4DA64F0">
      <w:start w:val="1"/>
      <w:numFmt w:val="lowerLetter"/>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3125BC"/>
    <w:multiLevelType w:val="hybridMultilevel"/>
    <w:tmpl w:val="991C4A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EA46C00"/>
    <w:multiLevelType w:val="hybridMultilevel"/>
    <w:tmpl w:val="9BEE63E8"/>
    <w:lvl w:ilvl="0" w:tplc="A7481CDC">
      <w:start w:val="5"/>
      <w:numFmt w:val="upperRoman"/>
      <w:lvlText w:val="%1."/>
      <w:lvlJc w:val="left"/>
      <w:pPr>
        <w:ind w:left="1080" w:hanging="720"/>
      </w:pPr>
      <w:rPr>
        <w:rFont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F4710A2"/>
    <w:multiLevelType w:val="hybridMultilevel"/>
    <w:tmpl w:val="E3E8BC08"/>
    <w:lvl w:ilvl="0" w:tplc="C4DA64F0">
      <w:start w:val="1"/>
      <w:numFmt w:val="lowerLetter"/>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0033A63"/>
    <w:multiLevelType w:val="hybridMultilevel"/>
    <w:tmpl w:val="0602C0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618246C"/>
    <w:multiLevelType w:val="hybridMultilevel"/>
    <w:tmpl w:val="1BCE1728"/>
    <w:lvl w:ilvl="0" w:tplc="F2AC6B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B076F73"/>
    <w:multiLevelType w:val="hybridMultilevel"/>
    <w:tmpl w:val="BE4E7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46A0F71"/>
    <w:multiLevelType w:val="hybridMultilevel"/>
    <w:tmpl w:val="2EE8C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5495EAD"/>
    <w:multiLevelType w:val="hybridMultilevel"/>
    <w:tmpl w:val="B03A313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7" w15:restartNumberingAfterBreak="0">
    <w:nsid w:val="75E17B2A"/>
    <w:multiLevelType w:val="hybridMultilevel"/>
    <w:tmpl w:val="BDE22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10"/>
  </w:num>
  <w:num w:numId="6">
    <w:abstractNumId w:val="11"/>
  </w:num>
  <w:num w:numId="7">
    <w:abstractNumId w:val="15"/>
  </w:num>
  <w:num w:numId="8">
    <w:abstractNumId w:val="8"/>
  </w:num>
  <w:num w:numId="9">
    <w:abstractNumId w:val="16"/>
  </w:num>
  <w:num w:numId="10">
    <w:abstractNumId w:val="4"/>
  </w:num>
  <w:num w:numId="11">
    <w:abstractNumId w:val="17"/>
  </w:num>
  <w:num w:numId="12">
    <w:abstractNumId w:val="14"/>
  </w:num>
  <w:num w:numId="13">
    <w:abstractNumId w:val="13"/>
  </w:num>
  <w:num w:numId="14">
    <w:abstractNumId w:val="6"/>
  </w:num>
  <w:num w:numId="15">
    <w:abstractNumId w:val="9"/>
  </w:num>
  <w:num w:numId="16">
    <w:abstractNumId w:val="3"/>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D3"/>
    <w:rsid w:val="0000065C"/>
    <w:rsid w:val="000014DC"/>
    <w:rsid w:val="000024C4"/>
    <w:rsid w:val="00002658"/>
    <w:rsid w:val="00002B2B"/>
    <w:rsid w:val="0000346E"/>
    <w:rsid w:val="00003AD7"/>
    <w:rsid w:val="00004FC5"/>
    <w:rsid w:val="000067E1"/>
    <w:rsid w:val="000071E2"/>
    <w:rsid w:val="000079CD"/>
    <w:rsid w:val="00011795"/>
    <w:rsid w:val="0001309F"/>
    <w:rsid w:val="00013801"/>
    <w:rsid w:val="00013FE0"/>
    <w:rsid w:val="00017C71"/>
    <w:rsid w:val="000215D0"/>
    <w:rsid w:val="00022A29"/>
    <w:rsid w:val="00022B4D"/>
    <w:rsid w:val="00022D04"/>
    <w:rsid w:val="0002352C"/>
    <w:rsid w:val="00026A01"/>
    <w:rsid w:val="00032DE9"/>
    <w:rsid w:val="00032E53"/>
    <w:rsid w:val="000340D9"/>
    <w:rsid w:val="00035033"/>
    <w:rsid w:val="00035A8C"/>
    <w:rsid w:val="00036C32"/>
    <w:rsid w:val="000375C4"/>
    <w:rsid w:val="00040CAB"/>
    <w:rsid w:val="00042565"/>
    <w:rsid w:val="00043BEB"/>
    <w:rsid w:val="00043F50"/>
    <w:rsid w:val="00043F54"/>
    <w:rsid w:val="00045B4D"/>
    <w:rsid w:val="00046C04"/>
    <w:rsid w:val="000501ED"/>
    <w:rsid w:val="00053E8C"/>
    <w:rsid w:val="00054690"/>
    <w:rsid w:val="00054B4A"/>
    <w:rsid w:val="000572D7"/>
    <w:rsid w:val="00060260"/>
    <w:rsid w:val="00060D7A"/>
    <w:rsid w:val="00062512"/>
    <w:rsid w:val="00062E6D"/>
    <w:rsid w:val="00065082"/>
    <w:rsid w:val="00065428"/>
    <w:rsid w:val="00066CD6"/>
    <w:rsid w:val="00067F5C"/>
    <w:rsid w:val="00071632"/>
    <w:rsid w:val="0007367D"/>
    <w:rsid w:val="00075FE4"/>
    <w:rsid w:val="00077398"/>
    <w:rsid w:val="00080504"/>
    <w:rsid w:val="000812F0"/>
    <w:rsid w:val="000814B4"/>
    <w:rsid w:val="0008366E"/>
    <w:rsid w:val="0008599A"/>
    <w:rsid w:val="00085BD9"/>
    <w:rsid w:val="00092DEF"/>
    <w:rsid w:val="000949C8"/>
    <w:rsid w:val="00096391"/>
    <w:rsid w:val="00096821"/>
    <w:rsid w:val="000A0E20"/>
    <w:rsid w:val="000A1E6C"/>
    <w:rsid w:val="000A24B1"/>
    <w:rsid w:val="000A2F89"/>
    <w:rsid w:val="000A3AD5"/>
    <w:rsid w:val="000A52CA"/>
    <w:rsid w:val="000A5704"/>
    <w:rsid w:val="000A576C"/>
    <w:rsid w:val="000A5BCD"/>
    <w:rsid w:val="000A5DBC"/>
    <w:rsid w:val="000A6684"/>
    <w:rsid w:val="000B08BD"/>
    <w:rsid w:val="000B0D6F"/>
    <w:rsid w:val="000B26D4"/>
    <w:rsid w:val="000B6C2A"/>
    <w:rsid w:val="000C1B37"/>
    <w:rsid w:val="000C2300"/>
    <w:rsid w:val="000C55C6"/>
    <w:rsid w:val="000D2446"/>
    <w:rsid w:val="000D3795"/>
    <w:rsid w:val="000D4F8D"/>
    <w:rsid w:val="000D6B6F"/>
    <w:rsid w:val="000E041B"/>
    <w:rsid w:val="000E14C8"/>
    <w:rsid w:val="000E2FE1"/>
    <w:rsid w:val="000E550D"/>
    <w:rsid w:val="000E6DF4"/>
    <w:rsid w:val="000F001F"/>
    <w:rsid w:val="000F1543"/>
    <w:rsid w:val="000F29B5"/>
    <w:rsid w:val="000F380A"/>
    <w:rsid w:val="000F6A4F"/>
    <w:rsid w:val="001016B6"/>
    <w:rsid w:val="00104DA8"/>
    <w:rsid w:val="00106B27"/>
    <w:rsid w:val="00106B48"/>
    <w:rsid w:val="00110B5B"/>
    <w:rsid w:val="001135CF"/>
    <w:rsid w:val="00117C2F"/>
    <w:rsid w:val="00117CFC"/>
    <w:rsid w:val="00121017"/>
    <w:rsid w:val="001212F3"/>
    <w:rsid w:val="0012210B"/>
    <w:rsid w:val="0012291D"/>
    <w:rsid w:val="00122C39"/>
    <w:rsid w:val="00133060"/>
    <w:rsid w:val="001353F2"/>
    <w:rsid w:val="00136F3E"/>
    <w:rsid w:val="00137922"/>
    <w:rsid w:val="001379D0"/>
    <w:rsid w:val="00140C83"/>
    <w:rsid w:val="00141E2F"/>
    <w:rsid w:val="001427D2"/>
    <w:rsid w:val="0014345A"/>
    <w:rsid w:val="0014574E"/>
    <w:rsid w:val="00146C7D"/>
    <w:rsid w:val="00146C93"/>
    <w:rsid w:val="001478CE"/>
    <w:rsid w:val="001511FD"/>
    <w:rsid w:val="00151ABE"/>
    <w:rsid w:val="001554BD"/>
    <w:rsid w:val="00157441"/>
    <w:rsid w:val="0015770A"/>
    <w:rsid w:val="00157A86"/>
    <w:rsid w:val="00160084"/>
    <w:rsid w:val="0016064E"/>
    <w:rsid w:val="00161849"/>
    <w:rsid w:val="00163A0C"/>
    <w:rsid w:val="00163A86"/>
    <w:rsid w:val="001646C7"/>
    <w:rsid w:val="00164B9A"/>
    <w:rsid w:val="00164F23"/>
    <w:rsid w:val="00165049"/>
    <w:rsid w:val="001656EA"/>
    <w:rsid w:val="00167A67"/>
    <w:rsid w:val="00170114"/>
    <w:rsid w:val="001707F3"/>
    <w:rsid w:val="001718D1"/>
    <w:rsid w:val="00173636"/>
    <w:rsid w:val="001738ED"/>
    <w:rsid w:val="00173D9E"/>
    <w:rsid w:val="0017471C"/>
    <w:rsid w:val="00175AFA"/>
    <w:rsid w:val="00175E12"/>
    <w:rsid w:val="00176E4D"/>
    <w:rsid w:val="001803BA"/>
    <w:rsid w:val="00181629"/>
    <w:rsid w:val="00185D29"/>
    <w:rsid w:val="00185FA1"/>
    <w:rsid w:val="00186CEE"/>
    <w:rsid w:val="0019098A"/>
    <w:rsid w:val="00191F65"/>
    <w:rsid w:val="00194927"/>
    <w:rsid w:val="0019738D"/>
    <w:rsid w:val="001A14E9"/>
    <w:rsid w:val="001A2141"/>
    <w:rsid w:val="001A30E8"/>
    <w:rsid w:val="001A346D"/>
    <w:rsid w:val="001A75F2"/>
    <w:rsid w:val="001B18E5"/>
    <w:rsid w:val="001B2B1A"/>
    <w:rsid w:val="001B587C"/>
    <w:rsid w:val="001C00AD"/>
    <w:rsid w:val="001C0131"/>
    <w:rsid w:val="001C0155"/>
    <w:rsid w:val="001C235F"/>
    <w:rsid w:val="001C24AD"/>
    <w:rsid w:val="001D06F0"/>
    <w:rsid w:val="001D0AFC"/>
    <w:rsid w:val="001D0CFF"/>
    <w:rsid w:val="001D16CA"/>
    <w:rsid w:val="001D28CD"/>
    <w:rsid w:val="001E3B45"/>
    <w:rsid w:val="001E41B9"/>
    <w:rsid w:val="001E462D"/>
    <w:rsid w:val="001E65A6"/>
    <w:rsid w:val="001E7972"/>
    <w:rsid w:val="001F042A"/>
    <w:rsid w:val="001F4796"/>
    <w:rsid w:val="001F4E88"/>
    <w:rsid w:val="001F5BEC"/>
    <w:rsid w:val="00202751"/>
    <w:rsid w:val="002066AB"/>
    <w:rsid w:val="0020713D"/>
    <w:rsid w:val="002073DD"/>
    <w:rsid w:val="002126EF"/>
    <w:rsid w:val="00212ADA"/>
    <w:rsid w:val="00212D41"/>
    <w:rsid w:val="00213F93"/>
    <w:rsid w:val="002151AA"/>
    <w:rsid w:val="00215D04"/>
    <w:rsid w:val="00217664"/>
    <w:rsid w:val="00217CDE"/>
    <w:rsid w:val="00221EAB"/>
    <w:rsid w:val="00223A36"/>
    <w:rsid w:val="002246C6"/>
    <w:rsid w:val="00224865"/>
    <w:rsid w:val="002272BD"/>
    <w:rsid w:val="00227669"/>
    <w:rsid w:val="00233C28"/>
    <w:rsid w:val="00233CB7"/>
    <w:rsid w:val="00234131"/>
    <w:rsid w:val="00235BB4"/>
    <w:rsid w:val="002373A2"/>
    <w:rsid w:val="00240B0F"/>
    <w:rsid w:val="00241E21"/>
    <w:rsid w:val="00241F5C"/>
    <w:rsid w:val="002424B2"/>
    <w:rsid w:val="0024318E"/>
    <w:rsid w:val="00243AA0"/>
    <w:rsid w:val="00245BE4"/>
    <w:rsid w:val="00246D9A"/>
    <w:rsid w:val="00251A62"/>
    <w:rsid w:val="00252972"/>
    <w:rsid w:val="00254310"/>
    <w:rsid w:val="002546E1"/>
    <w:rsid w:val="00254F46"/>
    <w:rsid w:val="0025701F"/>
    <w:rsid w:val="002577BE"/>
    <w:rsid w:val="00257DD8"/>
    <w:rsid w:val="002617CB"/>
    <w:rsid w:val="00261D0E"/>
    <w:rsid w:val="00263220"/>
    <w:rsid w:val="002636A7"/>
    <w:rsid w:val="00264AF1"/>
    <w:rsid w:val="00272ED2"/>
    <w:rsid w:val="00273EDD"/>
    <w:rsid w:val="00277AD6"/>
    <w:rsid w:val="00281E05"/>
    <w:rsid w:val="00282510"/>
    <w:rsid w:val="00282A69"/>
    <w:rsid w:val="00282ED8"/>
    <w:rsid w:val="00283E21"/>
    <w:rsid w:val="002911B3"/>
    <w:rsid w:val="00297774"/>
    <w:rsid w:val="00297871"/>
    <w:rsid w:val="00297F7C"/>
    <w:rsid w:val="002A143A"/>
    <w:rsid w:val="002A3BE8"/>
    <w:rsid w:val="002A637D"/>
    <w:rsid w:val="002A6C98"/>
    <w:rsid w:val="002A6E3C"/>
    <w:rsid w:val="002B49CB"/>
    <w:rsid w:val="002B739E"/>
    <w:rsid w:val="002C0359"/>
    <w:rsid w:val="002C0C5B"/>
    <w:rsid w:val="002C207A"/>
    <w:rsid w:val="002C3133"/>
    <w:rsid w:val="002C4514"/>
    <w:rsid w:val="002C5031"/>
    <w:rsid w:val="002C7B56"/>
    <w:rsid w:val="002D0489"/>
    <w:rsid w:val="002D0515"/>
    <w:rsid w:val="002D113D"/>
    <w:rsid w:val="002D1730"/>
    <w:rsid w:val="002D3BE7"/>
    <w:rsid w:val="002D45C6"/>
    <w:rsid w:val="002D4DBD"/>
    <w:rsid w:val="002D4F5B"/>
    <w:rsid w:val="002D5073"/>
    <w:rsid w:val="002D7D4B"/>
    <w:rsid w:val="002E08DA"/>
    <w:rsid w:val="002E0D5F"/>
    <w:rsid w:val="002E1903"/>
    <w:rsid w:val="002E2759"/>
    <w:rsid w:val="002E603C"/>
    <w:rsid w:val="002E67AC"/>
    <w:rsid w:val="002E6B8B"/>
    <w:rsid w:val="002E7C21"/>
    <w:rsid w:val="002F16AC"/>
    <w:rsid w:val="002F1BD2"/>
    <w:rsid w:val="002F227B"/>
    <w:rsid w:val="002F69B5"/>
    <w:rsid w:val="002F7784"/>
    <w:rsid w:val="002F7DCF"/>
    <w:rsid w:val="00300161"/>
    <w:rsid w:val="00303523"/>
    <w:rsid w:val="00303DD9"/>
    <w:rsid w:val="0030460B"/>
    <w:rsid w:val="00304FBE"/>
    <w:rsid w:val="00306907"/>
    <w:rsid w:val="0030790F"/>
    <w:rsid w:val="00311DF2"/>
    <w:rsid w:val="003140CC"/>
    <w:rsid w:val="00314435"/>
    <w:rsid w:val="00315E1F"/>
    <w:rsid w:val="003166E3"/>
    <w:rsid w:val="00321619"/>
    <w:rsid w:val="00322161"/>
    <w:rsid w:val="00322B73"/>
    <w:rsid w:val="0032333F"/>
    <w:rsid w:val="00331062"/>
    <w:rsid w:val="0033441D"/>
    <w:rsid w:val="003347CD"/>
    <w:rsid w:val="003415B5"/>
    <w:rsid w:val="003426C1"/>
    <w:rsid w:val="003427FF"/>
    <w:rsid w:val="003428DC"/>
    <w:rsid w:val="003433BE"/>
    <w:rsid w:val="00345F82"/>
    <w:rsid w:val="003465EA"/>
    <w:rsid w:val="00351921"/>
    <w:rsid w:val="00351DAC"/>
    <w:rsid w:val="003575BC"/>
    <w:rsid w:val="00360A34"/>
    <w:rsid w:val="00362EBE"/>
    <w:rsid w:val="00363FA5"/>
    <w:rsid w:val="00364BEA"/>
    <w:rsid w:val="00366A73"/>
    <w:rsid w:val="003702A4"/>
    <w:rsid w:val="00370F3A"/>
    <w:rsid w:val="0037151F"/>
    <w:rsid w:val="00372864"/>
    <w:rsid w:val="00373FBC"/>
    <w:rsid w:val="0037537A"/>
    <w:rsid w:val="00375B89"/>
    <w:rsid w:val="003763D3"/>
    <w:rsid w:val="00376CC0"/>
    <w:rsid w:val="00377290"/>
    <w:rsid w:val="00377647"/>
    <w:rsid w:val="003801D5"/>
    <w:rsid w:val="00380BCE"/>
    <w:rsid w:val="00381B2A"/>
    <w:rsid w:val="00382680"/>
    <w:rsid w:val="003847F7"/>
    <w:rsid w:val="00384F85"/>
    <w:rsid w:val="00385A3E"/>
    <w:rsid w:val="0039026D"/>
    <w:rsid w:val="003904D7"/>
    <w:rsid w:val="0039135D"/>
    <w:rsid w:val="00392E88"/>
    <w:rsid w:val="00392FB9"/>
    <w:rsid w:val="00393EDC"/>
    <w:rsid w:val="003947D4"/>
    <w:rsid w:val="003A0C1A"/>
    <w:rsid w:val="003A0E17"/>
    <w:rsid w:val="003A1105"/>
    <w:rsid w:val="003A2695"/>
    <w:rsid w:val="003A2B0D"/>
    <w:rsid w:val="003A44B3"/>
    <w:rsid w:val="003A57DE"/>
    <w:rsid w:val="003A678D"/>
    <w:rsid w:val="003A718F"/>
    <w:rsid w:val="003B208D"/>
    <w:rsid w:val="003B239E"/>
    <w:rsid w:val="003B4ECD"/>
    <w:rsid w:val="003B6427"/>
    <w:rsid w:val="003B6CA3"/>
    <w:rsid w:val="003B73DC"/>
    <w:rsid w:val="003B7D27"/>
    <w:rsid w:val="003C0832"/>
    <w:rsid w:val="003C2A7F"/>
    <w:rsid w:val="003C3242"/>
    <w:rsid w:val="003C5B7B"/>
    <w:rsid w:val="003D3443"/>
    <w:rsid w:val="003D3F7F"/>
    <w:rsid w:val="003D6052"/>
    <w:rsid w:val="003D63F2"/>
    <w:rsid w:val="003D7083"/>
    <w:rsid w:val="003D750B"/>
    <w:rsid w:val="003E1F23"/>
    <w:rsid w:val="003E431D"/>
    <w:rsid w:val="003E75C5"/>
    <w:rsid w:val="003F0CE9"/>
    <w:rsid w:val="003F1AB3"/>
    <w:rsid w:val="003F41DE"/>
    <w:rsid w:val="003F6570"/>
    <w:rsid w:val="003F7193"/>
    <w:rsid w:val="003F7F49"/>
    <w:rsid w:val="00400DA2"/>
    <w:rsid w:val="0040188F"/>
    <w:rsid w:val="00402C71"/>
    <w:rsid w:val="004031D5"/>
    <w:rsid w:val="0040427E"/>
    <w:rsid w:val="00410A76"/>
    <w:rsid w:val="00412068"/>
    <w:rsid w:val="004135C1"/>
    <w:rsid w:val="00414B23"/>
    <w:rsid w:val="00420373"/>
    <w:rsid w:val="004203C3"/>
    <w:rsid w:val="00420CD0"/>
    <w:rsid w:val="0042192E"/>
    <w:rsid w:val="00426100"/>
    <w:rsid w:val="00426194"/>
    <w:rsid w:val="004266B9"/>
    <w:rsid w:val="004308EB"/>
    <w:rsid w:val="00430FB9"/>
    <w:rsid w:val="004342F9"/>
    <w:rsid w:val="00435C56"/>
    <w:rsid w:val="00436960"/>
    <w:rsid w:val="00437D31"/>
    <w:rsid w:val="00443199"/>
    <w:rsid w:val="00445C54"/>
    <w:rsid w:val="004461FC"/>
    <w:rsid w:val="004466B3"/>
    <w:rsid w:val="00447D84"/>
    <w:rsid w:val="00450020"/>
    <w:rsid w:val="00450998"/>
    <w:rsid w:val="00450EA8"/>
    <w:rsid w:val="00451A9B"/>
    <w:rsid w:val="0045314F"/>
    <w:rsid w:val="00456226"/>
    <w:rsid w:val="00457637"/>
    <w:rsid w:val="004577B2"/>
    <w:rsid w:val="00464DA7"/>
    <w:rsid w:val="00465824"/>
    <w:rsid w:val="00473CE2"/>
    <w:rsid w:val="00473D2D"/>
    <w:rsid w:val="00474D99"/>
    <w:rsid w:val="00474E5E"/>
    <w:rsid w:val="004766BC"/>
    <w:rsid w:val="004767BD"/>
    <w:rsid w:val="004772CA"/>
    <w:rsid w:val="0048529B"/>
    <w:rsid w:val="004854F3"/>
    <w:rsid w:val="004862B6"/>
    <w:rsid w:val="00494FD8"/>
    <w:rsid w:val="0049509B"/>
    <w:rsid w:val="00495509"/>
    <w:rsid w:val="0049566B"/>
    <w:rsid w:val="00495E4A"/>
    <w:rsid w:val="0049614F"/>
    <w:rsid w:val="0049660E"/>
    <w:rsid w:val="00496FFF"/>
    <w:rsid w:val="004A7A17"/>
    <w:rsid w:val="004B05A4"/>
    <w:rsid w:val="004B0DAA"/>
    <w:rsid w:val="004B26D1"/>
    <w:rsid w:val="004B3D05"/>
    <w:rsid w:val="004C06FD"/>
    <w:rsid w:val="004C4695"/>
    <w:rsid w:val="004C492E"/>
    <w:rsid w:val="004C539F"/>
    <w:rsid w:val="004C555E"/>
    <w:rsid w:val="004D011F"/>
    <w:rsid w:val="004D2006"/>
    <w:rsid w:val="004D27C5"/>
    <w:rsid w:val="004D2D1E"/>
    <w:rsid w:val="004D2D62"/>
    <w:rsid w:val="004D48AF"/>
    <w:rsid w:val="004D562C"/>
    <w:rsid w:val="004D5A1F"/>
    <w:rsid w:val="004D711A"/>
    <w:rsid w:val="004D7410"/>
    <w:rsid w:val="004E0917"/>
    <w:rsid w:val="004E28FC"/>
    <w:rsid w:val="004E2F3C"/>
    <w:rsid w:val="004E3B7F"/>
    <w:rsid w:val="004E616D"/>
    <w:rsid w:val="004E6909"/>
    <w:rsid w:val="004E6FA3"/>
    <w:rsid w:val="004F19F1"/>
    <w:rsid w:val="004F238D"/>
    <w:rsid w:val="004F768E"/>
    <w:rsid w:val="00501B7A"/>
    <w:rsid w:val="005056CD"/>
    <w:rsid w:val="00506380"/>
    <w:rsid w:val="00507A61"/>
    <w:rsid w:val="005100EE"/>
    <w:rsid w:val="00510487"/>
    <w:rsid w:val="00512FBE"/>
    <w:rsid w:val="00513822"/>
    <w:rsid w:val="00515D52"/>
    <w:rsid w:val="00517225"/>
    <w:rsid w:val="00521B74"/>
    <w:rsid w:val="0052234C"/>
    <w:rsid w:val="00523050"/>
    <w:rsid w:val="005254BD"/>
    <w:rsid w:val="005254E1"/>
    <w:rsid w:val="00526FB8"/>
    <w:rsid w:val="00531442"/>
    <w:rsid w:val="00533892"/>
    <w:rsid w:val="00534D91"/>
    <w:rsid w:val="00535241"/>
    <w:rsid w:val="00535F23"/>
    <w:rsid w:val="00536A03"/>
    <w:rsid w:val="00541885"/>
    <w:rsid w:val="005429F8"/>
    <w:rsid w:val="0054418E"/>
    <w:rsid w:val="0054443E"/>
    <w:rsid w:val="00545C3B"/>
    <w:rsid w:val="00546201"/>
    <w:rsid w:val="00546381"/>
    <w:rsid w:val="00547A2B"/>
    <w:rsid w:val="00547EB4"/>
    <w:rsid w:val="00551E09"/>
    <w:rsid w:val="00551E17"/>
    <w:rsid w:val="00553243"/>
    <w:rsid w:val="005569CE"/>
    <w:rsid w:val="00556C5D"/>
    <w:rsid w:val="0055747B"/>
    <w:rsid w:val="0055767B"/>
    <w:rsid w:val="00561B16"/>
    <w:rsid w:val="00562614"/>
    <w:rsid w:val="00562794"/>
    <w:rsid w:val="00564CDF"/>
    <w:rsid w:val="0057115E"/>
    <w:rsid w:val="00571674"/>
    <w:rsid w:val="00573CE8"/>
    <w:rsid w:val="00574DB3"/>
    <w:rsid w:val="00576BDC"/>
    <w:rsid w:val="005805A1"/>
    <w:rsid w:val="005826A2"/>
    <w:rsid w:val="00582B04"/>
    <w:rsid w:val="00582B5E"/>
    <w:rsid w:val="00582D52"/>
    <w:rsid w:val="005836F2"/>
    <w:rsid w:val="00583F63"/>
    <w:rsid w:val="00583F9A"/>
    <w:rsid w:val="005859BB"/>
    <w:rsid w:val="00585B5D"/>
    <w:rsid w:val="0059322D"/>
    <w:rsid w:val="005942F0"/>
    <w:rsid w:val="00596BAD"/>
    <w:rsid w:val="00597513"/>
    <w:rsid w:val="005A00A8"/>
    <w:rsid w:val="005A094F"/>
    <w:rsid w:val="005A14F4"/>
    <w:rsid w:val="005A1F52"/>
    <w:rsid w:val="005A3E10"/>
    <w:rsid w:val="005A4631"/>
    <w:rsid w:val="005A5977"/>
    <w:rsid w:val="005A6625"/>
    <w:rsid w:val="005A7A02"/>
    <w:rsid w:val="005B0587"/>
    <w:rsid w:val="005B2007"/>
    <w:rsid w:val="005B429D"/>
    <w:rsid w:val="005B59EB"/>
    <w:rsid w:val="005B69B9"/>
    <w:rsid w:val="005C01C8"/>
    <w:rsid w:val="005C3A5E"/>
    <w:rsid w:val="005C3FC9"/>
    <w:rsid w:val="005C4470"/>
    <w:rsid w:val="005C5FA2"/>
    <w:rsid w:val="005C728F"/>
    <w:rsid w:val="005C7983"/>
    <w:rsid w:val="005C7D8B"/>
    <w:rsid w:val="005D0CD7"/>
    <w:rsid w:val="005D1E21"/>
    <w:rsid w:val="005D42AA"/>
    <w:rsid w:val="005D749C"/>
    <w:rsid w:val="005E16A0"/>
    <w:rsid w:val="005E5A51"/>
    <w:rsid w:val="005E6D4A"/>
    <w:rsid w:val="005E6DE2"/>
    <w:rsid w:val="005E773B"/>
    <w:rsid w:val="005E7E6D"/>
    <w:rsid w:val="005F1F10"/>
    <w:rsid w:val="005F55A3"/>
    <w:rsid w:val="005F5935"/>
    <w:rsid w:val="005F7F32"/>
    <w:rsid w:val="0060401C"/>
    <w:rsid w:val="006044BC"/>
    <w:rsid w:val="00605575"/>
    <w:rsid w:val="00606359"/>
    <w:rsid w:val="006114EE"/>
    <w:rsid w:val="00615E11"/>
    <w:rsid w:val="00615F11"/>
    <w:rsid w:val="00617687"/>
    <w:rsid w:val="00620C44"/>
    <w:rsid w:val="00621812"/>
    <w:rsid w:val="00621A3A"/>
    <w:rsid w:val="00622149"/>
    <w:rsid w:val="0062388F"/>
    <w:rsid w:val="00624EC9"/>
    <w:rsid w:val="00624F9D"/>
    <w:rsid w:val="00626EB9"/>
    <w:rsid w:val="0062765E"/>
    <w:rsid w:val="00627952"/>
    <w:rsid w:val="00630458"/>
    <w:rsid w:val="00630AA1"/>
    <w:rsid w:val="0063116F"/>
    <w:rsid w:val="006319A6"/>
    <w:rsid w:val="00632FB0"/>
    <w:rsid w:val="0063535E"/>
    <w:rsid w:val="00635E19"/>
    <w:rsid w:val="00635FAA"/>
    <w:rsid w:val="00636650"/>
    <w:rsid w:val="00636A11"/>
    <w:rsid w:val="00636D9A"/>
    <w:rsid w:val="0063784C"/>
    <w:rsid w:val="006404DC"/>
    <w:rsid w:val="00641D49"/>
    <w:rsid w:val="00652805"/>
    <w:rsid w:val="00652E5A"/>
    <w:rsid w:val="00654D19"/>
    <w:rsid w:val="0065648D"/>
    <w:rsid w:val="006567A3"/>
    <w:rsid w:val="00657FA8"/>
    <w:rsid w:val="0066136C"/>
    <w:rsid w:val="00661986"/>
    <w:rsid w:val="006625DB"/>
    <w:rsid w:val="006625E1"/>
    <w:rsid w:val="006626D6"/>
    <w:rsid w:val="00662AF5"/>
    <w:rsid w:val="006644E8"/>
    <w:rsid w:val="006701DA"/>
    <w:rsid w:val="00672654"/>
    <w:rsid w:val="00673463"/>
    <w:rsid w:val="00673F3A"/>
    <w:rsid w:val="00680ADA"/>
    <w:rsid w:val="00681018"/>
    <w:rsid w:val="00683917"/>
    <w:rsid w:val="006844F7"/>
    <w:rsid w:val="00686CF0"/>
    <w:rsid w:val="006907D4"/>
    <w:rsid w:val="0069137C"/>
    <w:rsid w:val="0069156A"/>
    <w:rsid w:val="00691E16"/>
    <w:rsid w:val="0069271C"/>
    <w:rsid w:val="0069383E"/>
    <w:rsid w:val="00695F72"/>
    <w:rsid w:val="00697C29"/>
    <w:rsid w:val="006A0599"/>
    <w:rsid w:val="006A0D6B"/>
    <w:rsid w:val="006A19B0"/>
    <w:rsid w:val="006A255F"/>
    <w:rsid w:val="006A4313"/>
    <w:rsid w:val="006A4B1A"/>
    <w:rsid w:val="006A6098"/>
    <w:rsid w:val="006B02D9"/>
    <w:rsid w:val="006B1FD3"/>
    <w:rsid w:val="006B563E"/>
    <w:rsid w:val="006B68EF"/>
    <w:rsid w:val="006B6D56"/>
    <w:rsid w:val="006B6E24"/>
    <w:rsid w:val="006C045C"/>
    <w:rsid w:val="006C1C35"/>
    <w:rsid w:val="006C225F"/>
    <w:rsid w:val="006C2E77"/>
    <w:rsid w:val="006C30F2"/>
    <w:rsid w:val="006C40CB"/>
    <w:rsid w:val="006C4A71"/>
    <w:rsid w:val="006C71B6"/>
    <w:rsid w:val="006C778F"/>
    <w:rsid w:val="006D2136"/>
    <w:rsid w:val="006D3F81"/>
    <w:rsid w:val="006D6D3F"/>
    <w:rsid w:val="006D71AC"/>
    <w:rsid w:val="006E0075"/>
    <w:rsid w:val="006E16CC"/>
    <w:rsid w:val="006E1ECD"/>
    <w:rsid w:val="006E35E6"/>
    <w:rsid w:val="006E77D6"/>
    <w:rsid w:val="006F1068"/>
    <w:rsid w:val="006F2985"/>
    <w:rsid w:val="006F3C16"/>
    <w:rsid w:val="006F49DF"/>
    <w:rsid w:val="006F5E6D"/>
    <w:rsid w:val="006F7C97"/>
    <w:rsid w:val="007035B0"/>
    <w:rsid w:val="00704107"/>
    <w:rsid w:val="007060A1"/>
    <w:rsid w:val="007060EB"/>
    <w:rsid w:val="0070730C"/>
    <w:rsid w:val="00707900"/>
    <w:rsid w:val="00707E76"/>
    <w:rsid w:val="007102CB"/>
    <w:rsid w:val="007126C5"/>
    <w:rsid w:val="00715537"/>
    <w:rsid w:val="007157B5"/>
    <w:rsid w:val="00717FCF"/>
    <w:rsid w:val="00721995"/>
    <w:rsid w:val="0072603F"/>
    <w:rsid w:val="00726149"/>
    <w:rsid w:val="0072656F"/>
    <w:rsid w:val="00727CEC"/>
    <w:rsid w:val="00730305"/>
    <w:rsid w:val="00733193"/>
    <w:rsid w:val="00733ABA"/>
    <w:rsid w:val="007343C6"/>
    <w:rsid w:val="00734B68"/>
    <w:rsid w:val="0073558E"/>
    <w:rsid w:val="00737CB2"/>
    <w:rsid w:val="00741CD0"/>
    <w:rsid w:val="0074242F"/>
    <w:rsid w:val="00743017"/>
    <w:rsid w:val="007440BD"/>
    <w:rsid w:val="00745C94"/>
    <w:rsid w:val="0074754A"/>
    <w:rsid w:val="00747B24"/>
    <w:rsid w:val="007502C6"/>
    <w:rsid w:val="00750A80"/>
    <w:rsid w:val="00752A5D"/>
    <w:rsid w:val="00752B3F"/>
    <w:rsid w:val="00752D0C"/>
    <w:rsid w:val="00752EEF"/>
    <w:rsid w:val="007530A6"/>
    <w:rsid w:val="00754ABE"/>
    <w:rsid w:val="007554E8"/>
    <w:rsid w:val="00757317"/>
    <w:rsid w:val="00760B35"/>
    <w:rsid w:val="00763537"/>
    <w:rsid w:val="00764FAE"/>
    <w:rsid w:val="007665A9"/>
    <w:rsid w:val="0076771D"/>
    <w:rsid w:val="007762F7"/>
    <w:rsid w:val="00777AF9"/>
    <w:rsid w:val="00780854"/>
    <w:rsid w:val="00781143"/>
    <w:rsid w:val="007819CB"/>
    <w:rsid w:val="00784FAC"/>
    <w:rsid w:val="00785965"/>
    <w:rsid w:val="00786995"/>
    <w:rsid w:val="00786997"/>
    <w:rsid w:val="007931FA"/>
    <w:rsid w:val="007A08D6"/>
    <w:rsid w:val="007A0D7E"/>
    <w:rsid w:val="007A10D9"/>
    <w:rsid w:val="007A27E2"/>
    <w:rsid w:val="007A3E92"/>
    <w:rsid w:val="007A6BFE"/>
    <w:rsid w:val="007A6E92"/>
    <w:rsid w:val="007B6D83"/>
    <w:rsid w:val="007C17BA"/>
    <w:rsid w:val="007C1BF1"/>
    <w:rsid w:val="007C1CE3"/>
    <w:rsid w:val="007C2F09"/>
    <w:rsid w:val="007C579E"/>
    <w:rsid w:val="007C74FB"/>
    <w:rsid w:val="007D053F"/>
    <w:rsid w:val="007D2523"/>
    <w:rsid w:val="007D687C"/>
    <w:rsid w:val="007D6AF5"/>
    <w:rsid w:val="007D7955"/>
    <w:rsid w:val="007E12CD"/>
    <w:rsid w:val="007E2441"/>
    <w:rsid w:val="007E36C5"/>
    <w:rsid w:val="007E43B2"/>
    <w:rsid w:val="007E5765"/>
    <w:rsid w:val="007F25A4"/>
    <w:rsid w:val="007F5622"/>
    <w:rsid w:val="007F56F0"/>
    <w:rsid w:val="007F67B0"/>
    <w:rsid w:val="0080084D"/>
    <w:rsid w:val="00800962"/>
    <w:rsid w:val="0080135D"/>
    <w:rsid w:val="00801CB4"/>
    <w:rsid w:val="008039F6"/>
    <w:rsid w:val="00804458"/>
    <w:rsid w:val="00804E90"/>
    <w:rsid w:val="00804E93"/>
    <w:rsid w:val="00805458"/>
    <w:rsid w:val="008069B7"/>
    <w:rsid w:val="00806C9A"/>
    <w:rsid w:val="008071E2"/>
    <w:rsid w:val="00807514"/>
    <w:rsid w:val="00816803"/>
    <w:rsid w:val="008168A1"/>
    <w:rsid w:val="008207B5"/>
    <w:rsid w:val="008217A0"/>
    <w:rsid w:val="00821C97"/>
    <w:rsid w:val="00821F42"/>
    <w:rsid w:val="00822B93"/>
    <w:rsid w:val="00822E49"/>
    <w:rsid w:val="008246EE"/>
    <w:rsid w:val="008253BE"/>
    <w:rsid w:val="00826611"/>
    <w:rsid w:val="00830C91"/>
    <w:rsid w:val="00830D8D"/>
    <w:rsid w:val="00832860"/>
    <w:rsid w:val="00832997"/>
    <w:rsid w:val="00833134"/>
    <w:rsid w:val="0083441B"/>
    <w:rsid w:val="008404A2"/>
    <w:rsid w:val="00840C62"/>
    <w:rsid w:val="00840FB6"/>
    <w:rsid w:val="008421E4"/>
    <w:rsid w:val="0084329F"/>
    <w:rsid w:val="00844A54"/>
    <w:rsid w:val="00844E4C"/>
    <w:rsid w:val="00845AF9"/>
    <w:rsid w:val="00846F86"/>
    <w:rsid w:val="0084774F"/>
    <w:rsid w:val="008506EE"/>
    <w:rsid w:val="008532FC"/>
    <w:rsid w:val="008538EF"/>
    <w:rsid w:val="00853A49"/>
    <w:rsid w:val="00856994"/>
    <w:rsid w:val="00860769"/>
    <w:rsid w:val="00861EE4"/>
    <w:rsid w:val="00863E5E"/>
    <w:rsid w:val="00865E30"/>
    <w:rsid w:val="00865E3D"/>
    <w:rsid w:val="00866B4C"/>
    <w:rsid w:val="008705F5"/>
    <w:rsid w:val="008716B1"/>
    <w:rsid w:val="00871B2A"/>
    <w:rsid w:val="008760FB"/>
    <w:rsid w:val="0088244A"/>
    <w:rsid w:val="00883819"/>
    <w:rsid w:val="00884959"/>
    <w:rsid w:val="0088686C"/>
    <w:rsid w:val="008875C5"/>
    <w:rsid w:val="00887772"/>
    <w:rsid w:val="00887BFF"/>
    <w:rsid w:val="00887F55"/>
    <w:rsid w:val="00892453"/>
    <w:rsid w:val="0089296A"/>
    <w:rsid w:val="008934CE"/>
    <w:rsid w:val="008937D3"/>
    <w:rsid w:val="008942F8"/>
    <w:rsid w:val="008948D9"/>
    <w:rsid w:val="00894AE7"/>
    <w:rsid w:val="00894EF8"/>
    <w:rsid w:val="008960DB"/>
    <w:rsid w:val="00896125"/>
    <w:rsid w:val="0089643E"/>
    <w:rsid w:val="008A2ACA"/>
    <w:rsid w:val="008A35F8"/>
    <w:rsid w:val="008A3B1D"/>
    <w:rsid w:val="008A5A8B"/>
    <w:rsid w:val="008A6134"/>
    <w:rsid w:val="008A6185"/>
    <w:rsid w:val="008A63FB"/>
    <w:rsid w:val="008A6A05"/>
    <w:rsid w:val="008A6C34"/>
    <w:rsid w:val="008B6734"/>
    <w:rsid w:val="008B7B26"/>
    <w:rsid w:val="008C2462"/>
    <w:rsid w:val="008C2C63"/>
    <w:rsid w:val="008C3E40"/>
    <w:rsid w:val="008C4E7D"/>
    <w:rsid w:val="008C6443"/>
    <w:rsid w:val="008C78FE"/>
    <w:rsid w:val="008D0254"/>
    <w:rsid w:val="008D0457"/>
    <w:rsid w:val="008D1FC2"/>
    <w:rsid w:val="008D2C60"/>
    <w:rsid w:val="008E5235"/>
    <w:rsid w:val="008E6235"/>
    <w:rsid w:val="008E62ED"/>
    <w:rsid w:val="008F0E3B"/>
    <w:rsid w:val="008F1F4F"/>
    <w:rsid w:val="008F24A9"/>
    <w:rsid w:val="008F3BE4"/>
    <w:rsid w:val="008F3E58"/>
    <w:rsid w:val="008F4257"/>
    <w:rsid w:val="008F48FA"/>
    <w:rsid w:val="008F5BB1"/>
    <w:rsid w:val="00900576"/>
    <w:rsid w:val="00900E8F"/>
    <w:rsid w:val="00902383"/>
    <w:rsid w:val="0090371F"/>
    <w:rsid w:val="009045EA"/>
    <w:rsid w:val="00904FFC"/>
    <w:rsid w:val="009053C3"/>
    <w:rsid w:val="00905EE9"/>
    <w:rsid w:val="00907170"/>
    <w:rsid w:val="0090765C"/>
    <w:rsid w:val="00910650"/>
    <w:rsid w:val="009108E5"/>
    <w:rsid w:val="00911E10"/>
    <w:rsid w:val="00912F2D"/>
    <w:rsid w:val="00914329"/>
    <w:rsid w:val="00915B2F"/>
    <w:rsid w:val="00916519"/>
    <w:rsid w:val="00920041"/>
    <w:rsid w:val="00921912"/>
    <w:rsid w:val="00923B05"/>
    <w:rsid w:val="0092473A"/>
    <w:rsid w:val="00924F01"/>
    <w:rsid w:val="009260D1"/>
    <w:rsid w:val="00926DCA"/>
    <w:rsid w:val="00927AC2"/>
    <w:rsid w:val="00930BD1"/>
    <w:rsid w:val="00931D2D"/>
    <w:rsid w:val="00932455"/>
    <w:rsid w:val="00933A34"/>
    <w:rsid w:val="009359B1"/>
    <w:rsid w:val="00935AD0"/>
    <w:rsid w:val="00936A1A"/>
    <w:rsid w:val="00940148"/>
    <w:rsid w:val="00942241"/>
    <w:rsid w:val="00944C9A"/>
    <w:rsid w:val="00945381"/>
    <w:rsid w:val="00950A13"/>
    <w:rsid w:val="0095117B"/>
    <w:rsid w:val="0095279D"/>
    <w:rsid w:val="00952D01"/>
    <w:rsid w:val="00953C30"/>
    <w:rsid w:val="00957F48"/>
    <w:rsid w:val="009612FE"/>
    <w:rsid w:val="009615D0"/>
    <w:rsid w:val="00963B94"/>
    <w:rsid w:val="00963E49"/>
    <w:rsid w:val="0096400D"/>
    <w:rsid w:val="00965563"/>
    <w:rsid w:val="0096743F"/>
    <w:rsid w:val="009675CE"/>
    <w:rsid w:val="00975D57"/>
    <w:rsid w:val="009836B7"/>
    <w:rsid w:val="009837A3"/>
    <w:rsid w:val="009847B2"/>
    <w:rsid w:val="00985B05"/>
    <w:rsid w:val="009862B0"/>
    <w:rsid w:val="00990BF6"/>
    <w:rsid w:val="00990DFB"/>
    <w:rsid w:val="00993654"/>
    <w:rsid w:val="009937FE"/>
    <w:rsid w:val="00995611"/>
    <w:rsid w:val="00995E85"/>
    <w:rsid w:val="009A15D5"/>
    <w:rsid w:val="009A196B"/>
    <w:rsid w:val="009A3852"/>
    <w:rsid w:val="009A47C5"/>
    <w:rsid w:val="009A59E2"/>
    <w:rsid w:val="009A75B4"/>
    <w:rsid w:val="009A7DC8"/>
    <w:rsid w:val="009B1678"/>
    <w:rsid w:val="009B43DD"/>
    <w:rsid w:val="009B664F"/>
    <w:rsid w:val="009C2F18"/>
    <w:rsid w:val="009C56BC"/>
    <w:rsid w:val="009C69F6"/>
    <w:rsid w:val="009C774A"/>
    <w:rsid w:val="009D0277"/>
    <w:rsid w:val="009D3D65"/>
    <w:rsid w:val="009D6407"/>
    <w:rsid w:val="009D7A74"/>
    <w:rsid w:val="009E079C"/>
    <w:rsid w:val="009E2C52"/>
    <w:rsid w:val="009E7E22"/>
    <w:rsid w:val="009F07A2"/>
    <w:rsid w:val="009F1DE6"/>
    <w:rsid w:val="009F5C20"/>
    <w:rsid w:val="00A025BD"/>
    <w:rsid w:val="00A0327A"/>
    <w:rsid w:val="00A04180"/>
    <w:rsid w:val="00A04623"/>
    <w:rsid w:val="00A05766"/>
    <w:rsid w:val="00A05AEE"/>
    <w:rsid w:val="00A05EDC"/>
    <w:rsid w:val="00A1596A"/>
    <w:rsid w:val="00A17BF2"/>
    <w:rsid w:val="00A21739"/>
    <w:rsid w:val="00A25E9C"/>
    <w:rsid w:val="00A30166"/>
    <w:rsid w:val="00A31431"/>
    <w:rsid w:val="00A3353A"/>
    <w:rsid w:val="00A338AB"/>
    <w:rsid w:val="00A34444"/>
    <w:rsid w:val="00A35B11"/>
    <w:rsid w:val="00A35CB1"/>
    <w:rsid w:val="00A364EE"/>
    <w:rsid w:val="00A36A6A"/>
    <w:rsid w:val="00A37306"/>
    <w:rsid w:val="00A403B6"/>
    <w:rsid w:val="00A420D1"/>
    <w:rsid w:val="00A446C7"/>
    <w:rsid w:val="00A45587"/>
    <w:rsid w:val="00A4630E"/>
    <w:rsid w:val="00A47292"/>
    <w:rsid w:val="00A50870"/>
    <w:rsid w:val="00A51772"/>
    <w:rsid w:val="00A5218F"/>
    <w:rsid w:val="00A5265C"/>
    <w:rsid w:val="00A52994"/>
    <w:rsid w:val="00A57080"/>
    <w:rsid w:val="00A57EEC"/>
    <w:rsid w:val="00A608FE"/>
    <w:rsid w:val="00A62170"/>
    <w:rsid w:val="00A633BE"/>
    <w:rsid w:val="00A64C65"/>
    <w:rsid w:val="00A653E3"/>
    <w:rsid w:val="00A66355"/>
    <w:rsid w:val="00A665B9"/>
    <w:rsid w:val="00A66734"/>
    <w:rsid w:val="00A66897"/>
    <w:rsid w:val="00A71BBC"/>
    <w:rsid w:val="00A723C7"/>
    <w:rsid w:val="00A77527"/>
    <w:rsid w:val="00A81FBC"/>
    <w:rsid w:val="00A841D8"/>
    <w:rsid w:val="00A92C71"/>
    <w:rsid w:val="00A9341A"/>
    <w:rsid w:val="00A95271"/>
    <w:rsid w:val="00AA00C7"/>
    <w:rsid w:val="00AA05DA"/>
    <w:rsid w:val="00AA0769"/>
    <w:rsid w:val="00AA1DE2"/>
    <w:rsid w:val="00AA3519"/>
    <w:rsid w:val="00AA3A82"/>
    <w:rsid w:val="00AA5775"/>
    <w:rsid w:val="00AB0E9D"/>
    <w:rsid w:val="00AB10BC"/>
    <w:rsid w:val="00AB49F8"/>
    <w:rsid w:val="00AB4A92"/>
    <w:rsid w:val="00AB65E3"/>
    <w:rsid w:val="00AB7744"/>
    <w:rsid w:val="00AB7DD9"/>
    <w:rsid w:val="00AC1494"/>
    <w:rsid w:val="00AC2D67"/>
    <w:rsid w:val="00AC3359"/>
    <w:rsid w:val="00AC3C2E"/>
    <w:rsid w:val="00AC59CB"/>
    <w:rsid w:val="00AD35C9"/>
    <w:rsid w:val="00AD38B8"/>
    <w:rsid w:val="00AD4A04"/>
    <w:rsid w:val="00AD63D2"/>
    <w:rsid w:val="00AE0B6E"/>
    <w:rsid w:val="00AE2354"/>
    <w:rsid w:val="00AE2E84"/>
    <w:rsid w:val="00AE4158"/>
    <w:rsid w:val="00AE6BB4"/>
    <w:rsid w:val="00AF22D0"/>
    <w:rsid w:val="00AF280E"/>
    <w:rsid w:val="00AF493F"/>
    <w:rsid w:val="00AF557B"/>
    <w:rsid w:val="00AF63E1"/>
    <w:rsid w:val="00AF6FB3"/>
    <w:rsid w:val="00AF70D4"/>
    <w:rsid w:val="00AF7F27"/>
    <w:rsid w:val="00B00CB5"/>
    <w:rsid w:val="00B01D4E"/>
    <w:rsid w:val="00B03433"/>
    <w:rsid w:val="00B03542"/>
    <w:rsid w:val="00B05569"/>
    <w:rsid w:val="00B05F18"/>
    <w:rsid w:val="00B06E22"/>
    <w:rsid w:val="00B07581"/>
    <w:rsid w:val="00B12051"/>
    <w:rsid w:val="00B131C4"/>
    <w:rsid w:val="00B13398"/>
    <w:rsid w:val="00B1641D"/>
    <w:rsid w:val="00B16792"/>
    <w:rsid w:val="00B16C3C"/>
    <w:rsid w:val="00B22180"/>
    <w:rsid w:val="00B22AD1"/>
    <w:rsid w:val="00B2360E"/>
    <w:rsid w:val="00B240A1"/>
    <w:rsid w:val="00B247F8"/>
    <w:rsid w:val="00B24F26"/>
    <w:rsid w:val="00B25B26"/>
    <w:rsid w:val="00B26ACF"/>
    <w:rsid w:val="00B313AA"/>
    <w:rsid w:val="00B3426F"/>
    <w:rsid w:val="00B364DC"/>
    <w:rsid w:val="00B36775"/>
    <w:rsid w:val="00B40F82"/>
    <w:rsid w:val="00B41860"/>
    <w:rsid w:val="00B461EA"/>
    <w:rsid w:val="00B46B84"/>
    <w:rsid w:val="00B4773D"/>
    <w:rsid w:val="00B51416"/>
    <w:rsid w:val="00B51AD0"/>
    <w:rsid w:val="00B51C7E"/>
    <w:rsid w:val="00B52D1B"/>
    <w:rsid w:val="00B53BCA"/>
    <w:rsid w:val="00B605FB"/>
    <w:rsid w:val="00B63DFC"/>
    <w:rsid w:val="00B66E7D"/>
    <w:rsid w:val="00B679EA"/>
    <w:rsid w:val="00B715B8"/>
    <w:rsid w:val="00B72A7E"/>
    <w:rsid w:val="00B738AB"/>
    <w:rsid w:val="00B748D3"/>
    <w:rsid w:val="00B75984"/>
    <w:rsid w:val="00B771A8"/>
    <w:rsid w:val="00B81509"/>
    <w:rsid w:val="00B81981"/>
    <w:rsid w:val="00B81AFA"/>
    <w:rsid w:val="00B81C85"/>
    <w:rsid w:val="00B81D24"/>
    <w:rsid w:val="00B83E8D"/>
    <w:rsid w:val="00B85A8A"/>
    <w:rsid w:val="00B85AAD"/>
    <w:rsid w:val="00B90B2B"/>
    <w:rsid w:val="00B920A5"/>
    <w:rsid w:val="00B93FA8"/>
    <w:rsid w:val="00B94544"/>
    <w:rsid w:val="00B946D7"/>
    <w:rsid w:val="00B9491B"/>
    <w:rsid w:val="00B949A6"/>
    <w:rsid w:val="00B95D57"/>
    <w:rsid w:val="00B9642B"/>
    <w:rsid w:val="00B96720"/>
    <w:rsid w:val="00B97970"/>
    <w:rsid w:val="00BA236E"/>
    <w:rsid w:val="00BA27B5"/>
    <w:rsid w:val="00BA4BCC"/>
    <w:rsid w:val="00BA7785"/>
    <w:rsid w:val="00BA7A30"/>
    <w:rsid w:val="00BB0B4F"/>
    <w:rsid w:val="00BB4842"/>
    <w:rsid w:val="00BB4D67"/>
    <w:rsid w:val="00BB4EDF"/>
    <w:rsid w:val="00BB6B2B"/>
    <w:rsid w:val="00BC1114"/>
    <w:rsid w:val="00BC1BBC"/>
    <w:rsid w:val="00BC7E4D"/>
    <w:rsid w:val="00BD25E8"/>
    <w:rsid w:val="00BD72E3"/>
    <w:rsid w:val="00BD771E"/>
    <w:rsid w:val="00BE2273"/>
    <w:rsid w:val="00BE2708"/>
    <w:rsid w:val="00BE3C35"/>
    <w:rsid w:val="00BE3E65"/>
    <w:rsid w:val="00BE5FB6"/>
    <w:rsid w:val="00BE73A9"/>
    <w:rsid w:val="00BF0D9F"/>
    <w:rsid w:val="00BF171C"/>
    <w:rsid w:val="00BF1DD7"/>
    <w:rsid w:val="00BF2051"/>
    <w:rsid w:val="00BF52E5"/>
    <w:rsid w:val="00BF5466"/>
    <w:rsid w:val="00BF5DD4"/>
    <w:rsid w:val="00BF65FE"/>
    <w:rsid w:val="00C005F9"/>
    <w:rsid w:val="00C007AB"/>
    <w:rsid w:val="00C011BA"/>
    <w:rsid w:val="00C06168"/>
    <w:rsid w:val="00C1066F"/>
    <w:rsid w:val="00C1280B"/>
    <w:rsid w:val="00C13E70"/>
    <w:rsid w:val="00C14D9A"/>
    <w:rsid w:val="00C20E74"/>
    <w:rsid w:val="00C21CFD"/>
    <w:rsid w:val="00C24137"/>
    <w:rsid w:val="00C25A06"/>
    <w:rsid w:val="00C26ABD"/>
    <w:rsid w:val="00C278F0"/>
    <w:rsid w:val="00C27E5D"/>
    <w:rsid w:val="00C31165"/>
    <w:rsid w:val="00C325B7"/>
    <w:rsid w:val="00C37C9C"/>
    <w:rsid w:val="00C41C84"/>
    <w:rsid w:val="00C428F6"/>
    <w:rsid w:val="00C43F21"/>
    <w:rsid w:val="00C45D72"/>
    <w:rsid w:val="00C45E55"/>
    <w:rsid w:val="00C45F5E"/>
    <w:rsid w:val="00C46422"/>
    <w:rsid w:val="00C53736"/>
    <w:rsid w:val="00C54E45"/>
    <w:rsid w:val="00C554D2"/>
    <w:rsid w:val="00C5657F"/>
    <w:rsid w:val="00C6103B"/>
    <w:rsid w:val="00C637DB"/>
    <w:rsid w:val="00C648DA"/>
    <w:rsid w:val="00C65475"/>
    <w:rsid w:val="00C6584E"/>
    <w:rsid w:val="00C66259"/>
    <w:rsid w:val="00C663CF"/>
    <w:rsid w:val="00C673DA"/>
    <w:rsid w:val="00C72435"/>
    <w:rsid w:val="00C7332C"/>
    <w:rsid w:val="00C737F2"/>
    <w:rsid w:val="00C74317"/>
    <w:rsid w:val="00C7474C"/>
    <w:rsid w:val="00C74AFE"/>
    <w:rsid w:val="00C75F0A"/>
    <w:rsid w:val="00C775CB"/>
    <w:rsid w:val="00C7798F"/>
    <w:rsid w:val="00C77AB8"/>
    <w:rsid w:val="00C80577"/>
    <w:rsid w:val="00C81FBE"/>
    <w:rsid w:val="00C8477C"/>
    <w:rsid w:val="00C84D82"/>
    <w:rsid w:val="00C85A89"/>
    <w:rsid w:val="00C8657B"/>
    <w:rsid w:val="00C909FF"/>
    <w:rsid w:val="00C90E16"/>
    <w:rsid w:val="00C92DD6"/>
    <w:rsid w:val="00C92DFD"/>
    <w:rsid w:val="00CA1028"/>
    <w:rsid w:val="00CA1065"/>
    <w:rsid w:val="00CA1AD8"/>
    <w:rsid w:val="00CA1BD2"/>
    <w:rsid w:val="00CA2792"/>
    <w:rsid w:val="00CA2E8C"/>
    <w:rsid w:val="00CA3683"/>
    <w:rsid w:val="00CA46DA"/>
    <w:rsid w:val="00CA4DEF"/>
    <w:rsid w:val="00CA5098"/>
    <w:rsid w:val="00CA5A15"/>
    <w:rsid w:val="00CA6785"/>
    <w:rsid w:val="00CA78F3"/>
    <w:rsid w:val="00CB0335"/>
    <w:rsid w:val="00CB0361"/>
    <w:rsid w:val="00CB0F90"/>
    <w:rsid w:val="00CB1363"/>
    <w:rsid w:val="00CB3496"/>
    <w:rsid w:val="00CB3AED"/>
    <w:rsid w:val="00CB65A0"/>
    <w:rsid w:val="00CC0676"/>
    <w:rsid w:val="00CC0C48"/>
    <w:rsid w:val="00CC30DD"/>
    <w:rsid w:val="00CC3EB2"/>
    <w:rsid w:val="00CC3EF6"/>
    <w:rsid w:val="00CC6C85"/>
    <w:rsid w:val="00CD05C1"/>
    <w:rsid w:val="00CD5484"/>
    <w:rsid w:val="00CE3EB0"/>
    <w:rsid w:val="00CE4740"/>
    <w:rsid w:val="00CE5B9E"/>
    <w:rsid w:val="00CE78CC"/>
    <w:rsid w:val="00CF24E4"/>
    <w:rsid w:val="00CF2D07"/>
    <w:rsid w:val="00CF32CD"/>
    <w:rsid w:val="00CF466D"/>
    <w:rsid w:val="00CF6749"/>
    <w:rsid w:val="00CF75D4"/>
    <w:rsid w:val="00CF78F0"/>
    <w:rsid w:val="00D00B46"/>
    <w:rsid w:val="00D00C28"/>
    <w:rsid w:val="00D0306F"/>
    <w:rsid w:val="00D04128"/>
    <w:rsid w:val="00D0586B"/>
    <w:rsid w:val="00D0681F"/>
    <w:rsid w:val="00D06A06"/>
    <w:rsid w:val="00D06A4B"/>
    <w:rsid w:val="00D12C74"/>
    <w:rsid w:val="00D12E71"/>
    <w:rsid w:val="00D14F68"/>
    <w:rsid w:val="00D161CF"/>
    <w:rsid w:val="00D179E6"/>
    <w:rsid w:val="00D17AB6"/>
    <w:rsid w:val="00D21EB3"/>
    <w:rsid w:val="00D2230B"/>
    <w:rsid w:val="00D227B1"/>
    <w:rsid w:val="00D22EC6"/>
    <w:rsid w:val="00D23069"/>
    <w:rsid w:val="00D23CAE"/>
    <w:rsid w:val="00D2403B"/>
    <w:rsid w:val="00D24C6D"/>
    <w:rsid w:val="00D27557"/>
    <w:rsid w:val="00D301F9"/>
    <w:rsid w:val="00D30BC3"/>
    <w:rsid w:val="00D320D4"/>
    <w:rsid w:val="00D32A5F"/>
    <w:rsid w:val="00D32EA2"/>
    <w:rsid w:val="00D35BD4"/>
    <w:rsid w:val="00D42E80"/>
    <w:rsid w:val="00D43D17"/>
    <w:rsid w:val="00D44CF8"/>
    <w:rsid w:val="00D4521D"/>
    <w:rsid w:val="00D455F9"/>
    <w:rsid w:val="00D47ABD"/>
    <w:rsid w:val="00D547C1"/>
    <w:rsid w:val="00D56DA5"/>
    <w:rsid w:val="00D60C7F"/>
    <w:rsid w:val="00D614AE"/>
    <w:rsid w:val="00D62AAA"/>
    <w:rsid w:val="00D63ACF"/>
    <w:rsid w:val="00D648A3"/>
    <w:rsid w:val="00D64BBD"/>
    <w:rsid w:val="00D64ED0"/>
    <w:rsid w:val="00D669BF"/>
    <w:rsid w:val="00D725CA"/>
    <w:rsid w:val="00D73291"/>
    <w:rsid w:val="00D74AAD"/>
    <w:rsid w:val="00D75DE6"/>
    <w:rsid w:val="00D75F0D"/>
    <w:rsid w:val="00D767BD"/>
    <w:rsid w:val="00D8107C"/>
    <w:rsid w:val="00D816E2"/>
    <w:rsid w:val="00D85C35"/>
    <w:rsid w:val="00D85C64"/>
    <w:rsid w:val="00D85E84"/>
    <w:rsid w:val="00D86163"/>
    <w:rsid w:val="00D87518"/>
    <w:rsid w:val="00D9111D"/>
    <w:rsid w:val="00D92E72"/>
    <w:rsid w:val="00D97F00"/>
    <w:rsid w:val="00DA0F96"/>
    <w:rsid w:val="00DA0FC3"/>
    <w:rsid w:val="00DA3423"/>
    <w:rsid w:val="00DA7021"/>
    <w:rsid w:val="00DB0262"/>
    <w:rsid w:val="00DB2218"/>
    <w:rsid w:val="00DB4B91"/>
    <w:rsid w:val="00DB4E4D"/>
    <w:rsid w:val="00DB546E"/>
    <w:rsid w:val="00DB5BE3"/>
    <w:rsid w:val="00DB6364"/>
    <w:rsid w:val="00DC36EA"/>
    <w:rsid w:val="00DC3935"/>
    <w:rsid w:val="00DC4AF7"/>
    <w:rsid w:val="00DC5082"/>
    <w:rsid w:val="00DC66DB"/>
    <w:rsid w:val="00DC7C71"/>
    <w:rsid w:val="00DD049C"/>
    <w:rsid w:val="00DD09E2"/>
    <w:rsid w:val="00DD3C42"/>
    <w:rsid w:val="00DD3CA0"/>
    <w:rsid w:val="00DD7237"/>
    <w:rsid w:val="00DE0294"/>
    <w:rsid w:val="00DE37DF"/>
    <w:rsid w:val="00DE5FFC"/>
    <w:rsid w:val="00DE63C0"/>
    <w:rsid w:val="00DE64D5"/>
    <w:rsid w:val="00DE744E"/>
    <w:rsid w:val="00DE77C1"/>
    <w:rsid w:val="00DF4E68"/>
    <w:rsid w:val="00DF5B2D"/>
    <w:rsid w:val="00DF6D3F"/>
    <w:rsid w:val="00E028C9"/>
    <w:rsid w:val="00E02C1E"/>
    <w:rsid w:val="00E039A4"/>
    <w:rsid w:val="00E046AD"/>
    <w:rsid w:val="00E04E33"/>
    <w:rsid w:val="00E06712"/>
    <w:rsid w:val="00E10932"/>
    <w:rsid w:val="00E10DF0"/>
    <w:rsid w:val="00E10F62"/>
    <w:rsid w:val="00E155DA"/>
    <w:rsid w:val="00E15E31"/>
    <w:rsid w:val="00E17796"/>
    <w:rsid w:val="00E17946"/>
    <w:rsid w:val="00E2134C"/>
    <w:rsid w:val="00E23FB3"/>
    <w:rsid w:val="00E25F61"/>
    <w:rsid w:val="00E2605B"/>
    <w:rsid w:val="00E27468"/>
    <w:rsid w:val="00E27727"/>
    <w:rsid w:val="00E31F34"/>
    <w:rsid w:val="00E329E3"/>
    <w:rsid w:val="00E32FD7"/>
    <w:rsid w:val="00E34749"/>
    <w:rsid w:val="00E35514"/>
    <w:rsid w:val="00E37E3B"/>
    <w:rsid w:val="00E37FAF"/>
    <w:rsid w:val="00E44580"/>
    <w:rsid w:val="00E44703"/>
    <w:rsid w:val="00E45A55"/>
    <w:rsid w:val="00E46352"/>
    <w:rsid w:val="00E46AC8"/>
    <w:rsid w:val="00E50A3E"/>
    <w:rsid w:val="00E519BB"/>
    <w:rsid w:val="00E52E2E"/>
    <w:rsid w:val="00E539AF"/>
    <w:rsid w:val="00E54C0A"/>
    <w:rsid w:val="00E554AF"/>
    <w:rsid w:val="00E570C4"/>
    <w:rsid w:val="00E5736C"/>
    <w:rsid w:val="00E60F61"/>
    <w:rsid w:val="00E64A15"/>
    <w:rsid w:val="00E65C06"/>
    <w:rsid w:val="00E66433"/>
    <w:rsid w:val="00E677FF"/>
    <w:rsid w:val="00E72FF4"/>
    <w:rsid w:val="00E752FB"/>
    <w:rsid w:val="00E75589"/>
    <w:rsid w:val="00E77A2D"/>
    <w:rsid w:val="00E8068D"/>
    <w:rsid w:val="00E82544"/>
    <w:rsid w:val="00E82752"/>
    <w:rsid w:val="00E84364"/>
    <w:rsid w:val="00E85C9D"/>
    <w:rsid w:val="00E879D8"/>
    <w:rsid w:val="00E87CCC"/>
    <w:rsid w:val="00E90138"/>
    <w:rsid w:val="00E902CC"/>
    <w:rsid w:val="00E93C36"/>
    <w:rsid w:val="00E94179"/>
    <w:rsid w:val="00E95D43"/>
    <w:rsid w:val="00E962AD"/>
    <w:rsid w:val="00EA1422"/>
    <w:rsid w:val="00EA4E5A"/>
    <w:rsid w:val="00EA5DB6"/>
    <w:rsid w:val="00EA5DD1"/>
    <w:rsid w:val="00EA7716"/>
    <w:rsid w:val="00EA795C"/>
    <w:rsid w:val="00EB0A84"/>
    <w:rsid w:val="00EB2625"/>
    <w:rsid w:val="00EB7316"/>
    <w:rsid w:val="00EB7FF3"/>
    <w:rsid w:val="00EC0951"/>
    <w:rsid w:val="00EC0E46"/>
    <w:rsid w:val="00EC136E"/>
    <w:rsid w:val="00EC2CBB"/>
    <w:rsid w:val="00EC2E7D"/>
    <w:rsid w:val="00EC4096"/>
    <w:rsid w:val="00EC42EA"/>
    <w:rsid w:val="00EC68F7"/>
    <w:rsid w:val="00EC7833"/>
    <w:rsid w:val="00ED6233"/>
    <w:rsid w:val="00EE02E1"/>
    <w:rsid w:val="00EE1EF4"/>
    <w:rsid w:val="00EE24E2"/>
    <w:rsid w:val="00EE2AE7"/>
    <w:rsid w:val="00EE2B82"/>
    <w:rsid w:val="00EE50B8"/>
    <w:rsid w:val="00EE6643"/>
    <w:rsid w:val="00EE74B1"/>
    <w:rsid w:val="00EE7B08"/>
    <w:rsid w:val="00EF082D"/>
    <w:rsid w:val="00EF0899"/>
    <w:rsid w:val="00EF116E"/>
    <w:rsid w:val="00EF19E1"/>
    <w:rsid w:val="00EF1B04"/>
    <w:rsid w:val="00EF33EF"/>
    <w:rsid w:val="00EF3E2A"/>
    <w:rsid w:val="00EF7028"/>
    <w:rsid w:val="00F0337A"/>
    <w:rsid w:val="00F04512"/>
    <w:rsid w:val="00F07387"/>
    <w:rsid w:val="00F0762F"/>
    <w:rsid w:val="00F105DE"/>
    <w:rsid w:val="00F117A1"/>
    <w:rsid w:val="00F125EF"/>
    <w:rsid w:val="00F1282F"/>
    <w:rsid w:val="00F13DF1"/>
    <w:rsid w:val="00F14268"/>
    <w:rsid w:val="00F1455B"/>
    <w:rsid w:val="00F1463A"/>
    <w:rsid w:val="00F14BF6"/>
    <w:rsid w:val="00F17032"/>
    <w:rsid w:val="00F2167B"/>
    <w:rsid w:val="00F22BFB"/>
    <w:rsid w:val="00F2312A"/>
    <w:rsid w:val="00F3133F"/>
    <w:rsid w:val="00F369D9"/>
    <w:rsid w:val="00F403CE"/>
    <w:rsid w:val="00F443DB"/>
    <w:rsid w:val="00F45719"/>
    <w:rsid w:val="00F45C20"/>
    <w:rsid w:val="00F4753F"/>
    <w:rsid w:val="00F477B0"/>
    <w:rsid w:val="00F47C92"/>
    <w:rsid w:val="00F5051A"/>
    <w:rsid w:val="00F50B12"/>
    <w:rsid w:val="00F513F7"/>
    <w:rsid w:val="00F54663"/>
    <w:rsid w:val="00F57F8D"/>
    <w:rsid w:val="00F60050"/>
    <w:rsid w:val="00F6414B"/>
    <w:rsid w:val="00F64D52"/>
    <w:rsid w:val="00F65C81"/>
    <w:rsid w:val="00F70211"/>
    <w:rsid w:val="00F7468C"/>
    <w:rsid w:val="00F749E8"/>
    <w:rsid w:val="00F75800"/>
    <w:rsid w:val="00F7755B"/>
    <w:rsid w:val="00F77DA8"/>
    <w:rsid w:val="00F80076"/>
    <w:rsid w:val="00F82E72"/>
    <w:rsid w:val="00F84F55"/>
    <w:rsid w:val="00F85B03"/>
    <w:rsid w:val="00F86821"/>
    <w:rsid w:val="00F91547"/>
    <w:rsid w:val="00F915F2"/>
    <w:rsid w:val="00F923B2"/>
    <w:rsid w:val="00F929EE"/>
    <w:rsid w:val="00F97A6C"/>
    <w:rsid w:val="00FA1D27"/>
    <w:rsid w:val="00FA2003"/>
    <w:rsid w:val="00FB1862"/>
    <w:rsid w:val="00FB1B4D"/>
    <w:rsid w:val="00FB2227"/>
    <w:rsid w:val="00FB2B06"/>
    <w:rsid w:val="00FB3775"/>
    <w:rsid w:val="00FB431D"/>
    <w:rsid w:val="00FB4AD4"/>
    <w:rsid w:val="00FB5455"/>
    <w:rsid w:val="00FC139B"/>
    <w:rsid w:val="00FC3187"/>
    <w:rsid w:val="00FC41FC"/>
    <w:rsid w:val="00FC6EC6"/>
    <w:rsid w:val="00FD05B5"/>
    <w:rsid w:val="00FD0B88"/>
    <w:rsid w:val="00FD0C55"/>
    <w:rsid w:val="00FD4BE2"/>
    <w:rsid w:val="00FD52B0"/>
    <w:rsid w:val="00FD655C"/>
    <w:rsid w:val="00FD6D41"/>
    <w:rsid w:val="00FD6EB3"/>
    <w:rsid w:val="00FD7018"/>
    <w:rsid w:val="00FE1163"/>
    <w:rsid w:val="00FE1C97"/>
    <w:rsid w:val="00FE64FA"/>
    <w:rsid w:val="00FE684A"/>
    <w:rsid w:val="00FF29F8"/>
    <w:rsid w:val="00FF42BB"/>
    <w:rsid w:val="00FF5769"/>
    <w:rsid w:val="00FF60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1DC87"/>
  <w15:docId w15:val="{3C3792A9-FA55-405F-BF27-58468A5D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D2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8207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07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B1FD3"/>
    <w:pPr>
      <w:tabs>
        <w:tab w:val="center" w:pos="4419"/>
        <w:tab w:val="right" w:pos="8838"/>
      </w:tabs>
      <w:spacing w:after="0" w:line="240" w:lineRule="auto"/>
    </w:pPr>
  </w:style>
  <w:style w:type="character" w:customStyle="1" w:styleId="EncabezadoCar">
    <w:name w:val="Encabezado Car"/>
    <w:basedOn w:val="Fuentedeprrafopredeter"/>
    <w:link w:val="Encabezado"/>
    <w:rsid w:val="006B1FD3"/>
    <w:rPr>
      <w:rFonts w:ascii="Calibri" w:eastAsia="Calibri" w:hAnsi="Calibri" w:cs="Times New Roman"/>
    </w:rPr>
  </w:style>
  <w:style w:type="paragraph" w:styleId="Piedepgina">
    <w:name w:val="footer"/>
    <w:basedOn w:val="Normal"/>
    <w:link w:val="PiedepginaCar"/>
    <w:uiPriority w:val="99"/>
    <w:unhideWhenUsed/>
    <w:rsid w:val="006B1F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FD3"/>
    <w:rPr>
      <w:rFonts w:ascii="Calibri" w:eastAsia="Calibri" w:hAnsi="Calibri" w:cs="Times New Roman"/>
    </w:rPr>
  </w:style>
  <w:style w:type="paragraph" w:styleId="Prrafodelista">
    <w:name w:val="List Paragraph"/>
    <w:basedOn w:val="Normal"/>
    <w:link w:val="PrrafodelistaCar"/>
    <w:uiPriority w:val="34"/>
    <w:qFormat/>
    <w:rsid w:val="006B1FD3"/>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6B1FD3"/>
    <w:rPr>
      <w:rFonts w:ascii="Arial" w:eastAsia="Times New Roman" w:hAnsi="Arial" w:cs="Times New Roman"/>
      <w:sz w:val="24"/>
      <w:szCs w:val="20"/>
    </w:rPr>
  </w:style>
  <w:style w:type="character" w:customStyle="1" w:styleId="apple-converted-space">
    <w:name w:val="apple-converted-space"/>
    <w:basedOn w:val="Fuentedeprrafopredeter"/>
    <w:rsid w:val="006B1FD3"/>
  </w:style>
  <w:style w:type="paragraph" w:styleId="Textodeglobo">
    <w:name w:val="Balloon Text"/>
    <w:basedOn w:val="Normal"/>
    <w:link w:val="TextodegloboCar"/>
    <w:uiPriority w:val="99"/>
    <w:semiHidden/>
    <w:unhideWhenUsed/>
    <w:rsid w:val="002027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2751"/>
    <w:rPr>
      <w:rFonts w:ascii="Tahoma" w:eastAsia="Calibri" w:hAnsi="Tahoma" w:cs="Tahoma"/>
      <w:sz w:val="16"/>
      <w:szCs w:val="16"/>
    </w:rPr>
  </w:style>
  <w:style w:type="paragraph" w:customStyle="1" w:styleId="estilo30">
    <w:name w:val="estilo30"/>
    <w:basedOn w:val="Normal"/>
    <w:rsid w:val="00252972"/>
    <w:pPr>
      <w:spacing w:before="100" w:beforeAutospacing="1" w:after="100" w:afterAutospacing="1"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uiPriority w:val="99"/>
    <w:semiHidden/>
    <w:unhideWhenUsed/>
    <w:rsid w:val="002617CB"/>
    <w:rPr>
      <w:sz w:val="16"/>
      <w:szCs w:val="16"/>
    </w:rPr>
  </w:style>
  <w:style w:type="paragraph" w:styleId="Textocomentario">
    <w:name w:val="annotation text"/>
    <w:basedOn w:val="Normal"/>
    <w:link w:val="TextocomentarioCar"/>
    <w:uiPriority w:val="99"/>
    <w:unhideWhenUsed/>
    <w:rsid w:val="002617CB"/>
    <w:pPr>
      <w:spacing w:line="240" w:lineRule="auto"/>
    </w:pPr>
    <w:rPr>
      <w:sz w:val="20"/>
      <w:szCs w:val="20"/>
    </w:rPr>
  </w:style>
  <w:style w:type="character" w:customStyle="1" w:styleId="TextocomentarioCar">
    <w:name w:val="Texto comentario Car"/>
    <w:basedOn w:val="Fuentedeprrafopredeter"/>
    <w:link w:val="Textocomentario"/>
    <w:uiPriority w:val="99"/>
    <w:rsid w:val="002617CB"/>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617CB"/>
    <w:rPr>
      <w:b/>
      <w:bCs/>
    </w:rPr>
  </w:style>
  <w:style w:type="character" w:customStyle="1" w:styleId="AsuntodelcomentarioCar">
    <w:name w:val="Asunto del comentario Car"/>
    <w:basedOn w:val="TextocomentarioCar"/>
    <w:link w:val="Asuntodelcomentario"/>
    <w:uiPriority w:val="99"/>
    <w:semiHidden/>
    <w:rsid w:val="002617CB"/>
    <w:rPr>
      <w:rFonts w:ascii="Calibri" w:eastAsia="Calibri" w:hAnsi="Calibri" w:cs="Times New Roman"/>
      <w:b/>
      <w:bCs/>
      <w:sz w:val="20"/>
      <w:szCs w:val="20"/>
    </w:rPr>
  </w:style>
  <w:style w:type="paragraph" w:styleId="Revisin">
    <w:name w:val="Revision"/>
    <w:hidden/>
    <w:uiPriority w:val="99"/>
    <w:semiHidden/>
    <w:rsid w:val="00547A2B"/>
    <w:pPr>
      <w:spacing w:after="0" w:line="240" w:lineRule="auto"/>
    </w:pPr>
    <w:rPr>
      <w:rFonts w:ascii="Calibri" w:eastAsia="Calibri" w:hAnsi="Calibri" w:cs="Times New Roman"/>
    </w:rPr>
  </w:style>
  <w:style w:type="paragraph" w:styleId="TDC7">
    <w:name w:val="toc 7"/>
    <w:basedOn w:val="Normal"/>
    <w:next w:val="Normal"/>
    <w:uiPriority w:val="99"/>
    <w:semiHidden/>
    <w:rsid w:val="00F477B0"/>
    <w:pPr>
      <w:suppressAutoHyphens/>
      <w:spacing w:after="0" w:line="240" w:lineRule="auto"/>
      <w:ind w:left="720" w:hanging="720"/>
    </w:pPr>
    <w:rPr>
      <w:rFonts w:ascii="Univers" w:eastAsia="Times New Roman" w:hAnsi="Univers"/>
      <w:sz w:val="24"/>
      <w:szCs w:val="20"/>
      <w:lang w:val="en-US" w:eastAsia="es-ES"/>
    </w:rPr>
  </w:style>
  <w:style w:type="paragraph" w:styleId="Textonotapie">
    <w:name w:val="footnote text"/>
    <w:basedOn w:val="Normal"/>
    <w:link w:val="TextonotapieCar"/>
    <w:uiPriority w:val="99"/>
    <w:unhideWhenUsed/>
    <w:rsid w:val="008A6A05"/>
    <w:rPr>
      <w:sz w:val="20"/>
      <w:szCs w:val="20"/>
    </w:rPr>
  </w:style>
  <w:style w:type="character" w:customStyle="1" w:styleId="TextonotapieCar">
    <w:name w:val="Texto nota pie Car"/>
    <w:basedOn w:val="Fuentedeprrafopredeter"/>
    <w:link w:val="Textonotapie"/>
    <w:uiPriority w:val="99"/>
    <w:rsid w:val="008A6A05"/>
    <w:rPr>
      <w:rFonts w:ascii="Calibri" w:eastAsia="Calibri" w:hAnsi="Calibri" w:cs="Times New Roman"/>
      <w:sz w:val="20"/>
      <w:szCs w:val="20"/>
    </w:rPr>
  </w:style>
  <w:style w:type="character" w:styleId="Refdenotaalpie">
    <w:name w:val="footnote reference"/>
    <w:aliases w:val="Ref,de nota al pie,(NECG) Footnote Reference,o,fr,Style 3,Appel note de bas de p,Style 12,Style 124,Ref. de nota al pie 2"/>
    <w:uiPriority w:val="99"/>
    <w:unhideWhenUsed/>
    <w:qFormat/>
    <w:rsid w:val="008A6A05"/>
    <w:rPr>
      <w:vertAlign w:val="superscript"/>
    </w:rPr>
  </w:style>
  <w:style w:type="table" w:styleId="Tablaconcuadrcula">
    <w:name w:val="Table Grid"/>
    <w:basedOn w:val="Tablanormal"/>
    <w:uiPriority w:val="39"/>
    <w:rsid w:val="0088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B72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E5FB6"/>
    <w:rPr>
      <w:color w:val="0563C1" w:themeColor="hyperlink"/>
      <w:u w:val="single"/>
    </w:rPr>
  </w:style>
  <w:style w:type="paragraph" w:customStyle="1" w:styleId="Texto">
    <w:name w:val="Texto"/>
    <w:basedOn w:val="Normal"/>
    <w:link w:val="TextoCar"/>
    <w:rsid w:val="00457637"/>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457637"/>
    <w:rPr>
      <w:rFonts w:ascii="Arial" w:eastAsia="Times New Roman" w:hAnsi="Arial" w:cs="Arial"/>
      <w:sz w:val="18"/>
      <w:szCs w:val="20"/>
      <w:lang w:val="es-ES" w:eastAsia="es-ES"/>
    </w:rPr>
  </w:style>
  <w:style w:type="paragraph" w:styleId="NormalWeb">
    <w:name w:val="Normal (Web)"/>
    <w:basedOn w:val="Normal"/>
    <w:uiPriority w:val="99"/>
    <w:semiHidden/>
    <w:unhideWhenUsed/>
    <w:rsid w:val="006D71AC"/>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SinespaciadoCar">
    <w:name w:val="Sin espaciado Car"/>
    <w:basedOn w:val="Fuentedeprrafopredeter"/>
    <w:link w:val="Sinespaciado"/>
    <w:uiPriority w:val="1"/>
    <w:locked/>
    <w:rsid w:val="00E17946"/>
    <w:rPr>
      <w:rFonts w:ascii="Calibri" w:hAnsi="Calibri"/>
    </w:rPr>
  </w:style>
  <w:style w:type="paragraph" w:styleId="Sinespaciado">
    <w:name w:val="No Spacing"/>
    <w:basedOn w:val="Normal"/>
    <w:link w:val="SinespaciadoCar"/>
    <w:uiPriority w:val="1"/>
    <w:qFormat/>
    <w:rsid w:val="00E17946"/>
    <w:pPr>
      <w:spacing w:after="0" w:line="240" w:lineRule="auto"/>
    </w:pPr>
    <w:rPr>
      <w:rFonts w:eastAsiaTheme="minorHAnsi" w:cstheme="minorBidi"/>
    </w:rPr>
  </w:style>
  <w:style w:type="character" w:customStyle="1" w:styleId="Ttulo1Car">
    <w:name w:val="Título 1 Car"/>
    <w:basedOn w:val="Fuentedeprrafopredeter"/>
    <w:link w:val="Ttulo1"/>
    <w:uiPriority w:val="9"/>
    <w:rsid w:val="008207B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207B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2007">
      <w:bodyDiv w:val="1"/>
      <w:marLeft w:val="0"/>
      <w:marRight w:val="0"/>
      <w:marTop w:val="0"/>
      <w:marBottom w:val="0"/>
      <w:divBdr>
        <w:top w:val="none" w:sz="0" w:space="0" w:color="auto"/>
        <w:left w:val="none" w:sz="0" w:space="0" w:color="auto"/>
        <w:bottom w:val="none" w:sz="0" w:space="0" w:color="auto"/>
        <w:right w:val="none" w:sz="0" w:space="0" w:color="auto"/>
      </w:divBdr>
    </w:div>
    <w:div w:id="145902941">
      <w:bodyDiv w:val="1"/>
      <w:marLeft w:val="0"/>
      <w:marRight w:val="0"/>
      <w:marTop w:val="0"/>
      <w:marBottom w:val="0"/>
      <w:divBdr>
        <w:top w:val="none" w:sz="0" w:space="0" w:color="auto"/>
        <w:left w:val="none" w:sz="0" w:space="0" w:color="auto"/>
        <w:bottom w:val="none" w:sz="0" w:space="0" w:color="auto"/>
        <w:right w:val="none" w:sz="0" w:space="0" w:color="auto"/>
      </w:divBdr>
    </w:div>
    <w:div w:id="197395089">
      <w:bodyDiv w:val="1"/>
      <w:marLeft w:val="0"/>
      <w:marRight w:val="0"/>
      <w:marTop w:val="0"/>
      <w:marBottom w:val="0"/>
      <w:divBdr>
        <w:top w:val="none" w:sz="0" w:space="0" w:color="auto"/>
        <w:left w:val="none" w:sz="0" w:space="0" w:color="auto"/>
        <w:bottom w:val="none" w:sz="0" w:space="0" w:color="auto"/>
        <w:right w:val="none" w:sz="0" w:space="0" w:color="auto"/>
      </w:divBdr>
    </w:div>
    <w:div w:id="286088701">
      <w:bodyDiv w:val="1"/>
      <w:marLeft w:val="0"/>
      <w:marRight w:val="0"/>
      <w:marTop w:val="0"/>
      <w:marBottom w:val="0"/>
      <w:divBdr>
        <w:top w:val="none" w:sz="0" w:space="0" w:color="auto"/>
        <w:left w:val="none" w:sz="0" w:space="0" w:color="auto"/>
        <w:bottom w:val="none" w:sz="0" w:space="0" w:color="auto"/>
        <w:right w:val="none" w:sz="0" w:space="0" w:color="auto"/>
      </w:divBdr>
    </w:div>
    <w:div w:id="351105847">
      <w:bodyDiv w:val="1"/>
      <w:marLeft w:val="0"/>
      <w:marRight w:val="0"/>
      <w:marTop w:val="0"/>
      <w:marBottom w:val="0"/>
      <w:divBdr>
        <w:top w:val="none" w:sz="0" w:space="0" w:color="auto"/>
        <w:left w:val="none" w:sz="0" w:space="0" w:color="auto"/>
        <w:bottom w:val="none" w:sz="0" w:space="0" w:color="auto"/>
        <w:right w:val="none" w:sz="0" w:space="0" w:color="auto"/>
      </w:divBdr>
    </w:div>
    <w:div w:id="374433154">
      <w:bodyDiv w:val="1"/>
      <w:marLeft w:val="0"/>
      <w:marRight w:val="0"/>
      <w:marTop w:val="0"/>
      <w:marBottom w:val="0"/>
      <w:divBdr>
        <w:top w:val="none" w:sz="0" w:space="0" w:color="auto"/>
        <w:left w:val="none" w:sz="0" w:space="0" w:color="auto"/>
        <w:bottom w:val="none" w:sz="0" w:space="0" w:color="auto"/>
        <w:right w:val="none" w:sz="0" w:space="0" w:color="auto"/>
      </w:divBdr>
    </w:div>
    <w:div w:id="419570487">
      <w:bodyDiv w:val="1"/>
      <w:marLeft w:val="0"/>
      <w:marRight w:val="0"/>
      <w:marTop w:val="0"/>
      <w:marBottom w:val="0"/>
      <w:divBdr>
        <w:top w:val="none" w:sz="0" w:space="0" w:color="auto"/>
        <w:left w:val="none" w:sz="0" w:space="0" w:color="auto"/>
        <w:bottom w:val="none" w:sz="0" w:space="0" w:color="auto"/>
        <w:right w:val="none" w:sz="0" w:space="0" w:color="auto"/>
      </w:divBdr>
    </w:div>
    <w:div w:id="493450803">
      <w:bodyDiv w:val="1"/>
      <w:marLeft w:val="0"/>
      <w:marRight w:val="0"/>
      <w:marTop w:val="0"/>
      <w:marBottom w:val="0"/>
      <w:divBdr>
        <w:top w:val="none" w:sz="0" w:space="0" w:color="auto"/>
        <w:left w:val="none" w:sz="0" w:space="0" w:color="auto"/>
        <w:bottom w:val="none" w:sz="0" w:space="0" w:color="auto"/>
        <w:right w:val="none" w:sz="0" w:space="0" w:color="auto"/>
      </w:divBdr>
    </w:div>
    <w:div w:id="499732327">
      <w:bodyDiv w:val="1"/>
      <w:marLeft w:val="0"/>
      <w:marRight w:val="0"/>
      <w:marTop w:val="0"/>
      <w:marBottom w:val="0"/>
      <w:divBdr>
        <w:top w:val="none" w:sz="0" w:space="0" w:color="auto"/>
        <w:left w:val="none" w:sz="0" w:space="0" w:color="auto"/>
        <w:bottom w:val="none" w:sz="0" w:space="0" w:color="auto"/>
        <w:right w:val="none" w:sz="0" w:space="0" w:color="auto"/>
      </w:divBdr>
    </w:div>
    <w:div w:id="601955347">
      <w:bodyDiv w:val="1"/>
      <w:marLeft w:val="0"/>
      <w:marRight w:val="0"/>
      <w:marTop w:val="0"/>
      <w:marBottom w:val="0"/>
      <w:divBdr>
        <w:top w:val="none" w:sz="0" w:space="0" w:color="auto"/>
        <w:left w:val="none" w:sz="0" w:space="0" w:color="auto"/>
        <w:bottom w:val="none" w:sz="0" w:space="0" w:color="auto"/>
        <w:right w:val="none" w:sz="0" w:space="0" w:color="auto"/>
      </w:divBdr>
    </w:div>
    <w:div w:id="624236009">
      <w:bodyDiv w:val="1"/>
      <w:marLeft w:val="0"/>
      <w:marRight w:val="0"/>
      <w:marTop w:val="0"/>
      <w:marBottom w:val="0"/>
      <w:divBdr>
        <w:top w:val="none" w:sz="0" w:space="0" w:color="auto"/>
        <w:left w:val="none" w:sz="0" w:space="0" w:color="auto"/>
        <w:bottom w:val="none" w:sz="0" w:space="0" w:color="auto"/>
        <w:right w:val="none" w:sz="0" w:space="0" w:color="auto"/>
      </w:divBdr>
    </w:div>
    <w:div w:id="690255071">
      <w:bodyDiv w:val="1"/>
      <w:marLeft w:val="0"/>
      <w:marRight w:val="0"/>
      <w:marTop w:val="0"/>
      <w:marBottom w:val="0"/>
      <w:divBdr>
        <w:top w:val="none" w:sz="0" w:space="0" w:color="auto"/>
        <w:left w:val="none" w:sz="0" w:space="0" w:color="auto"/>
        <w:bottom w:val="none" w:sz="0" w:space="0" w:color="auto"/>
        <w:right w:val="none" w:sz="0" w:space="0" w:color="auto"/>
      </w:divBdr>
    </w:div>
    <w:div w:id="709888414">
      <w:bodyDiv w:val="1"/>
      <w:marLeft w:val="0"/>
      <w:marRight w:val="0"/>
      <w:marTop w:val="0"/>
      <w:marBottom w:val="0"/>
      <w:divBdr>
        <w:top w:val="none" w:sz="0" w:space="0" w:color="auto"/>
        <w:left w:val="none" w:sz="0" w:space="0" w:color="auto"/>
        <w:bottom w:val="none" w:sz="0" w:space="0" w:color="auto"/>
        <w:right w:val="none" w:sz="0" w:space="0" w:color="auto"/>
      </w:divBdr>
    </w:div>
    <w:div w:id="715470983">
      <w:bodyDiv w:val="1"/>
      <w:marLeft w:val="0"/>
      <w:marRight w:val="0"/>
      <w:marTop w:val="0"/>
      <w:marBottom w:val="0"/>
      <w:divBdr>
        <w:top w:val="none" w:sz="0" w:space="0" w:color="auto"/>
        <w:left w:val="none" w:sz="0" w:space="0" w:color="auto"/>
        <w:bottom w:val="none" w:sz="0" w:space="0" w:color="auto"/>
        <w:right w:val="none" w:sz="0" w:space="0" w:color="auto"/>
      </w:divBdr>
    </w:div>
    <w:div w:id="766539534">
      <w:bodyDiv w:val="1"/>
      <w:marLeft w:val="0"/>
      <w:marRight w:val="0"/>
      <w:marTop w:val="0"/>
      <w:marBottom w:val="0"/>
      <w:divBdr>
        <w:top w:val="none" w:sz="0" w:space="0" w:color="auto"/>
        <w:left w:val="none" w:sz="0" w:space="0" w:color="auto"/>
        <w:bottom w:val="none" w:sz="0" w:space="0" w:color="auto"/>
        <w:right w:val="none" w:sz="0" w:space="0" w:color="auto"/>
      </w:divBdr>
    </w:div>
    <w:div w:id="766773001">
      <w:bodyDiv w:val="1"/>
      <w:marLeft w:val="0"/>
      <w:marRight w:val="0"/>
      <w:marTop w:val="0"/>
      <w:marBottom w:val="0"/>
      <w:divBdr>
        <w:top w:val="none" w:sz="0" w:space="0" w:color="auto"/>
        <w:left w:val="none" w:sz="0" w:space="0" w:color="auto"/>
        <w:bottom w:val="none" w:sz="0" w:space="0" w:color="auto"/>
        <w:right w:val="none" w:sz="0" w:space="0" w:color="auto"/>
      </w:divBdr>
    </w:div>
    <w:div w:id="847133426">
      <w:bodyDiv w:val="1"/>
      <w:marLeft w:val="0"/>
      <w:marRight w:val="0"/>
      <w:marTop w:val="0"/>
      <w:marBottom w:val="0"/>
      <w:divBdr>
        <w:top w:val="none" w:sz="0" w:space="0" w:color="auto"/>
        <w:left w:val="none" w:sz="0" w:space="0" w:color="auto"/>
        <w:bottom w:val="none" w:sz="0" w:space="0" w:color="auto"/>
        <w:right w:val="none" w:sz="0" w:space="0" w:color="auto"/>
      </w:divBdr>
    </w:div>
    <w:div w:id="877428594">
      <w:bodyDiv w:val="1"/>
      <w:marLeft w:val="0"/>
      <w:marRight w:val="0"/>
      <w:marTop w:val="0"/>
      <w:marBottom w:val="0"/>
      <w:divBdr>
        <w:top w:val="none" w:sz="0" w:space="0" w:color="auto"/>
        <w:left w:val="none" w:sz="0" w:space="0" w:color="auto"/>
        <w:bottom w:val="none" w:sz="0" w:space="0" w:color="auto"/>
        <w:right w:val="none" w:sz="0" w:space="0" w:color="auto"/>
      </w:divBdr>
    </w:div>
    <w:div w:id="971054968">
      <w:bodyDiv w:val="1"/>
      <w:marLeft w:val="0"/>
      <w:marRight w:val="0"/>
      <w:marTop w:val="0"/>
      <w:marBottom w:val="0"/>
      <w:divBdr>
        <w:top w:val="none" w:sz="0" w:space="0" w:color="auto"/>
        <w:left w:val="none" w:sz="0" w:space="0" w:color="auto"/>
        <w:bottom w:val="none" w:sz="0" w:space="0" w:color="auto"/>
        <w:right w:val="none" w:sz="0" w:space="0" w:color="auto"/>
      </w:divBdr>
    </w:div>
    <w:div w:id="1049912947">
      <w:bodyDiv w:val="1"/>
      <w:marLeft w:val="0"/>
      <w:marRight w:val="0"/>
      <w:marTop w:val="0"/>
      <w:marBottom w:val="0"/>
      <w:divBdr>
        <w:top w:val="none" w:sz="0" w:space="0" w:color="auto"/>
        <w:left w:val="none" w:sz="0" w:space="0" w:color="auto"/>
        <w:bottom w:val="none" w:sz="0" w:space="0" w:color="auto"/>
        <w:right w:val="none" w:sz="0" w:space="0" w:color="auto"/>
      </w:divBdr>
    </w:div>
    <w:div w:id="1070494350">
      <w:bodyDiv w:val="1"/>
      <w:marLeft w:val="0"/>
      <w:marRight w:val="0"/>
      <w:marTop w:val="0"/>
      <w:marBottom w:val="0"/>
      <w:divBdr>
        <w:top w:val="none" w:sz="0" w:space="0" w:color="auto"/>
        <w:left w:val="none" w:sz="0" w:space="0" w:color="auto"/>
        <w:bottom w:val="none" w:sz="0" w:space="0" w:color="auto"/>
        <w:right w:val="none" w:sz="0" w:space="0" w:color="auto"/>
      </w:divBdr>
    </w:div>
    <w:div w:id="1162431911">
      <w:bodyDiv w:val="1"/>
      <w:marLeft w:val="0"/>
      <w:marRight w:val="0"/>
      <w:marTop w:val="0"/>
      <w:marBottom w:val="0"/>
      <w:divBdr>
        <w:top w:val="none" w:sz="0" w:space="0" w:color="auto"/>
        <w:left w:val="none" w:sz="0" w:space="0" w:color="auto"/>
        <w:bottom w:val="none" w:sz="0" w:space="0" w:color="auto"/>
        <w:right w:val="none" w:sz="0" w:space="0" w:color="auto"/>
      </w:divBdr>
    </w:div>
    <w:div w:id="1172254460">
      <w:bodyDiv w:val="1"/>
      <w:marLeft w:val="0"/>
      <w:marRight w:val="0"/>
      <w:marTop w:val="0"/>
      <w:marBottom w:val="0"/>
      <w:divBdr>
        <w:top w:val="none" w:sz="0" w:space="0" w:color="auto"/>
        <w:left w:val="none" w:sz="0" w:space="0" w:color="auto"/>
        <w:bottom w:val="none" w:sz="0" w:space="0" w:color="auto"/>
        <w:right w:val="none" w:sz="0" w:space="0" w:color="auto"/>
      </w:divBdr>
    </w:div>
    <w:div w:id="1175730267">
      <w:bodyDiv w:val="1"/>
      <w:marLeft w:val="0"/>
      <w:marRight w:val="0"/>
      <w:marTop w:val="0"/>
      <w:marBottom w:val="0"/>
      <w:divBdr>
        <w:top w:val="none" w:sz="0" w:space="0" w:color="auto"/>
        <w:left w:val="none" w:sz="0" w:space="0" w:color="auto"/>
        <w:bottom w:val="none" w:sz="0" w:space="0" w:color="auto"/>
        <w:right w:val="none" w:sz="0" w:space="0" w:color="auto"/>
      </w:divBdr>
    </w:div>
    <w:div w:id="1179464306">
      <w:bodyDiv w:val="1"/>
      <w:marLeft w:val="0"/>
      <w:marRight w:val="0"/>
      <w:marTop w:val="0"/>
      <w:marBottom w:val="0"/>
      <w:divBdr>
        <w:top w:val="none" w:sz="0" w:space="0" w:color="auto"/>
        <w:left w:val="none" w:sz="0" w:space="0" w:color="auto"/>
        <w:bottom w:val="none" w:sz="0" w:space="0" w:color="auto"/>
        <w:right w:val="none" w:sz="0" w:space="0" w:color="auto"/>
      </w:divBdr>
    </w:div>
    <w:div w:id="1507355860">
      <w:bodyDiv w:val="1"/>
      <w:marLeft w:val="0"/>
      <w:marRight w:val="0"/>
      <w:marTop w:val="0"/>
      <w:marBottom w:val="0"/>
      <w:divBdr>
        <w:top w:val="none" w:sz="0" w:space="0" w:color="auto"/>
        <w:left w:val="none" w:sz="0" w:space="0" w:color="auto"/>
        <w:bottom w:val="none" w:sz="0" w:space="0" w:color="auto"/>
        <w:right w:val="none" w:sz="0" w:space="0" w:color="auto"/>
      </w:divBdr>
    </w:div>
    <w:div w:id="1548494083">
      <w:bodyDiv w:val="1"/>
      <w:marLeft w:val="0"/>
      <w:marRight w:val="0"/>
      <w:marTop w:val="0"/>
      <w:marBottom w:val="0"/>
      <w:divBdr>
        <w:top w:val="none" w:sz="0" w:space="0" w:color="auto"/>
        <w:left w:val="none" w:sz="0" w:space="0" w:color="auto"/>
        <w:bottom w:val="none" w:sz="0" w:space="0" w:color="auto"/>
        <w:right w:val="none" w:sz="0" w:space="0" w:color="auto"/>
      </w:divBdr>
    </w:div>
    <w:div w:id="1721828341">
      <w:bodyDiv w:val="1"/>
      <w:marLeft w:val="0"/>
      <w:marRight w:val="0"/>
      <w:marTop w:val="0"/>
      <w:marBottom w:val="0"/>
      <w:divBdr>
        <w:top w:val="none" w:sz="0" w:space="0" w:color="auto"/>
        <w:left w:val="none" w:sz="0" w:space="0" w:color="auto"/>
        <w:bottom w:val="none" w:sz="0" w:space="0" w:color="auto"/>
        <w:right w:val="none" w:sz="0" w:space="0" w:color="auto"/>
      </w:divBdr>
    </w:div>
    <w:div w:id="1791852253">
      <w:bodyDiv w:val="1"/>
      <w:marLeft w:val="0"/>
      <w:marRight w:val="0"/>
      <w:marTop w:val="0"/>
      <w:marBottom w:val="0"/>
      <w:divBdr>
        <w:top w:val="none" w:sz="0" w:space="0" w:color="auto"/>
        <w:left w:val="none" w:sz="0" w:space="0" w:color="auto"/>
        <w:bottom w:val="none" w:sz="0" w:space="0" w:color="auto"/>
        <w:right w:val="none" w:sz="0" w:space="0" w:color="auto"/>
      </w:divBdr>
    </w:div>
    <w:div w:id="1803496267">
      <w:bodyDiv w:val="1"/>
      <w:marLeft w:val="0"/>
      <w:marRight w:val="0"/>
      <w:marTop w:val="0"/>
      <w:marBottom w:val="0"/>
      <w:divBdr>
        <w:top w:val="none" w:sz="0" w:space="0" w:color="auto"/>
        <w:left w:val="none" w:sz="0" w:space="0" w:color="auto"/>
        <w:bottom w:val="none" w:sz="0" w:space="0" w:color="auto"/>
        <w:right w:val="none" w:sz="0" w:space="0" w:color="auto"/>
      </w:divBdr>
    </w:div>
    <w:div w:id="1844978281">
      <w:bodyDiv w:val="1"/>
      <w:marLeft w:val="0"/>
      <w:marRight w:val="0"/>
      <w:marTop w:val="0"/>
      <w:marBottom w:val="0"/>
      <w:divBdr>
        <w:top w:val="none" w:sz="0" w:space="0" w:color="auto"/>
        <w:left w:val="none" w:sz="0" w:space="0" w:color="auto"/>
        <w:bottom w:val="none" w:sz="0" w:space="0" w:color="auto"/>
        <w:right w:val="none" w:sz="0" w:space="0" w:color="auto"/>
      </w:divBdr>
    </w:div>
    <w:div w:id="1907569022">
      <w:bodyDiv w:val="1"/>
      <w:marLeft w:val="0"/>
      <w:marRight w:val="0"/>
      <w:marTop w:val="0"/>
      <w:marBottom w:val="0"/>
      <w:divBdr>
        <w:top w:val="none" w:sz="0" w:space="0" w:color="auto"/>
        <w:left w:val="none" w:sz="0" w:space="0" w:color="auto"/>
        <w:bottom w:val="none" w:sz="0" w:space="0" w:color="auto"/>
        <w:right w:val="none" w:sz="0" w:space="0" w:color="auto"/>
      </w:divBdr>
    </w:div>
    <w:div w:id="1920482313">
      <w:bodyDiv w:val="1"/>
      <w:marLeft w:val="0"/>
      <w:marRight w:val="0"/>
      <w:marTop w:val="0"/>
      <w:marBottom w:val="0"/>
      <w:divBdr>
        <w:top w:val="none" w:sz="0" w:space="0" w:color="auto"/>
        <w:left w:val="none" w:sz="0" w:space="0" w:color="auto"/>
        <w:bottom w:val="none" w:sz="0" w:space="0" w:color="auto"/>
        <w:right w:val="none" w:sz="0" w:space="0" w:color="auto"/>
      </w:divBdr>
    </w:div>
    <w:div w:id="1931234013">
      <w:bodyDiv w:val="1"/>
      <w:marLeft w:val="0"/>
      <w:marRight w:val="0"/>
      <w:marTop w:val="0"/>
      <w:marBottom w:val="0"/>
      <w:divBdr>
        <w:top w:val="none" w:sz="0" w:space="0" w:color="auto"/>
        <w:left w:val="none" w:sz="0" w:space="0" w:color="auto"/>
        <w:bottom w:val="none" w:sz="0" w:space="0" w:color="auto"/>
        <w:right w:val="none" w:sz="0" w:space="0" w:color="auto"/>
      </w:divBdr>
    </w:div>
    <w:div w:id="20426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38652-DF68-41C4-9C73-C68786625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4663</Words>
  <Characters>25652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Eliuth Ramirez Gonzalez</dc:creator>
  <cp:keywords/>
  <dc:description/>
  <cp:lastModifiedBy>Maria del Consuelo Gonzalez Moreno</cp:lastModifiedBy>
  <cp:revision>16</cp:revision>
  <cp:lastPrinted>2016-04-21T02:22:00Z</cp:lastPrinted>
  <dcterms:created xsi:type="dcterms:W3CDTF">2016-04-21T01:05:00Z</dcterms:created>
  <dcterms:modified xsi:type="dcterms:W3CDTF">2016-04-21T17:41:00Z</dcterms:modified>
</cp:coreProperties>
</file>