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5E00E" w14:textId="1F05BE0E" w:rsidR="00D04074" w:rsidRPr="00685413" w:rsidRDefault="00D42CA3" w:rsidP="00685413">
      <w:pPr>
        <w:pStyle w:val="Ttulo1"/>
        <w:jc w:val="both"/>
        <w:rPr>
          <w:rFonts w:ascii="ITC Avant Garde" w:hAnsi="ITC Avant Garde"/>
          <w:b/>
          <w:color w:val="000000" w:themeColor="text1"/>
          <w:sz w:val="22"/>
          <w:szCs w:val="22"/>
          <w:lang w:eastAsia="es-MX"/>
        </w:rPr>
      </w:pPr>
      <w:bookmarkStart w:id="0" w:name="_GoBack"/>
      <w:bookmarkEnd w:id="0"/>
      <w:r w:rsidRPr="00685413">
        <w:rPr>
          <w:rFonts w:ascii="ITC Avant Garde" w:hAnsi="ITC Avant Garde"/>
          <w:b/>
          <w:color w:val="000000" w:themeColor="text1"/>
          <w:sz w:val="22"/>
          <w:szCs w:val="22"/>
          <w:lang w:eastAsia="es-MX"/>
        </w:rPr>
        <w:t xml:space="preserve">RESOLUCIÓN </w:t>
      </w:r>
      <w:r w:rsidR="00412F3A" w:rsidRPr="00685413">
        <w:rPr>
          <w:rFonts w:ascii="ITC Avant Garde" w:hAnsi="ITC Avant Garde"/>
          <w:b/>
          <w:color w:val="000000" w:themeColor="text1"/>
          <w:sz w:val="22"/>
          <w:szCs w:val="22"/>
          <w:lang w:eastAsia="es-MX"/>
        </w:rPr>
        <w:t>MEDIANTE LA</w:t>
      </w:r>
      <w:r w:rsidRPr="00685413">
        <w:rPr>
          <w:rFonts w:ascii="ITC Avant Garde" w:hAnsi="ITC Avant Garde"/>
          <w:b/>
          <w:color w:val="000000" w:themeColor="text1"/>
          <w:sz w:val="22"/>
          <w:szCs w:val="22"/>
          <w:lang w:eastAsia="es-MX"/>
        </w:rPr>
        <w:t xml:space="preserve"> CUAL EL PLENO DEL INSTITUTO FEDERAL DE TELECOMUNICACIONES AUTORIZA LA ENAJENACIÓN DE ACCIONES DE </w:t>
      </w:r>
      <w:r w:rsidR="00221CD0" w:rsidRPr="00685413">
        <w:rPr>
          <w:rFonts w:ascii="ITC Avant Garde" w:hAnsi="ITC Avant Garde"/>
          <w:b/>
          <w:color w:val="000000" w:themeColor="text1"/>
          <w:sz w:val="22"/>
          <w:szCs w:val="22"/>
          <w:lang w:eastAsia="es-MX"/>
        </w:rPr>
        <w:t xml:space="preserve">LA EMPRESA </w:t>
      </w:r>
      <w:r w:rsidR="005866C9" w:rsidRPr="00685413">
        <w:rPr>
          <w:rFonts w:ascii="ITC Avant Garde" w:hAnsi="ITC Avant Garde"/>
          <w:b/>
          <w:color w:val="000000" w:themeColor="text1"/>
          <w:sz w:val="22"/>
          <w:szCs w:val="22"/>
          <w:lang w:eastAsia="es-MX"/>
        </w:rPr>
        <w:t>ORGTEC</w:t>
      </w:r>
      <w:r w:rsidRPr="00685413">
        <w:rPr>
          <w:rFonts w:ascii="ITC Avant Garde" w:hAnsi="ITC Avant Garde"/>
          <w:b/>
          <w:color w:val="000000" w:themeColor="text1"/>
          <w:sz w:val="22"/>
          <w:szCs w:val="22"/>
          <w:lang w:eastAsia="es-MX"/>
        </w:rPr>
        <w:t>, S.A.</w:t>
      </w:r>
      <w:r w:rsidR="005866C9" w:rsidRPr="00685413">
        <w:rPr>
          <w:rFonts w:ascii="ITC Avant Garde" w:hAnsi="ITC Avant Garde"/>
          <w:b/>
          <w:color w:val="000000" w:themeColor="text1"/>
          <w:sz w:val="22"/>
          <w:szCs w:val="22"/>
          <w:lang w:eastAsia="es-MX"/>
        </w:rPr>
        <w:t>P.I.</w:t>
      </w:r>
      <w:r w:rsidRPr="00685413">
        <w:rPr>
          <w:rFonts w:ascii="ITC Avant Garde" w:hAnsi="ITC Avant Garde"/>
          <w:b/>
          <w:color w:val="000000" w:themeColor="text1"/>
          <w:sz w:val="22"/>
          <w:szCs w:val="22"/>
          <w:lang w:eastAsia="es-MX"/>
        </w:rPr>
        <w:t xml:space="preserve"> DE C.V., CONCESIONARIA PARA INSTALAR, OPERAR Y EXPLOTAR UNA RED PÚBLICA DE TELECOMUNICACIONES</w:t>
      </w:r>
      <w:r w:rsidR="005866C9" w:rsidRPr="00685413">
        <w:rPr>
          <w:rFonts w:ascii="ITC Avant Garde" w:hAnsi="ITC Avant Garde"/>
          <w:b/>
          <w:color w:val="000000" w:themeColor="text1"/>
          <w:sz w:val="22"/>
          <w:szCs w:val="22"/>
          <w:lang w:eastAsia="es-MX"/>
        </w:rPr>
        <w:t>;</w:t>
      </w:r>
      <w:r w:rsidR="00023EF7" w:rsidRPr="00685413">
        <w:rPr>
          <w:rFonts w:ascii="ITC Avant Garde" w:hAnsi="ITC Avant Garde"/>
          <w:b/>
          <w:color w:val="000000" w:themeColor="text1"/>
          <w:sz w:val="22"/>
          <w:szCs w:val="22"/>
          <w:lang w:eastAsia="es-MX"/>
        </w:rPr>
        <w:t xml:space="preserve"> ASÍ COMO PARA EXPLOTAR LOS DERECHOS DE EMISIÓN Y RECEPCIÓN DE SEÑALES DE BANDAS DE FRECUENCIAS ASOCIADAS A SISTEMAS SATELITALES EXTRANJEROS QUE CUBRAN Y PUEDAN PRESTAR SERVICIOS EN EL TERRITORIO NACIONAL</w:t>
      </w:r>
      <w:r w:rsidRPr="00685413">
        <w:rPr>
          <w:rFonts w:ascii="ITC Avant Garde" w:hAnsi="ITC Avant Garde"/>
          <w:b/>
          <w:color w:val="000000" w:themeColor="text1"/>
          <w:sz w:val="22"/>
          <w:szCs w:val="22"/>
          <w:lang w:eastAsia="es-MX"/>
        </w:rPr>
        <w:t>.</w:t>
      </w:r>
    </w:p>
    <w:p w14:paraId="3DA14C7B" w14:textId="77777777" w:rsidR="00913964" w:rsidRPr="00E859C2" w:rsidRDefault="00913964" w:rsidP="00882869">
      <w:pPr>
        <w:spacing w:after="160" w:line="240" w:lineRule="auto"/>
        <w:jc w:val="both"/>
        <w:rPr>
          <w:rFonts w:ascii="ITC Avant Garde" w:hAnsi="ITC Avant Garde"/>
          <w:b/>
          <w:bCs/>
          <w:color w:val="000000"/>
          <w:sz w:val="23"/>
          <w:szCs w:val="23"/>
          <w:lang w:eastAsia="es-MX"/>
        </w:rPr>
      </w:pPr>
    </w:p>
    <w:p w14:paraId="6FFFEAE4" w14:textId="77777777" w:rsidR="00D2148B" w:rsidRDefault="00CE0F87" w:rsidP="00685413">
      <w:pPr>
        <w:pStyle w:val="Ttulo2"/>
        <w:jc w:val="center"/>
        <w:rPr>
          <w:rFonts w:ascii="ITC Avant Garde" w:hAnsi="ITC Avant Garde"/>
          <w:b/>
          <w:color w:val="000000" w:themeColor="text1"/>
          <w:sz w:val="22"/>
          <w:szCs w:val="22"/>
        </w:rPr>
      </w:pPr>
      <w:r w:rsidRPr="00685413">
        <w:rPr>
          <w:rFonts w:ascii="ITC Avant Garde" w:hAnsi="ITC Avant Garde"/>
          <w:b/>
          <w:color w:val="000000" w:themeColor="text1"/>
          <w:sz w:val="22"/>
          <w:szCs w:val="22"/>
        </w:rPr>
        <w:t>ANTECEDENTES</w:t>
      </w:r>
    </w:p>
    <w:p w14:paraId="73DC70A5" w14:textId="77777777" w:rsidR="00051BC9" w:rsidRPr="00051BC9" w:rsidRDefault="00051BC9" w:rsidP="00051BC9"/>
    <w:p w14:paraId="2ABC0110" w14:textId="1D84FDB9" w:rsidR="00F520A3" w:rsidRDefault="00051BC9" w:rsidP="00051BC9">
      <w:pPr>
        <w:numPr>
          <w:ilvl w:val="0"/>
          <w:numId w:val="4"/>
        </w:numPr>
        <w:spacing w:after="160" w:line="240" w:lineRule="auto"/>
        <w:ind w:left="567"/>
        <w:jc w:val="both"/>
        <w:rPr>
          <w:rFonts w:ascii="ITC Avant Garde" w:hAnsi="ITC Avant Garde" w:cs="Arial"/>
          <w:color w:val="000000"/>
          <w:sz w:val="23"/>
          <w:szCs w:val="23"/>
          <w:lang w:eastAsia="es-MX"/>
        </w:rPr>
      </w:pPr>
      <w:r w:rsidRPr="00051BC9">
        <w:rPr>
          <w:rFonts w:ascii="ITC Avant Garde" w:hAnsi="ITC Avant Garde"/>
          <w:b/>
          <w:bCs/>
          <w:color w:val="000000"/>
          <w:sz w:val="23"/>
          <w:szCs w:val="23"/>
          <w:lang w:eastAsia="es-MX"/>
        </w:rPr>
        <w:t>Otorgamiento</w:t>
      </w:r>
      <w:r w:rsidRPr="001D65C3">
        <w:rPr>
          <w:rFonts w:ascii="ITC Avant Garde" w:hAnsi="ITC Avant Garde" w:cs="Arial"/>
          <w:b/>
          <w:bCs/>
          <w:color w:val="000000"/>
          <w:sz w:val="23"/>
          <w:szCs w:val="23"/>
          <w:lang w:eastAsia="es-MX"/>
        </w:rPr>
        <w:t xml:space="preserve"> de las Concesiones.</w:t>
      </w:r>
      <w:r>
        <w:rPr>
          <w:rFonts w:ascii="ITC Avant Garde" w:hAnsi="ITC Avant Garde" w:cs="Arial"/>
          <w:color w:val="000000"/>
          <w:sz w:val="23"/>
          <w:szCs w:val="23"/>
          <w:lang w:eastAsia="es-MX"/>
        </w:rPr>
        <w:t xml:space="preserve"> </w:t>
      </w:r>
      <w:r w:rsidRPr="001D65C3">
        <w:rPr>
          <w:rFonts w:ascii="ITC Avant Garde" w:hAnsi="ITC Avant Garde" w:cs="Arial"/>
          <w:color w:val="000000"/>
          <w:sz w:val="23"/>
          <w:szCs w:val="23"/>
          <w:lang w:eastAsia="es-MX"/>
        </w:rPr>
        <w:t>El Gobierno Federal, por conducto de la Secretaría de Comunicaciones y Transportes (la “S</w:t>
      </w:r>
      <w:r>
        <w:rPr>
          <w:rFonts w:ascii="ITC Avant Garde" w:hAnsi="ITC Avant Garde" w:cs="Arial"/>
          <w:color w:val="000000"/>
          <w:sz w:val="23"/>
          <w:szCs w:val="23"/>
          <w:lang w:eastAsia="es-MX"/>
        </w:rPr>
        <w:t>ecretaría”) otorgó a favor de Tecnologías de Control del Norte</w:t>
      </w:r>
      <w:r w:rsidRPr="001D65C3">
        <w:rPr>
          <w:rFonts w:ascii="ITC Avant Garde" w:hAnsi="ITC Avant Garde" w:cs="Arial"/>
          <w:color w:val="000000"/>
          <w:sz w:val="23"/>
          <w:szCs w:val="23"/>
          <w:lang w:eastAsia="es-MX"/>
        </w:rPr>
        <w:t>, S.A. de C.V., los siguientes títulos de concesión (las “Concesiones”):</w:t>
      </w:r>
    </w:p>
    <w:tbl>
      <w:tblPr>
        <w:tblStyle w:val="Tablaconcuadrcula"/>
        <w:tblW w:w="0" w:type="auto"/>
        <w:tblLook w:val="04A0" w:firstRow="1" w:lastRow="0" w:firstColumn="1" w:lastColumn="0" w:noHBand="0" w:noVBand="1"/>
        <w:tblCaption w:val="Cracterísticas de la concesión"/>
        <w:tblDescription w:val="Describe el tipo de concesión, la cobertura, la fecha de expedición del título y la vigencia a partir de su otorgamiento: Para instalar, operar y explotar una red pública de telecomunicaciones con cobertura nacional el 3 de agosto de 2009 con 20 años y &#10;para explotar los derechos de emisión y recepción de señales de bandas de frecuencias asociadas a los sistemas de satélites extranjeros AMC-4, AMC-6, AMC-21, MSAT-1, Inmarsat I3F4, Inmarsat I4F2, Inmarsat I5F2 e Iridium con cobertura nacional el 3 de agosto de 2009 con 20 años."/>
      </w:tblPr>
      <w:tblGrid>
        <w:gridCol w:w="4248"/>
        <w:gridCol w:w="1559"/>
        <w:gridCol w:w="1843"/>
        <w:gridCol w:w="1744"/>
      </w:tblGrid>
      <w:tr w:rsidR="00051BC9" w14:paraId="36E599BF" w14:textId="77777777" w:rsidTr="00051BC9">
        <w:trPr>
          <w:tblHeader/>
        </w:trPr>
        <w:tc>
          <w:tcPr>
            <w:tcW w:w="4248" w:type="dxa"/>
            <w:shd w:val="clear" w:color="auto" w:fill="A6A6A6" w:themeFill="background1" w:themeFillShade="A6"/>
            <w:vAlign w:val="center"/>
          </w:tcPr>
          <w:p w14:paraId="64DA8A5C" w14:textId="37EE1903" w:rsidR="00051BC9" w:rsidRDefault="00051BC9" w:rsidP="00051BC9">
            <w:pPr>
              <w:jc w:val="center"/>
            </w:pPr>
            <w:r w:rsidRPr="002B169C">
              <w:rPr>
                <w:rFonts w:ascii="ITC Avant Garde" w:hAnsi="ITC Avant Garde"/>
                <w:b/>
                <w:bCs/>
                <w:color w:val="000000"/>
                <w:sz w:val="16"/>
                <w:szCs w:val="16"/>
                <w:lang w:eastAsia="es-MX"/>
              </w:rPr>
              <w:t>TIPO DE CONCESIÓN</w:t>
            </w:r>
          </w:p>
        </w:tc>
        <w:tc>
          <w:tcPr>
            <w:tcW w:w="1559" w:type="dxa"/>
            <w:shd w:val="clear" w:color="auto" w:fill="A6A6A6" w:themeFill="background1" w:themeFillShade="A6"/>
            <w:vAlign w:val="center"/>
          </w:tcPr>
          <w:p w14:paraId="2EFAE149" w14:textId="072CB9A3" w:rsidR="00051BC9" w:rsidRDefault="00051BC9" w:rsidP="00051BC9">
            <w:pPr>
              <w:jc w:val="center"/>
            </w:pPr>
            <w:r w:rsidRPr="002B169C">
              <w:rPr>
                <w:rFonts w:ascii="ITC Avant Garde" w:hAnsi="ITC Avant Garde"/>
                <w:b/>
                <w:bCs/>
                <w:color w:val="000000"/>
                <w:sz w:val="16"/>
                <w:szCs w:val="16"/>
                <w:lang w:eastAsia="es-MX"/>
              </w:rPr>
              <w:t>COBERTURA</w:t>
            </w:r>
          </w:p>
        </w:tc>
        <w:tc>
          <w:tcPr>
            <w:tcW w:w="1843" w:type="dxa"/>
            <w:shd w:val="clear" w:color="auto" w:fill="A6A6A6" w:themeFill="background1" w:themeFillShade="A6"/>
            <w:vAlign w:val="center"/>
          </w:tcPr>
          <w:p w14:paraId="69A17CA4" w14:textId="68046804" w:rsidR="00051BC9" w:rsidRDefault="00051BC9" w:rsidP="00051BC9">
            <w:pPr>
              <w:jc w:val="center"/>
            </w:pPr>
            <w:r w:rsidRPr="002B169C">
              <w:rPr>
                <w:rFonts w:ascii="ITC Avant Garde" w:hAnsi="ITC Avant Garde"/>
                <w:b/>
                <w:bCs/>
                <w:color w:val="000000"/>
                <w:sz w:val="16"/>
                <w:szCs w:val="16"/>
                <w:lang w:eastAsia="es-MX"/>
              </w:rPr>
              <w:t>FECHA DE EXPEDICIÓN TÍTULO</w:t>
            </w:r>
          </w:p>
        </w:tc>
        <w:tc>
          <w:tcPr>
            <w:tcW w:w="1744" w:type="dxa"/>
            <w:shd w:val="clear" w:color="auto" w:fill="A6A6A6" w:themeFill="background1" w:themeFillShade="A6"/>
            <w:vAlign w:val="center"/>
          </w:tcPr>
          <w:p w14:paraId="73379896" w14:textId="01C0008C" w:rsidR="00051BC9" w:rsidRDefault="00051BC9" w:rsidP="00051BC9">
            <w:pPr>
              <w:jc w:val="center"/>
            </w:pPr>
            <w:r>
              <w:rPr>
                <w:rFonts w:ascii="ITC Avant Garde" w:hAnsi="ITC Avant Garde"/>
                <w:b/>
                <w:bCs/>
                <w:color w:val="000000"/>
                <w:sz w:val="16"/>
                <w:szCs w:val="16"/>
                <w:lang w:eastAsia="es-MX"/>
              </w:rPr>
              <w:t>VIGENCIA A PARTIR DE SU OTORGAMIENTO</w:t>
            </w:r>
          </w:p>
        </w:tc>
      </w:tr>
      <w:tr w:rsidR="00051BC9" w14:paraId="6675C2AF" w14:textId="77777777" w:rsidTr="00051BC9">
        <w:tc>
          <w:tcPr>
            <w:tcW w:w="4248" w:type="dxa"/>
          </w:tcPr>
          <w:p w14:paraId="2147F38E" w14:textId="783C1AB0" w:rsidR="00051BC9" w:rsidRDefault="00051BC9" w:rsidP="00051BC9">
            <w:r w:rsidRPr="002B169C">
              <w:rPr>
                <w:rFonts w:ascii="ITC Avant Garde" w:hAnsi="ITC Avant Garde"/>
                <w:bCs/>
                <w:color w:val="000000"/>
                <w:sz w:val="16"/>
                <w:szCs w:val="16"/>
                <w:lang w:eastAsia="es-MX"/>
              </w:rPr>
              <w:t>Para instalar, operar y explotar una red pública de telecomunicaciones.</w:t>
            </w:r>
          </w:p>
        </w:tc>
        <w:tc>
          <w:tcPr>
            <w:tcW w:w="1559" w:type="dxa"/>
          </w:tcPr>
          <w:p w14:paraId="605746C8" w14:textId="406D2C32" w:rsidR="00051BC9" w:rsidRDefault="00051BC9" w:rsidP="00051BC9">
            <w:r>
              <w:rPr>
                <w:rFonts w:ascii="ITC Avant Garde" w:hAnsi="ITC Avant Garde"/>
                <w:bCs/>
                <w:color w:val="000000"/>
                <w:sz w:val="16"/>
                <w:szCs w:val="16"/>
                <w:lang w:eastAsia="es-MX"/>
              </w:rPr>
              <w:t>Nacional</w:t>
            </w:r>
            <w:r w:rsidRPr="002B169C">
              <w:rPr>
                <w:rFonts w:ascii="ITC Avant Garde" w:hAnsi="ITC Avant Garde"/>
                <w:bCs/>
                <w:color w:val="000000"/>
                <w:sz w:val="16"/>
                <w:szCs w:val="16"/>
                <w:lang w:eastAsia="es-MX"/>
              </w:rPr>
              <w:t>.</w:t>
            </w:r>
          </w:p>
        </w:tc>
        <w:tc>
          <w:tcPr>
            <w:tcW w:w="1843" w:type="dxa"/>
          </w:tcPr>
          <w:p w14:paraId="0F434957" w14:textId="52A370F7" w:rsidR="00051BC9" w:rsidRDefault="00051BC9" w:rsidP="00051BC9">
            <w:r>
              <w:rPr>
                <w:rFonts w:ascii="ITC Avant Garde" w:hAnsi="ITC Avant Garde"/>
                <w:bCs/>
                <w:color w:val="000000"/>
                <w:sz w:val="16"/>
                <w:szCs w:val="16"/>
                <w:lang w:eastAsia="es-MX"/>
              </w:rPr>
              <w:t>3</w:t>
            </w:r>
            <w:r w:rsidRPr="002B169C">
              <w:rPr>
                <w:rFonts w:ascii="ITC Avant Garde" w:hAnsi="ITC Avant Garde"/>
                <w:bCs/>
                <w:color w:val="000000"/>
                <w:sz w:val="16"/>
                <w:szCs w:val="16"/>
                <w:lang w:eastAsia="es-MX"/>
              </w:rPr>
              <w:t>-</w:t>
            </w:r>
            <w:r>
              <w:rPr>
                <w:rFonts w:ascii="ITC Avant Garde" w:hAnsi="ITC Avant Garde"/>
                <w:bCs/>
                <w:color w:val="000000"/>
                <w:sz w:val="16"/>
                <w:szCs w:val="16"/>
                <w:lang w:eastAsia="es-MX"/>
              </w:rPr>
              <w:t>ago</w:t>
            </w:r>
            <w:r w:rsidRPr="002B169C">
              <w:rPr>
                <w:rFonts w:ascii="ITC Avant Garde" w:hAnsi="ITC Avant Garde"/>
                <w:bCs/>
                <w:color w:val="000000"/>
                <w:sz w:val="16"/>
                <w:szCs w:val="16"/>
                <w:lang w:eastAsia="es-MX"/>
              </w:rPr>
              <w:t>-0</w:t>
            </w:r>
            <w:r>
              <w:rPr>
                <w:rFonts w:ascii="ITC Avant Garde" w:hAnsi="ITC Avant Garde"/>
                <w:bCs/>
                <w:color w:val="000000"/>
                <w:sz w:val="16"/>
                <w:szCs w:val="16"/>
                <w:lang w:eastAsia="es-MX"/>
              </w:rPr>
              <w:t>9</w:t>
            </w:r>
          </w:p>
        </w:tc>
        <w:tc>
          <w:tcPr>
            <w:tcW w:w="1744" w:type="dxa"/>
          </w:tcPr>
          <w:p w14:paraId="23614A8D" w14:textId="62126D9E" w:rsidR="00051BC9" w:rsidRDefault="00051BC9" w:rsidP="00051BC9">
            <w:r>
              <w:rPr>
                <w:rFonts w:ascii="ITC Avant Garde" w:hAnsi="ITC Avant Garde"/>
                <w:bCs/>
                <w:color w:val="000000"/>
                <w:sz w:val="16"/>
                <w:szCs w:val="16"/>
                <w:lang w:eastAsia="es-MX"/>
              </w:rPr>
              <w:t>20 años</w:t>
            </w:r>
          </w:p>
        </w:tc>
      </w:tr>
      <w:tr w:rsidR="00051BC9" w14:paraId="1362BB58" w14:textId="77777777" w:rsidTr="00051BC9">
        <w:tc>
          <w:tcPr>
            <w:tcW w:w="4248" w:type="dxa"/>
          </w:tcPr>
          <w:p w14:paraId="300BC90F" w14:textId="77D5ADCC" w:rsidR="00051BC9" w:rsidRPr="002B169C" w:rsidRDefault="00051BC9" w:rsidP="00051BC9">
            <w:pPr>
              <w:rPr>
                <w:rFonts w:ascii="ITC Avant Garde" w:hAnsi="ITC Avant Garde"/>
                <w:bCs/>
                <w:color w:val="000000"/>
                <w:sz w:val="16"/>
                <w:szCs w:val="16"/>
                <w:lang w:eastAsia="es-MX"/>
              </w:rPr>
            </w:pPr>
            <w:r w:rsidRPr="002B169C">
              <w:rPr>
                <w:rFonts w:ascii="ITC Avant Garde" w:hAnsi="ITC Avant Garde"/>
                <w:bCs/>
                <w:color w:val="000000"/>
                <w:sz w:val="16"/>
                <w:szCs w:val="16"/>
                <w:lang w:eastAsia="es-MX"/>
              </w:rPr>
              <w:t xml:space="preserve">Para </w:t>
            </w:r>
            <w:r>
              <w:rPr>
                <w:rFonts w:ascii="ITC Avant Garde" w:hAnsi="ITC Avant Garde"/>
                <w:bCs/>
                <w:color w:val="000000"/>
                <w:sz w:val="16"/>
                <w:szCs w:val="16"/>
                <w:lang w:eastAsia="es-MX"/>
              </w:rPr>
              <w:t xml:space="preserve">explotar los derechos de emisión y recepción de señales de bandas de frecuencias asociadas a los sistemas de satélites extranjeros AMC-4, AMC-6, AMC-21, MSAT-1, Inmarsat I3F4, Inmarsat I4F2, </w:t>
            </w:r>
            <w:proofErr w:type="spellStart"/>
            <w:r>
              <w:rPr>
                <w:rFonts w:ascii="ITC Avant Garde" w:hAnsi="ITC Avant Garde"/>
                <w:bCs/>
                <w:color w:val="000000"/>
                <w:sz w:val="16"/>
                <w:szCs w:val="16"/>
                <w:lang w:eastAsia="es-MX"/>
              </w:rPr>
              <w:t>Inmarsat</w:t>
            </w:r>
            <w:proofErr w:type="spellEnd"/>
            <w:r>
              <w:rPr>
                <w:rFonts w:ascii="ITC Avant Garde" w:hAnsi="ITC Avant Garde"/>
                <w:bCs/>
                <w:color w:val="000000"/>
                <w:sz w:val="16"/>
                <w:szCs w:val="16"/>
                <w:lang w:eastAsia="es-MX"/>
              </w:rPr>
              <w:t xml:space="preserve"> I5F2 e </w:t>
            </w:r>
            <w:proofErr w:type="spellStart"/>
            <w:r>
              <w:rPr>
                <w:rFonts w:ascii="ITC Avant Garde" w:hAnsi="ITC Avant Garde"/>
                <w:bCs/>
                <w:color w:val="000000"/>
                <w:sz w:val="16"/>
                <w:szCs w:val="16"/>
                <w:lang w:eastAsia="es-MX"/>
              </w:rPr>
              <w:t>Iridium</w:t>
            </w:r>
            <w:proofErr w:type="spellEnd"/>
            <w:r>
              <w:rPr>
                <w:rFonts w:ascii="ITC Avant Garde" w:hAnsi="ITC Avant Garde"/>
                <w:bCs/>
                <w:color w:val="000000"/>
                <w:sz w:val="16"/>
                <w:szCs w:val="16"/>
                <w:lang w:eastAsia="es-MX"/>
              </w:rPr>
              <w:t>.</w:t>
            </w:r>
          </w:p>
        </w:tc>
        <w:tc>
          <w:tcPr>
            <w:tcW w:w="1559" w:type="dxa"/>
          </w:tcPr>
          <w:p w14:paraId="4F2D1B71" w14:textId="50B0D6A1" w:rsidR="00051BC9" w:rsidRDefault="00051BC9" w:rsidP="00051BC9">
            <w:pPr>
              <w:rPr>
                <w:rFonts w:ascii="ITC Avant Garde" w:hAnsi="ITC Avant Garde"/>
                <w:bCs/>
                <w:color w:val="000000"/>
                <w:sz w:val="16"/>
                <w:szCs w:val="16"/>
                <w:lang w:eastAsia="es-MX"/>
              </w:rPr>
            </w:pPr>
            <w:r>
              <w:rPr>
                <w:rFonts w:ascii="ITC Avant Garde" w:hAnsi="ITC Avant Garde"/>
                <w:bCs/>
                <w:color w:val="000000"/>
                <w:sz w:val="16"/>
                <w:szCs w:val="16"/>
                <w:lang w:eastAsia="es-MX"/>
              </w:rPr>
              <w:t>Nacional.</w:t>
            </w:r>
          </w:p>
        </w:tc>
        <w:tc>
          <w:tcPr>
            <w:tcW w:w="1843" w:type="dxa"/>
          </w:tcPr>
          <w:p w14:paraId="10829379" w14:textId="50958B86" w:rsidR="00051BC9" w:rsidRDefault="00051BC9" w:rsidP="00051BC9">
            <w:pPr>
              <w:rPr>
                <w:rFonts w:ascii="ITC Avant Garde" w:hAnsi="ITC Avant Garde"/>
                <w:bCs/>
                <w:color w:val="000000"/>
                <w:sz w:val="16"/>
                <w:szCs w:val="16"/>
                <w:lang w:eastAsia="es-MX"/>
              </w:rPr>
            </w:pPr>
            <w:r>
              <w:rPr>
                <w:rFonts w:ascii="ITC Avant Garde" w:hAnsi="ITC Avant Garde"/>
                <w:bCs/>
                <w:color w:val="000000"/>
                <w:sz w:val="16"/>
                <w:szCs w:val="16"/>
                <w:lang w:eastAsia="es-MX"/>
              </w:rPr>
              <w:t>3</w:t>
            </w:r>
            <w:r w:rsidRPr="002B169C">
              <w:rPr>
                <w:rFonts w:ascii="ITC Avant Garde" w:hAnsi="ITC Avant Garde"/>
                <w:bCs/>
                <w:color w:val="000000"/>
                <w:sz w:val="16"/>
                <w:szCs w:val="16"/>
                <w:lang w:eastAsia="es-MX"/>
              </w:rPr>
              <w:t>-</w:t>
            </w:r>
            <w:r>
              <w:rPr>
                <w:rFonts w:ascii="ITC Avant Garde" w:hAnsi="ITC Avant Garde"/>
                <w:bCs/>
                <w:color w:val="000000"/>
                <w:sz w:val="16"/>
                <w:szCs w:val="16"/>
                <w:lang w:eastAsia="es-MX"/>
              </w:rPr>
              <w:t>ago</w:t>
            </w:r>
            <w:r w:rsidRPr="002B169C">
              <w:rPr>
                <w:rFonts w:ascii="ITC Avant Garde" w:hAnsi="ITC Avant Garde"/>
                <w:bCs/>
                <w:color w:val="000000"/>
                <w:sz w:val="16"/>
                <w:szCs w:val="16"/>
                <w:lang w:eastAsia="es-MX"/>
              </w:rPr>
              <w:t>-0</w:t>
            </w:r>
            <w:r>
              <w:rPr>
                <w:rFonts w:ascii="ITC Avant Garde" w:hAnsi="ITC Avant Garde"/>
                <w:bCs/>
                <w:color w:val="000000"/>
                <w:sz w:val="16"/>
                <w:szCs w:val="16"/>
                <w:lang w:eastAsia="es-MX"/>
              </w:rPr>
              <w:t>9</w:t>
            </w:r>
          </w:p>
        </w:tc>
        <w:tc>
          <w:tcPr>
            <w:tcW w:w="1744" w:type="dxa"/>
          </w:tcPr>
          <w:p w14:paraId="7C603F20" w14:textId="00A22180" w:rsidR="00051BC9" w:rsidRDefault="00051BC9" w:rsidP="00051BC9">
            <w:pPr>
              <w:rPr>
                <w:rFonts w:ascii="ITC Avant Garde" w:hAnsi="ITC Avant Garde"/>
                <w:bCs/>
                <w:color w:val="000000"/>
                <w:sz w:val="16"/>
                <w:szCs w:val="16"/>
                <w:lang w:eastAsia="es-MX"/>
              </w:rPr>
            </w:pPr>
            <w:r>
              <w:rPr>
                <w:rFonts w:ascii="ITC Avant Garde" w:hAnsi="ITC Avant Garde"/>
                <w:bCs/>
                <w:color w:val="000000"/>
                <w:sz w:val="16"/>
                <w:szCs w:val="16"/>
                <w:lang w:eastAsia="es-MX"/>
              </w:rPr>
              <w:t>20 años</w:t>
            </w:r>
          </w:p>
        </w:tc>
      </w:tr>
    </w:tbl>
    <w:p w14:paraId="6ADA712F" w14:textId="77777777" w:rsidR="00051BC9" w:rsidRPr="00051BC9" w:rsidRDefault="00051BC9" w:rsidP="00051BC9">
      <w:pPr>
        <w:spacing w:after="160" w:line="240" w:lineRule="auto"/>
        <w:ind w:left="567"/>
        <w:jc w:val="both"/>
        <w:rPr>
          <w:rFonts w:ascii="ITC Avant Garde" w:hAnsi="ITC Avant Garde"/>
          <w:bCs/>
          <w:color w:val="000000"/>
          <w:sz w:val="23"/>
          <w:szCs w:val="23"/>
          <w:lang w:eastAsia="es-MX"/>
        </w:rPr>
      </w:pPr>
    </w:p>
    <w:p w14:paraId="5A01F8A4" w14:textId="6448A395" w:rsidR="00692585" w:rsidRDefault="00692585" w:rsidP="00882869">
      <w:pPr>
        <w:numPr>
          <w:ilvl w:val="0"/>
          <w:numId w:val="4"/>
        </w:numPr>
        <w:spacing w:after="160" w:line="240" w:lineRule="auto"/>
        <w:ind w:left="567"/>
        <w:jc w:val="both"/>
        <w:rPr>
          <w:rFonts w:ascii="ITC Avant Garde" w:hAnsi="ITC Avant Garde"/>
          <w:bCs/>
          <w:color w:val="000000"/>
          <w:sz w:val="23"/>
          <w:szCs w:val="23"/>
          <w:lang w:eastAsia="es-MX"/>
        </w:rPr>
      </w:pPr>
      <w:r>
        <w:rPr>
          <w:rFonts w:ascii="ITC Avant Garde" w:hAnsi="ITC Avant Garde"/>
          <w:b/>
          <w:bCs/>
          <w:color w:val="000000"/>
          <w:sz w:val="23"/>
          <w:szCs w:val="23"/>
          <w:lang w:eastAsia="es-MX"/>
        </w:rPr>
        <w:t>Cesio</w:t>
      </w:r>
      <w:r w:rsidRPr="005B7E44">
        <w:rPr>
          <w:rFonts w:ascii="ITC Avant Garde" w:hAnsi="ITC Avant Garde"/>
          <w:b/>
          <w:bCs/>
          <w:color w:val="000000"/>
          <w:sz w:val="23"/>
          <w:szCs w:val="23"/>
          <w:lang w:eastAsia="es-MX"/>
        </w:rPr>
        <w:t>n</w:t>
      </w:r>
      <w:r>
        <w:rPr>
          <w:rFonts w:ascii="ITC Avant Garde" w:hAnsi="ITC Avant Garde"/>
          <w:b/>
          <w:bCs/>
          <w:color w:val="000000"/>
          <w:sz w:val="23"/>
          <w:szCs w:val="23"/>
          <w:lang w:eastAsia="es-MX"/>
        </w:rPr>
        <w:t>es</w:t>
      </w:r>
      <w:r w:rsidRPr="005B7E44">
        <w:rPr>
          <w:rFonts w:ascii="ITC Avant Garde" w:hAnsi="ITC Avant Garde"/>
          <w:b/>
          <w:bCs/>
          <w:color w:val="000000"/>
          <w:sz w:val="23"/>
          <w:szCs w:val="23"/>
          <w:lang w:eastAsia="es-MX"/>
        </w:rPr>
        <w:t xml:space="preserve"> de Derechos.</w:t>
      </w:r>
      <w:r w:rsidRPr="00891198">
        <w:rPr>
          <w:rFonts w:ascii="ITC Avant Garde" w:hAnsi="ITC Avant Garde"/>
          <w:b/>
          <w:bCs/>
          <w:color w:val="000000"/>
          <w:sz w:val="23"/>
          <w:szCs w:val="23"/>
          <w:lang w:eastAsia="es-MX"/>
        </w:rPr>
        <w:t xml:space="preserve"> </w:t>
      </w:r>
      <w:r w:rsidRPr="0018410F">
        <w:rPr>
          <w:rFonts w:ascii="ITC Avant Garde" w:hAnsi="ITC Avant Garde"/>
          <w:bCs/>
          <w:color w:val="000000"/>
          <w:sz w:val="23"/>
          <w:szCs w:val="23"/>
          <w:lang w:eastAsia="es-MX"/>
        </w:rPr>
        <w:t xml:space="preserve">Con fecha </w:t>
      </w:r>
      <w:r>
        <w:rPr>
          <w:rFonts w:ascii="ITC Avant Garde" w:hAnsi="ITC Avant Garde"/>
          <w:bCs/>
          <w:color w:val="000000"/>
          <w:sz w:val="23"/>
          <w:szCs w:val="23"/>
          <w:lang w:eastAsia="es-MX"/>
        </w:rPr>
        <w:t>7</w:t>
      </w:r>
      <w:r w:rsidRPr="0018410F">
        <w:rPr>
          <w:rFonts w:ascii="ITC Avant Garde" w:hAnsi="ITC Avant Garde"/>
          <w:bCs/>
          <w:color w:val="000000"/>
          <w:sz w:val="23"/>
          <w:szCs w:val="23"/>
          <w:lang w:eastAsia="es-MX"/>
        </w:rPr>
        <w:t xml:space="preserve"> de </w:t>
      </w:r>
      <w:r>
        <w:rPr>
          <w:rFonts w:ascii="ITC Avant Garde" w:hAnsi="ITC Avant Garde"/>
          <w:bCs/>
          <w:color w:val="000000"/>
          <w:sz w:val="23"/>
          <w:szCs w:val="23"/>
          <w:lang w:eastAsia="es-MX"/>
        </w:rPr>
        <w:t>junio</w:t>
      </w:r>
      <w:r w:rsidRPr="0018410F">
        <w:rPr>
          <w:rFonts w:ascii="ITC Avant Garde" w:hAnsi="ITC Avant Garde"/>
          <w:bCs/>
          <w:color w:val="000000"/>
          <w:sz w:val="23"/>
          <w:szCs w:val="23"/>
          <w:lang w:eastAsia="es-MX"/>
        </w:rPr>
        <w:t xml:space="preserve"> de 20</w:t>
      </w:r>
      <w:r>
        <w:rPr>
          <w:rFonts w:ascii="ITC Avant Garde" w:hAnsi="ITC Avant Garde"/>
          <w:bCs/>
          <w:color w:val="000000"/>
          <w:sz w:val="23"/>
          <w:szCs w:val="23"/>
          <w:lang w:eastAsia="es-MX"/>
        </w:rPr>
        <w:t>13</w:t>
      </w:r>
      <w:r w:rsidRPr="0018410F">
        <w:rPr>
          <w:rFonts w:ascii="ITC Avant Garde" w:hAnsi="ITC Avant Garde"/>
          <w:bCs/>
          <w:color w:val="000000"/>
          <w:sz w:val="23"/>
          <w:szCs w:val="23"/>
          <w:lang w:eastAsia="es-MX"/>
        </w:rPr>
        <w:t>, la Secretaría autorizó la</w:t>
      </w:r>
      <w:r>
        <w:rPr>
          <w:rFonts w:ascii="ITC Avant Garde" w:hAnsi="ITC Avant Garde"/>
          <w:bCs/>
          <w:color w:val="000000"/>
          <w:sz w:val="23"/>
          <w:szCs w:val="23"/>
          <w:lang w:eastAsia="es-MX"/>
        </w:rPr>
        <w:t>s cesio</w:t>
      </w:r>
      <w:r w:rsidRPr="0018410F">
        <w:rPr>
          <w:rFonts w:ascii="ITC Avant Garde" w:hAnsi="ITC Avant Garde"/>
          <w:bCs/>
          <w:color w:val="000000"/>
          <w:sz w:val="23"/>
          <w:szCs w:val="23"/>
          <w:lang w:eastAsia="es-MX"/>
        </w:rPr>
        <w:t>n</w:t>
      </w:r>
      <w:r>
        <w:rPr>
          <w:rFonts w:ascii="ITC Avant Garde" w:hAnsi="ITC Avant Garde"/>
          <w:bCs/>
          <w:color w:val="000000"/>
          <w:sz w:val="23"/>
          <w:szCs w:val="23"/>
          <w:lang w:eastAsia="es-MX"/>
        </w:rPr>
        <w:t>es</w:t>
      </w:r>
      <w:r w:rsidRPr="0018410F">
        <w:rPr>
          <w:rFonts w:ascii="ITC Avant Garde" w:hAnsi="ITC Avant Garde"/>
          <w:bCs/>
          <w:color w:val="000000"/>
          <w:sz w:val="23"/>
          <w:szCs w:val="23"/>
          <w:lang w:eastAsia="es-MX"/>
        </w:rPr>
        <w:t xml:space="preserve"> de derechos respecto de la</w:t>
      </w:r>
      <w:r>
        <w:rPr>
          <w:rFonts w:ascii="ITC Avant Garde" w:hAnsi="ITC Avant Garde"/>
          <w:bCs/>
          <w:color w:val="000000"/>
          <w:sz w:val="23"/>
          <w:szCs w:val="23"/>
          <w:lang w:eastAsia="es-MX"/>
        </w:rPr>
        <w:t>s Concesio</w:t>
      </w:r>
      <w:r w:rsidRPr="0018410F">
        <w:rPr>
          <w:rFonts w:ascii="ITC Avant Garde" w:hAnsi="ITC Avant Garde"/>
          <w:bCs/>
          <w:color w:val="000000"/>
          <w:sz w:val="23"/>
          <w:szCs w:val="23"/>
          <w:lang w:eastAsia="es-MX"/>
        </w:rPr>
        <w:t>n</w:t>
      </w:r>
      <w:r>
        <w:rPr>
          <w:rFonts w:ascii="ITC Avant Garde" w:hAnsi="ITC Avant Garde"/>
          <w:bCs/>
          <w:color w:val="000000"/>
          <w:sz w:val="23"/>
          <w:szCs w:val="23"/>
          <w:lang w:eastAsia="es-MX"/>
        </w:rPr>
        <w:t>es</w:t>
      </w:r>
      <w:r w:rsidRPr="0018410F">
        <w:rPr>
          <w:rFonts w:ascii="ITC Avant Garde" w:hAnsi="ITC Avant Garde"/>
          <w:bCs/>
          <w:color w:val="000000"/>
          <w:sz w:val="23"/>
          <w:szCs w:val="23"/>
          <w:lang w:eastAsia="es-MX"/>
        </w:rPr>
        <w:t xml:space="preserve"> señalada</w:t>
      </w:r>
      <w:r>
        <w:rPr>
          <w:rFonts w:ascii="ITC Avant Garde" w:hAnsi="ITC Avant Garde"/>
          <w:bCs/>
          <w:color w:val="000000"/>
          <w:sz w:val="23"/>
          <w:szCs w:val="23"/>
          <w:lang w:eastAsia="es-MX"/>
        </w:rPr>
        <w:t>s</w:t>
      </w:r>
      <w:r w:rsidRPr="0018410F">
        <w:rPr>
          <w:rFonts w:ascii="ITC Avant Garde" w:hAnsi="ITC Avant Garde"/>
          <w:bCs/>
          <w:color w:val="000000"/>
          <w:sz w:val="23"/>
          <w:szCs w:val="23"/>
          <w:lang w:eastAsia="es-MX"/>
        </w:rPr>
        <w:t xml:space="preserve"> en el Antecedente I, por parte de</w:t>
      </w:r>
      <w:r>
        <w:rPr>
          <w:rFonts w:ascii="ITC Avant Garde" w:hAnsi="ITC Avant Garde"/>
          <w:bCs/>
          <w:color w:val="000000"/>
          <w:sz w:val="23"/>
          <w:szCs w:val="23"/>
          <w:lang w:eastAsia="es-MX"/>
        </w:rPr>
        <w:t xml:space="preserve"> </w:t>
      </w:r>
      <w:r>
        <w:rPr>
          <w:rFonts w:ascii="ITC Avant Garde" w:hAnsi="ITC Avant Garde" w:cs="Arial"/>
          <w:color w:val="000000"/>
          <w:sz w:val="23"/>
          <w:szCs w:val="23"/>
          <w:lang w:eastAsia="es-MX"/>
        </w:rPr>
        <w:t>Tecnologías de Control del Norte</w:t>
      </w:r>
      <w:r w:rsidRPr="001D65C3">
        <w:rPr>
          <w:rFonts w:ascii="ITC Avant Garde" w:hAnsi="ITC Avant Garde" w:cs="Arial"/>
          <w:color w:val="000000"/>
          <w:sz w:val="23"/>
          <w:szCs w:val="23"/>
          <w:lang w:eastAsia="es-MX"/>
        </w:rPr>
        <w:t>, S.A. de C.V.</w:t>
      </w:r>
      <w:r w:rsidRPr="0018410F">
        <w:rPr>
          <w:rFonts w:ascii="ITC Avant Garde" w:hAnsi="ITC Avant Garde"/>
          <w:bCs/>
          <w:color w:val="000000"/>
          <w:sz w:val="23"/>
          <w:szCs w:val="23"/>
          <w:lang w:eastAsia="es-MX"/>
        </w:rPr>
        <w:t xml:space="preserve">, en favor de </w:t>
      </w:r>
      <w:r>
        <w:rPr>
          <w:rFonts w:ascii="ITC Avant Garde" w:hAnsi="ITC Avant Garde"/>
          <w:bCs/>
          <w:color w:val="000000"/>
          <w:sz w:val="23"/>
          <w:szCs w:val="23"/>
          <w:lang w:eastAsia="es-MX"/>
        </w:rPr>
        <w:t>Orgtec</w:t>
      </w:r>
      <w:r w:rsidRPr="0018410F">
        <w:rPr>
          <w:rFonts w:ascii="ITC Avant Garde" w:hAnsi="ITC Avant Garde"/>
          <w:bCs/>
          <w:color w:val="000000"/>
          <w:sz w:val="23"/>
          <w:szCs w:val="23"/>
          <w:lang w:eastAsia="es-MX"/>
        </w:rPr>
        <w:t>, S.A. de C.V.</w:t>
      </w:r>
    </w:p>
    <w:p w14:paraId="32FB91FD" w14:textId="77777777" w:rsidR="00861247" w:rsidRPr="00861247" w:rsidRDefault="00861247" w:rsidP="00861247">
      <w:pPr>
        <w:numPr>
          <w:ilvl w:val="0"/>
          <w:numId w:val="4"/>
        </w:numPr>
        <w:spacing w:after="160" w:line="240" w:lineRule="auto"/>
        <w:ind w:left="567"/>
        <w:jc w:val="both"/>
        <w:rPr>
          <w:rFonts w:ascii="ITC Avant Garde" w:hAnsi="ITC Avant Garde"/>
          <w:bCs/>
          <w:color w:val="000000"/>
          <w:sz w:val="23"/>
          <w:szCs w:val="23"/>
          <w:lang w:eastAsia="es-MX"/>
        </w:rPr>
      </w:pPr>
      <w:r w:rsidRPr="00BC2CF2">
        <w:rPr>
          <w:rFonts w:ascii="ITC Avant Garde" w:hAnsi="ITC Avant Garde"/>
          <w:b/>
          <w:bCs/>
          <w:color w:val="000000"/>
          <w:sz w:val="23"/>
          <w:szCs w:val="23"/>
          <w:lang w:eastAsia="es-MX"/>
        </w:rPr>
        <w:t xml:space="preserve">Decreto de Reforma Constitucional. </w:t>
      </w:r>
      <w:r w:rsidRPr="00861247">
        <w:rPr>
          <w:rFonts w:ascii="ITC Avant Garde" w:hAnsi="ITC Avant Garde"/>
          <w:bCs/>
          <w:color w:val="000000"/>
          <w:sz w:val="23"/>
          <w:szCs w:val="23"/>
          <w:lang w:eastAsia="es-MX"/>
        </w:rPr>
        <w:t>Con fecha 11 de junio de 2013, se publicó en el Diario Oficial de la Federación 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w:t>
      </w:r>
    </w:p>
    <w:p w14:paraId="20B98960" w14:textId="723D3D5F" w:rsidR="004D71E7" w:rsidRDefault="009B6ADB" w:rsidP="00882869">
      <w:pPr>
        <w:numPr>
          <w:ilvl w:val="0"/>
          <w:numId w:val="4"/>
        </w:numPr>
        <w:spacing w:after="160" w:line="240" w:lineRule="auto"/>
        <w:ind w:left="567"/>
        <w:jc w:val="both"/>
        <w:rPr>
          <w:rFonts w:ascii="ITC Avant Garde" w:hAnsi="ITC Avant Garde"/>
          <w:bCs/>
          <w:color w:val="000000"/>
          <w:sz w:val="23"/>
          <w:szCs w:val="23"/>
          <w:lang w:eastAsia="es-MX"/>
        </w:rPr>
      </w:pPr>
      <w:r>
        <w:rPr>
          <w:rFonts w:ascii="ITC Avant Garde" w:hAnsi="ITC Avant Garde"/>
          <w:b/>
          <w:bCs/>
          <w:color w:val="000000"/>
          <w:sz w:val="23"/>
          <w:szCs w:val="23"/>
          <w:lang w:eastAsia="es-MX"/>
        </w:rPr>
        <w:t>Modificación de Régimen Social</w:t>
      </w:r>
      <w:r w:rsidR="004D71E7">
        <w:rPr>
          <w:rFonts w:ascii="ITC Avant Garde" w:hAnsi="ITC Avant Garde"/>
          <w:b/>
          <w:bCs/>
          <w:color w:val="000000"/>
          <w:sz w:val="23"/>
          <w:szCs w:val="23"/>
          <w:lang w:eastAsia="es-MX"/>
        </w:rPr>
        <w:t>.</w:t>
      </w:r>
      <w:r w:rsidR="004D71E7">
        <w:rPr>
          <w:rFonts w:ascii="ITC Avant Garde" w:hAnsi="ITC Avant Garde"/>
          <w:bCs/>
          <w:color w:val="000000"/>
          <w:sz w:val="23"/>
          <w:szCs w:val="23"/>
          <w:lang w:eastAsia="es-MX"/>
        </w:rPr>
        <w:t xml:space="preserve"> </w:t>
      </w:r>
      <w:r w:rsidR="00CF3686">
        <w:rPr>
          <w:rFonts w:ascii="ITC Avant Garde" w:hAnsi="ITC Avant Garde"/>
          <w:bCs/>
          <w:color w:val="000000"/>
          <w:sz w:val="23"/>
          <w:szCs w:val="23"/>
          <w:lang w:eastAsia="es-MX"/>
        </w:rPr>
        <w:t xml:space="preserve">Con fecha 11 de febrero de 2014 se autorizó la modificación al régimen social de la empresa </w:t>
      </w:r>
      <w:proofErr w:type="spellStart"/>
      <w:r w:rsidR="00CF3686">
        <w:rPr>
          <w:rFonts w:ascii="ITC Avant Garde" w:hAnsi="ITC Avant Garde"/>
          <w:bCs/>
          <w:color w:val="000000"/>
          <w:sz w:val="23"/>
          <w:szCs w:val="23"/>
          <w:lang w:eastAsia="es-MX"/>
        </w:rPr>
        <w:t>Orteg</w:t>
      </w:r>
      <w:proofErr w:type="spellEnd"/>
      <w:r w:rsidR="00CF3686">
        <w:rPr>
          <w:rFonts w:ascii="ITC Avant Garde" w:hAnsi="ITC Avant Garde"/>
          <w:bCs/>
          <w:color w:val="000000"/>
          <w:sz w:val="23"/>
          <w:szCs w:val="23"/>
          <w:lang w:eastAsia="es-MX"/>
        </w:rPr>
        <w:t>, S.A. de C.V., para quedar como Orgtec, S.A.P.I de C.V</w:t>
      </w:r>
      <w:r>
        <w:rPr>
          <w:rFonts w:ascii="ITC Avant Garde" w:hAnsi="ITC Avant Garde"/>
          <w:bCs/>
          <w:color w:val="000000"/>
          <w:sz w:val="23"/>
          <w:szCs w:val="23"/>
          <w:lang w:eastAsia="es-MX"/>
        </w:rPr>
        <w:t>.</w:t>
      </w:r>
    </w:p>
    <w:p w14:paraId="40E418AC" w14:textId="51BF0C45" w:rsidR="00D04074" w:rsidRPr="00882869" w:rsidRDefault="00D04074" w:rsidP="00882869">
      <w:pPr>
        <w:numPr>
          <w:ilvl w:val="0"/>
          <w:numId w:val="4"/>
        </w:numPr>
        <w:spacing w:after="160" w:line="240" w:lineRule="auto"/>
        <w:ind w:left="567"/>
        <w:jc w:val="both"/>
        <w:rPr>
          <w:rFonts w:ascii="ITC Avant Garde" w:hAnsi="ITC Avant Garde"/>
          <w:bCs/>
          <w:color w:val="000000"/>
          <w:sz w:val="23"/>
          <w:szCs w:val="23"/>
          <w:lang w:eastAsia="es-MX"/>
        </w:rPr>
      </w:pPr>
      <w:r w:rsidRPr="00E859C2">
        <w:rPr>
          <w:rFonts w:ascii="ITC Avant Garde" w:hAnsi="ITC Avant Garde"/>
          <w:b/>
          <w:bCs/>
          <w:color w:val="000000" w:themeColor="text1"/>
          <w:sz w:val="23"/>
          <w:szCs w:val="23"/>
          <w:lang w:eastAsia="es-MX"/>
        </w:rPr>
        <w:lastRenderedPageBreak/>
        <w:t xml:space="preserve">Decreto de Ley. </w:t>
      </w:r>
      <w:r w:rsidRPr="00E859C2">
        <w:rPr>
          <w:rFonts w:ascii="ITC Avant Garde" w:hAnsi="ITC Avant Garde"/>
          <w:bCs/>
          <w:color w:val="000000" w:themeColor="text1"/>
          <w:sz w:val="23"/>
          <w:szCs w:val="23"/>
          <w:lang w:eastAsia="es-MX"/>
        </w:rPr>
        <w:t>El 14 de julio de 2014, se publicó en el Diario Oficial de la Federación el “</w:t>
      </w:r>
      <w:r w:rsidRPr="00E859C2">
        <w:rPr>
          <w:rFonts w:ascii="ITC Avant Garde" w:hAnsi="ITC Avant Garde"/>
          <w:bCs/>
          <w:i/>
          <w:color w:val="000000" w:themeColor="text1"/>
          <w:sz w:val="23"/>
          <w:szCs w:val="23"/>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E859C2">
        <w:rPr>
          <w:rFonts w:ascii="ITC Avant Garde" w:hAnsi="ITC Avant Garde"/>
          <w:bCs/>
          <w:color w:val="000000" w:themeColor="text1"/>
          <w:sz w:val="23"/>
          <w:szCs w:val="23"/>
          <w:lang w:eastAsia="es-MX"/>
        </w:rPr>
        <w:t>” (el “Decreto de Ley</w:t>
      </w:r>
      <w:r w:rsidR="00A771B4" w:rsidRPr="00E859C2">
        <w:rPr>
          <w:rFonts w:ascii="ITC Avant Garde" w:hAnsi="ITC Avant Garde"/>
          <w:bCs/>
          <w:color w:val="000000" w:themeColor="text1"/>
          <w:sz w:val="23"/>
          <w:szCs w:val="23"/>
          <w:lang w:eastAsia="es-MX"/>
        </w:rPr>
        <w:t>”)</w:t>
      </w:r>
      <w:r w:rsidR="00C32B0E">
        <w:rPr>
          <w:rFonts w:ascii="ITC Avant Garde" w:hAnsi="ITC Avant Garde"/>
          <w:bCs/>
          <w:color w:val="000000" w:themeColor="text1"/>
          <w:sz w:val="23"/>
          <w:szCs w:val="23"/>
          <w:lang w:eastAsia="es-MX"/>
        </w:rPr>
        <w:t>, mismo que entró en vigor el 13 de agosto de 2014</w:t>
      </w:r>
      <w:r w:rsidR="00DE77AB" w:rsidRPr="00E859C2">
        <w:rPr>
          <w:rFonts w:ascii="ITC Avant Garde" w:hAnsi="ITC Avant Garde"/>
          <w:bCs/>
          <w:color w:val="000000" w:themeColor="text1"/>
          <w:sz w:val="23"/>
          <w:szCs w:val="23"/>
          <w:lang w:eastAsia="es-MX"/>
        </w:rPr>
        <w:t>.</w:t>
      </w:r>
    </w:p>
    <w:p w14:paraId="5EF0C753" w14:textId="231AAC67" w:rsidR="00141FE7" w:rsidRPr="00882869" w:rsidRDefault="00141FE7" w:rsidP="00882869">
      <w:pPr>
        <w:numPr>
          <w:ilvl w:val="0"/>
          <w:numId w:val="4"/>
        </w:numPr>
        <w:spacing w:after="160" w:line="240" w:lineRule="auto"/>
        <w:ind w:left="567"/>
        <w:jc w:val="both"/>
        <w:rPr>
          <w:rFonts w:ascii="ITC Avant Garde" w:hAnsi="ITC Avant Garde"/>
          <w:bCs/>
          <w:color w:val="000000"/>
          <w:sz w:val="23"/>
          <w:szCs w:val="23"/>
          <w:lang w:eastAsia="es-MX"/>
        </w:rPr>
      </w:pPr>
      <w:r w:rsidRPr="00E859C2">
        <w:rPr>
          <w:rFonts w:ascii="ITC Avant Garde" w:hAnsi="ITC Avant Garde" w:cs="Arial"/>
          <w:b/>
          <w:bCs/>
          <w:color w:val="000000"/>
          <w:sz w:val="23"/>
          <w:szCs w:val="23"/>
          <w:shd w:val="clear" w:color="auto" w:fill="FFFFFF"/>
        </w:rPr>
        <w:t>Estatuto Orgánico.</w:t>
      </w:r>
      <w:r w:rsidRPr="00E859C2">
        <w:rPr>
          <w:rStyle w:val="apple-converted-space"/>
          <w:rFonts w:ascii="ITC Avant Garde" w:hAnsi="ITC Avant Garde" w:cs="Arial"/>
          <w:b/>
          <w:bCs/>
          <w:color w:val="000000"/>
          <w:sz w:val="23"/>
          <w:szCs w:val="23"/>
          <w:shd w:val="clear" w:color="auto" w:fill="FFFFFF"/>
        </w:rPr>
        <w:t xml:space="preserve"> </w:t>
      </w:r>
      <w:r w:rsidRPr="00E859C2">
        <w:rPr>
          <w:rFonts w:ascii="ITC Avant Garde" w:hAnsi="ITC Avant Garde"/>
          <w:color w:val="000000"/>
          <w:sz w:val="23"/>
          <w:szCs w:val="23"/>
          <w:shd w:val="clear" w:color="auto" w:fill="FFFFFF"/>
        </w:rPr>
        <w:t>El 4 de septiembre de 2014, se publicó en el Diario Oficial de la Federación el “</w:t>
      </w:r>
      <w:r w:rsidRPr="00E859C2">
        <w:rPr>
          <w:rFonts w:ascii="ITC Avant Garde" w:hAnsi="ITC Avant Garde"/>
          <w:i/>
          <w:color w:val="000000"/>
          <w:sz w:val="23"/>
          <w:szCs w:val="23"/>
          <w:shd w:val="clear" w:color="auto" w:fill="FFFFFF"/>
        </w:rPr>
        <w:t>Estatuto Orgánico del Instituto Federal de Telecomunicaciones</w:t>
      </w:r>
      <w:r w:rsidRPr="00E859C2">
        <w:rPr>
          <w:rFonts w:ascii="ITC Avant Garde" w:hAnsi="ITC Avant Garde"/>
          <w:color w:val="000000"/>
          <w:sz w:val="23"/>
          <w:szCs w:val="23"/>
          <w:shd w:val="clear" w:color="auto" w:fill="FFFFFF"/>
        </w:rPr>
        <w:t>” (el “Estatuto Orgánico”), mismo que entró en vigor el 26 de septiembre de 2014</w:t>
      </w:r>
      <w:r w:rsidR="00A407D2">
        <w:rPr>
          <w:rFonts w:ascii="ITC Avant Garde" w:hAnsi="ITC Avant Garde"/>
          <w:color w:val="000000"/>
          <w:sz w:val="23"/>
          <w:szCs w:val="23"/>
          <w:shd w:val="clear" w:color="auto" w:fill="FFFFFF"/>
        </w:rPr>
        <w:t>,</w:t>
      </w:r>
      <w:r w:rsidR="00F17554">
        <w:rPr>
          <w:rFonts w:ascii="ITC Avant Garde" w:hAnsi="ITC Avant Garde"/>
          <w:color w:val="000000"/>
          <w:sz w:val="23"/>
          <w:szCs w:val="23"/>
          <w:shd w:val="clear" w:color="auto" w:fill="FFFFFF"/>
        </w:rPr>
        <w:t xml:space="preserve"> </w:t>
      </w:r>
      <w:r w:rsidR="00F17554" w:rsidRPr="00F17554">
        <w:rPr>
          <w:rFonts w:ascii="ITC Avant Garde" w:hAnsi="ITC Avant Garde"/>
          <w:bCs/>
          <w:color w:val="000000"/>
          <w:sz w:val="23"/>
          <w:szCs w:val="23"/>
          <w:shd w:val="clear" w:color="auto" w:fill="FFFFFF"/>
        </w:rPr>
        <w:t>y fue modificado el 17 de octubre de 2014</w:t>
      </w:r>
      <w:r w:rsidRPr="00E859C2">
        <w:rPr>
          <w:rFonts w:ascii="ITC Avant Garde" w:hAnsi="ITC Avant Garde"/>
          <w:color w:val="000000"/>
          <w:sz w:val="23"/>
          <w:szCs w:val="23"/>
          <w:shd w:val="clear" w:color="auto" w:fill="FFFFFF"/>
        </w:rPr>
        <w:t>.</w:t>
      </w:r>
    </w:p>
    <w:p w14:paraId="05C5364D" w14:textId="6D6CE4CD" w:rsidR="00DE77AB" w:rsidRDefault="00DE77AB" w:rsidP="00882869">
      <w:pPr>
        <w:numPr>
          <w:ilvl w:val="0"/>
          <w:numId w:val="4"/>
        </w:numPr>
        <w:spacing w:after="160" w:line="240" w:lineRule="auto"/>
        <w:ind w:left="567"/>
        <w:jc w:val="both"/>
        <w:rPr>
          <w:rFonts w:ascii="ITC Avant Garde" w:hAnsi="ITC Avant Garde"/>
          <w:bCs/>
          <w:color w:val="000000" w:themeColor="text1"/>
          <w:sz w:val="23"/>
          <w:szCs w:val="23"/>
          <w:lang w:eastAsia="es-MX"/>
        </w:rPr>
      </w:pPr>
      <w:r w:rsidRPr="00E859C2">
        <w:rPr>
          <w:rFonts w:ascii="ITC Avant Garde" w:hAnsi="ITC Avant Garde"/>
          <w:b/>
          <w:bCs/>
          <w:color w:val="000000"/>
          <w:sz w:val="23"/>
          <w:szCs w:val="23"/>
          <w:lang w:eastAsia="es-MX"/>
        </w:rPr>
        <w:t>Solicitud de Enajenación de Acciones.</w:t>
      </w:r>
      <w:r w:rsidRPr="00E859C2">
        <w:rPr>
          <w:rFonts w:ascii="ITC Avant Garde" w:hAnsi="ITC Avant Garde"/>
          <w:bCs/>
          <w:color w:val="000000" w:themeColor="text1"/>
          <w:sz w:val="23"/>
          <w:szCs w:val="23"/>
          <w:lang w:eastAsia="es-MX"/>
        </w:rPr>
        <w:t xml:space="preserve"> </w:t>
      </w:r>
      <w:r w:rsidRPr="00B76E10">
        <w:rPr>
          <w:rFonts w:ascii="ITC Avant Garde" w:hAnsi="ITC Avant Garde"/>
          <w:bCs/>
          <w:color w:val="000000" w:themeColor="text1"/>
          <w:sz w:val="23"/>
          <w:szCs w:val="23"/>
          <w:lang w:eastAsia="es-MX"/>
        </w:rPr>
        <w:t>Con escrito</w:t>
      </w:r>
      <w:r w:rsidR="002D08D4">
        <w:rPr>
          <w:rFonts w:ascii="ITC Avant Garde" w:hAnsi="ITC Avant Garde"/>
          <w:bCs/>
          <w:color w:val="000000" w:themeColor="text1"/>
          <w:sz w:val="23"/>
          <w:szCs w:val="23"/>
          <w:lang w:eastAsia="es-MX"/>
        </w:rPr>
        <w:t>s</w:t>
      </w:r>
      <w:r w:rsidRPr="00B76E10">
        <w:rPr>
          <w:rFonts w:ascii="ITC Avant Garde" w:hAnsi="ITC Avant Garde"/>
          <w:bCs/>
          <w:color w:val="000000" w:themeColor="text1"/>
          <w:sz w:val="23"/>
          <w:szCs w:val="23"/>
          <w:lang w:eastAsia="es-MX"/>
        </w:rPr>
        <w:t xml:space="preserve"> presentado</w:t>
      </w:r>
      <w:r w:rsidR="008D0688">
        <w:rPr>
          <w:rFonts w:ascii="ITC Avant Garde" w:hAnsi="ITC Avant Garde"/>
          <w:bCs/>
          <w:color w:val="000000" w:themeColor="text1"/>
          <w:sz w:val="23"/>
          <w:szCs w:val="23"/>
          <w:lang w:eastAsia="es-MX"/>
        </w:rPr>
        <w:t>s</w:t>
      </w:r>
      <w:r w:rsidRPr="00B76E10">
        <w:rPr>
          <w:rFonts w:ascii="ITC Avant Garde" w:hAnsi="ITC Avant Garde"/>
          <w:bCs/>
          <w:color w:val="000000" w:themeColor="text1"/>
          <w:sz w:val="23"/>
          <w:szCs w:val="23"/>
          <w:lang w:eastAsia="es-MX"/>
        </w:rPr>
        <w:t xml:space="preserve"> ante el Instituto el </w:t>
      </w:r>
      <w:r w:rsidR="0016161E">
        <w:rPr>
          <w:rFonts w:ascii="ITC Avant Garde" w:hAnsi="ITC Avant Garde"/>
          <w:bCs/>
          <w:color w:val="000000" w:themeColor="text1"/>
          <w:sz w:val="23"/>
          <w:szCs w:val="23"/>
          <w:lang w:eastAsia="es-MX"/>
        </w:rPr>
        <w:t>20 y 23</w:t>
      </w:r>
      <w:r w:rsidRPr="00B76E10">
        <w:rPr>
          <w:rFonts w:ascii="ITC Avant Garde" w:hAnsi="ITC Avant Garde"/>
          <w:bCs/>
          <w:color w:val="000000" w:themeColor="text1"/>
          <w:sz w:val="23"/>
          <w:szCs w:val="23"/>
          <w:lang w:eastAsia="es-MX"/>
        </w:rPr>
        <w:t xml:space="preserve"> de </w:t>
      </w:r>
      <w:r w:rsidR="0016161E">
        <w:rPr>
          <w:rFonts w:ascii="ITC Avant Garde" w:hAnsi="ITC Avant Garde"/>
          <w:bCs/>
          <w:color w:val="000000" w:themeColor="text1"/>
          <w:sz w:val="23"/>
          <w:szCs w:val="23"/>
          <w:lang w:eastAsia="es-MX"/>
        </w:rPr>
        <w:t>noviembre</w:t>
      </w:r>
      <w:r w:rsidRPr="00B76E10">
        <w:rPr>
          <w:rFonts w:ascii="ITC Avant Garde" w:hAnsi="ITC Avant Garde"/>
          <w:bCs/>
          <w:color w:val="000000" w:themeColor="text1"/>
          <w:sz w:val="23"/>
          <w:szCs w:val="23"/>
          <w:lang w:eastAsia="es-MX"/>
        </w:rPr>
        <w:t xml:space="preserve"> de 201</w:t>
      </w:r>
      <w:r w:rsidR="00EC4DFE" w:rsidRPr="00B76E10">
        <w:rPr>
          <w:rFonts w:ascii="ITC Avant Garde" w:hAnsi="ITC Avant Garde"/>
          <w:bCs/>
          <w:color w:val="000000" w:themeColor="text1"/>
          <w:sz w:val="23"/>
          <w:szCs w:val="23"/>
          <w:lang w:eastAsia="es-MX"/>
        </w:rPr>
        <w:t>5</w:t>
      </w:r>
      <w:r w:rsidRPr="00B76E10">
        <w:rPr>
          <w:rFonts w:ascii="ITC Avant Garde" w:hAnsi="ITC Avant Garde"/>
          <w:bCs/>
          <w:color w:val="000000" w:themeColor="text1"/>
          <w:sz w:val="23"/>
          <w:szCs w:val="23"/>
          <w:lang w:eastAsia="es-MX"/>
        </w:rPr>
        <w:t xml:space="preserve">, </w:t>
      </w:r>
      <w:r w:rsidR="00A407D2">
        <w:rPr>
          <w:rFonts w:ascii="ITC Avant Garde" w:hAnsi="ITC Avant Garde"/>
          <w:bCs/>
          <w:color w:val="000000" w:themeColor="text1"/>
          <w:sz w:val="23"/>
          <w:szCs w:val="23"/>
          <w:lang w:eastAsia="es-MX"/>
        </w:rPr>
        <w:t>el</w:t>
      </w:r>
      <w:r w:rsidR="003B4299" w:rsidRPr="00B76E10">
        <w:rPr>
          <w:rFonts w:ascii="ITC Avant Garde" w:hAnsi="ITC Avant Garde"/>
          <w:bCs/>
          <w:color w:val="000000" w:themeColor="text1"/>
          <w:sz w:val="23"/>
          <w:szCs w:val="23"/>
          <w:lang w:eastAsia="es-MX"/>
        </w:rPr>
        <w:t xml:space="preserve"> representante</w:t>
      </w:r>
      <w:r w:rsidRPr="00B76E10">
        <w:rPr>
          <w:rFonts w:ascii="ITC Avant Garde" w:hAnsi="ITC Avant Garde"/>
          <w:bCs/>
          <w:color w:val="000000" w:themeColor="text1"/>
          <w:sz w:val="23"/>
          <w:szCs w:val="23"/>
          <w:lang w:eastAsia="es-MX"/>
        </w:rPr>
        <w:t xml:space="preserve"> legal de </w:t>
      </w:r>
      <w:r w:rsidR="0016161E">
        <w:rPr>
          <w:rFonts w:ascii="ITC Avant Garde" w:hAnsi="ITC Avant Garde"/>
          <w:bCs/>
          <w:color w:val="000000" w:themeColor="text1"/>
          <w:sz w:val="23"/>
          <w:szCs w:val="23"/>
          <w:lang w:eastAsia="es-MX"/>
        </w:rPr>
        <w:t>Orgtec</w:t>
      </w:r>
      <w:r w:rsidR="003D549F" w:rsidRPr="003D549F">
        <w:rPr>
          <w:rFonts w:ascii="ITC Avant Garde" w:hAnsi="ITC Avant Garde"/>
          <w:bCs/>
          <w:color w:val="000000" w:themeColor="text1"/>
          <w:sz w:val="23"/>
          <w:szCs w:val="23"/>
          <w:lang w:eastAsia="es-MX"/>
        </w:rPr>
        <w:t>, S.A.</w:t>
      </w:r>
      <w:r w:rsidR="0016161E">
        <w:rPr>
          <w:rFonts w:ascii="ITC Avant Garde" w:hAnsi="ITC Avant Garde"/>
          <w:bCs/>
          <w:color w:val="000000" w:themeColor="text1"/>
          <w:sz w:val="23"/>
          <w:szCs w:val="23"/>
          <w:lang w:eastAsia="es-MX"/>
        </w:rPr>
        <w:t>P.I.</w:t>
      </w:r>
      <w:r w:rsidR="003D549F" w:rsidRPr="003D549F">
        <w:rPr>
          <w:rFonts w:ascii="ITC Avant Garde" w:hAnsi="ITC Avant Garde"/>
          <w:bCs/>
          <w:color w:val="000000" w:themeColor="text1"/>
          <w:sz w:val="23"/>
          <w:szCs w:val="23"/>
          <w:lang w:eastAsia="es-MX"/>
        </w:rPr>
        <w:t xml:space="preserve"> de C.V.</w:t>
      </w:r>
      <w:r w:rsidR="001B7748" w:rsidRPr="00E859C2">
        <w:rPr>
          <w:rFonts w:ascii="ITC Avant Garde" w:hAnsi="ITC Avant Garde"/>
          <w:bCs/>
          <w:color w:val="000000" w:themeColor="text1"/>
          <w:sz w:val="23"/>
          <w:szCs w:val="23"/>
          <w:lang w:eastAsia="es-MX"/>
        </w:rPr>
        <w:t>,</w:t>
      </w:r>
      <w:r w:rsidR="003B4299" w:rsidRPr="00B76E10">
        <w:rPr>
          <w:rFonts w:ascii="ITC Avant Garde" w:hAnsi="ITC Avant Garde"/>
          <w:bCs/>
          <w:color w:val="000000" w:themeColor="text1"/>
          <w:sz w:val="23"/>
          <w:szCs w:val="23"/>
          <w:lang w:eastAsia="es-MX"/>
        </w:rPr>
        <w:t xml:space="preserve"> señaló</w:t>
      </w:r>
      <w:r w:rsidRPr="00B76E10">
        <w:rPr>
          <w:rFonts w:ascii="ITC Avant Garde" w:hAnsi="ITC Avant Garde"/>
          <w:bCs/>
          <w:color w:val="000000" w:themeColor="text1"/>
          <w:sz w:val="23"/>
          <w:szCs w:val="23"/>
          <w:lang w:eastAsia="es-MX"/>
        </w:rPr>
        <w:t xml:space="preserve"> la intención de su representada de llevar a cabo </w:t>
      </w:r>
      <w:r w:rsidR="0016161E" w:rsidRPr="00490B25">
        <w:rPr>
          <w:rFonts w:ascii="ITC Avant Garde" w:hAnsi="ITC Avant Garde"/>
          <w:bCs/>
          <w:color w:val="000000" w:themeColor="text1"/>
          <w:sz w:val="23"/>
          <w:szCs w:val="23"/>
          <w:lang w:eastAsia="es-MX"/>
        </w:rPr>
        <w:t>la</w:t>
      </w:r>
      <w:r w:rsidR="00DF3049">
        <w:rPr>
          <w:rFonts w:ascii="ITC Avant Garde" w:hAnsi="ITC Avant Garde"/>
          <w:bCs/>
          <w:color w:val="000000" w:themeColor="text1"/>
          <w:sz w:val="23"/>
          <w:szCs w:val="23"/>
          <w:lang w:eastAsia="es-MX"/>
        </w:rPr>
        <w:t xml:space="preserve"> enajenación de la</w:t>
      </w:r>
      <w:r w:rsidR="0016161E" w:rsidRPr="00490B25">
        <w:rPr>
          <w:rFonts w:ascii="ITC Avant Garde" w:hAnsi="ITC Avant Garde"/>
          <w:bCs/>
          <w:color w:val="000000" w:themeColor="text1"/>
          <w:sz w:val="23"/>
          <w:szCs w:val="23"/>
          <w:lang w:eastAsia="es-MX"/>
        </w:rPr>
        <w:t xml:space="preserve"> totalidad de sus acciones, propiedad de la empresa Grupo </w:t>
      </w:r>
      <w:proofErr w:type="spellStart"/>
      <w:r w:rsidR="0016161E" w:rsidRPr="00490B25">
        <w:rPr>
          <w:rFonts w:ascii="ITC Avant Garde" w:hAnsi="ITC Avant Garde"/>
          <w:bCs/>
          <w:color w:val="000000" w:themeColor="text1"/>
          <w:sz w:val="23"/>
          <w:szCs w:val="23"/>
          <w:lang w:eastAsia="es-MX"/>
        </w:rPr>
        <w:t>Gentux</w:t>
      </w:r>
      <w:proofErr w:type="spellEnd"/>
      <w:r w:rsidR="0016161E" w:rsidRPr="00490B25">
        <w:rPr>
          <w:rFonts w:ascii="ITC Avant Garde" w:hAnsi="ITC Avant Garde"/>
          <w:bCs/>
          <w:color w:val="000000" w:themeColor="text1"/>
          <w:sz w:val="23"/>
          <w:szCs w:val="23"/>
          <w:lang w:eastAsia="es-MX"/>
        </w:rPr>
        <w:t xml:space="preserve">, S.A.P.I. de C.V., </w:t>
      </w:r>
      <w:r w:rsidR="001F70DB">
        <w:rPr>
          <w:rFonts w:ascii="ITC Avant Garde" w:hAnsi="ITC Avant Garde"/>
          <w:bCs/>
          <w:color w:val="000000" w:themeColor="text1"/>
          <w:sz w:val="23"/>
          <w:szCs w:val="23"/>
          <w:lang w:eastAsia="es-MX"/>
        </w:rPr>
        <w:t>y</w:t>
      </w:r>
      <w:r w:rsidR="0016161E" w:rsidRPr="00490B25">
        <w:rPr>
          <w:rFonts w:ascii="ITC Avant Garde" w:hAnsi="ITC Avant Garde"/>
          <w:bCs/>
          <w:color w:val="000000" w:themeColor="text1"/>
          <w:sz w:val="23"/>
          <w:szCs w:val="23"/>
          <w:lang w:eastAsia="es-MX"/>
        </w:rPr>
        <w:t xml:space="preserve"> del C. Noel Abel Delgado Montañez</w:t>
      </w:r>
      <w:r w:rsidR="001F70DB">
        <w:rPr>
          <w:rFonts w:ascii="ITC Avant Garde" w:hAnsi="ITC Avant Garde"/>
          <w:bCs/>
          <w:color w:val="000000" w:themeColor="text1"/>
          <w:sz w:val="23"/>
          <w:szCs w:val="23"/>
          <w:lang w:eastAsia="es-MX"/>
        </w:rPr>
        <w:t>,</w:t>
      </w:r>
      <w:r w:rsidR="0016161E" w:rsidRPr="00490B25">
        <w:rPr>
          <w:rFonts w:ascii="ITC Avant Garde" w:hAnsi="ITC Avant Garde"/>
          <w:bCs/>
          <w:color w:val="000000" w:themeColor="text1"/>
          <w:sz w:val="23"/>
          <w:szCs w:val="23"/>
          <w:lang w:eastAsia="es-MX"/>
        </w:rPr>
        <w:t xml:space="preserve"> a favor de </w:t>
      </w:r>
      <w:proofErr w:type="spellStart"/>
      <w:r w:rsidR="0016161E" w:rsidRPr="00490B25">
        <w:rPr>
          <w:rFonts w:ascii="ITC Avant Garde" w:hAnsi="ITC Avant Garde"/>
          <w:bCs/>
          <w:color w:val="000000" w:themeColor="text1"/>
          <w:sz w:val="23"/>
          <w:szCs w:val="23"/>
          <w:lang w:eastAsia="es-MX"/>
        </w:rPr>
        <w:t>RigNet</w:t>
      </w:r>
      <w:proofErr w:type="spellEnd"/>
      <w:r w:rsidR="0016161E" w:rsidRPr="00490B25">
        <w:rPr>
          <w:rFonts w:ascii="ITC Avant Garde" w:hAnsi="ITC Avant Garde"/>
          <w:bCs/>
          <w:color w:val="000000" w:themeColor="text1"/>
          <w:sz w:val="23"/>
          <w:szCs w:val="23"/>
          <w:lang w:eastAsia="es-MX"/>
        </w:rPr>
        <w:t xml:space="preserve"> de México, S. de R.L.</w:t>
      </w:r>
      <w:r w:rsidR="001F70DB">
        <w:rPr>
          <w:rFonts w:ascii="ITC Avant Garde" w:hAnsi="ITC Avant Garde"/>
          <w:bCs/>
          <w:color w:val="000000" w:themeColor="text1"/>
          <w:sz w:val="23"/>
          <w:szCs w:val="23"/>
          <w:lang w:eastAsia="es-MX"/>
        </w:rPr>
        <w:t xml:space="preserve"> de C.V.</w:t>
      </w:r>
      <w:r w:rsidR="0016161E" w:rsidRPr="00490B25">
        <w:rPr>
          <w:rFonts w:ascii="ITC Avant Garde" w:hAnsi="ITC Avant Garde"/>
          <w:bCs/>
          <w:color w:val="000000" w:themeColor="text1"/>
          <w:sz w:val="23"/>
          <w:szCs w:val="23"/>
          <w:lang w:eastAsia="es-MX"/>
        </w:rPr>
        <w:t>, y de RNSAT Servicios de México, S. de R.L.</w:t>
      </w:r>
      <w:r w:rsidR="001F70DB">
        <w:rPr>
          <w:rFonts w:ascii="ITC Avant Garde" w:hAnsi="ITC Avant Garde"/>
          <w:bCs/>
          <w:color w:val="000000" w:themeColor="text1"/>
          <w:sz w:val="23"/>
          <w:szCs w:val="23"/>
          <w:lang w:eastAsia="es-MX"/>
        </w:rPr>
        <w:t xml:space="preserve"> de C.V.</w:t>
      </w:r>
      <w:r w:rsidRPr="00B76E10">
        <w:rPr>
          <w:rFonts w:ascii="ITC Avant Garde" w:hAnsi="ITC Avant Garde"/>
          <w:bCs/>
          <w:color w:val="000000" w:themeColor="text1"/>
          <w:sz w:val="23"/>
          <w:szCs w:val="23"/>
          <w:lang w:eastAsia="es-MX"/>
        </w:rPr>
        <w:t xml:space="preserve"> (la “Solicitud de Enajenación de Acciones”).</w:t>
      </w:r>
    </w:p>
    <w:p w14:paraId="09936584" w14:textId="315991C3" w:rsidR="00581FDE" w:rsidRDefault="00581FDE" w:rsidP="00882869">
      <w:pPr>
        <w:numPr>
          <w:ilvl w:val="0"/>
          <w:numId w:val="4"/>
        </w:numPr>
        <w:spacing w:after="160" w:line="240" w:lineRule="auto"/>
        <w:ind w:left="567"/>
        <w:jc w:val="both"/>
        <w:rPr>
          <w:rFonts w:ascii="ITC Avant Garde" w:hAnsi="ITC Avant Garde"/>
          <w:bCs/>
          <w:color w:val="000000" w:themeColor="text1"/>
          <w:sz w:val="23"/>
          <w:szCs w:val="23"/>
          <w:lang w:eastAsia="es-MX"/>
        </w:rPr>
      </w:pPr>
      <w:r w:rsidRPr="00BB740D">
        <w:rPr>
          <w:rFonts w:ascii="ITC Avant Garde" w:hAnsi="ITC Avant Garde"/>
          <w:b/>
          <w:color w:val="000000"/>
          <w:sz w:val="23"/>
          <w:szCs w:val="23"/>
          <w:shd w:val="clear" w:color="auto" w:fill="FFFFFF"/>
        </w:rPr>
        <w:t>Solicitud de Opinión Técnica.</w:t>
      </w:r>
      <w:r w:rsidRPr="00E859C2">
        <w:rPr>
          <w:rFonts w:ascii="ITC Avant Garde" w:hAnsi="ITC Avant Garde"/>
          <w:color w:val="000000"/>
          <w:sz w:val="23"/>
          <w:szCs w:val="23"/>
          <w:shd w:val="clear" w:color="auto" w:fill="FFFFFF"/>
        </w:rPr>
        <w:t xml:space="preserve"> </w:t>
      </w:r>
      <w:r w:rsidR="001E7950" w:rsidRPr="00B76E10">
        <w:rPr>
          <w:rFonts w:ascii="ITC Avant Garde" w:hAnsi="ITC Avant Garde"/>
          <w:bCs/>
          <w:color w:val="000000" w:themeColor="text1"/>
          <w:sz w:val="23"/>
          <w:szCs w:val="23"/>
          <w:lang w:eastAsia="es-MX"/>
        </w:rPr>
        <w:t>Mediante oficio IFT/</w:t>
      </w:r>
      <w:r w:rsidR="00141FE7" w:rsidRPr="00B76E10">
        <w:rPr>
          <w:rFonts w:ascii="ITC Avant Garde" w:hAnsi="ITC Avant Garde"/>
          <w:bCs/>
          <w:color w:val="000000" w:themeColor="text1"/>
          <w:sz w:val="23"/>
          <w:szCs w:val="23"/>
          <w:lang w:eastAsia="es-MX"/>
        </w:rPr>
        <w:t>223/UCS</w:t>
      </w:r>
      <w:r w:rsidR="001E7950" w:rsidRPr="00B76E10">
        <w:rPr>
          <w:rFonts w:ascii="ITC Avant Garde" w:hAnsi="ITC Avant Garde"/>
          <w:bCs/>
          <w:color w:val="000000" w:themeColor="text1"/>
          <w:sz w:val="23"/>
          <w:szCs w:val="23"/>
          <w:lang w:eastAsia="es-MX"/>
        </w:rPr>
        <w:t>/</w:t>
      </w:r>
      <w:r w:rsidR="00490B25">
        <w:rPr>
          <w:rFonts w:ascii="ITC Avant Garde" w:hAnsi="ITC Avant Garde"/>
          <w:bCs/>
          <w:color w:val="000000" w:themeColor="text1"/>
          <w:sz w:val="23"/>
          <w:szCs w:val="23"/>
          <w:lang w:eastAsia="es-MX"/>
        </w:rPr>
        <w:t>2607</w:t>
      </w:r>
      <w:r w:rsidR="001E7950" w:rsidRPr="00B76E10">
        <w:rPr>
          <w:rFonts w:ascii="ITC Avant Garde" w:hAnsi="ITC Avant Garde"/>
          <w:bCs/>
          <w:color w:val="000000" w:themeColor="text1"/>
          <w:sz w:val="23"/>
          <w:szCs w:val="23"/>
          <w:lang w:eastAsia="es-MX"/>
        </w:rPr>
        <w:t>/201</w:t>
      </w:r>
      <w:r w:rsidR="00D866A9" w:rsidRPr="00B76E10">
        <w:rPr>
          <w:rFonts w:ascii="ITC Avant Garde" w:hAnsi="ITC Avant Garde"/>
          <w:bCs/>
          <w:color w:val="000000" w:themeColor="text1"/>
          <w:sz w:val="23"/>
          <w:szCs w:val="23"/>
          <w:lang w:eastAsia="es-MX"/>
        </w:rPr>
        <w:t>5</w:t>
      </w:r>
      <w:r w:rsidR="001E7950" w:rsidRPr="00B76E10">
        <w:rPr>
          <w:rFonts w:ascii="ITC Avant Garde" w:hAnsi="ITC Avant Garde"/>
          <w:bCs/>
          <w:color w:val="000000" w:themeColor="text1"/>
          <w:sz w:val="23"/>
          <w:szCs w:val="23"/>
          <w:lang w:eastAsia="es-MX"/>
        </w:rPr>
        <w:t xml:space="preserve"> notificado el</w:t>
      </w:r>
      <w:r w:rsidRPr="00B76E10">
        <w:rPr>
          <w:rFonts w:ascii="ITC Avant Garde" w:hAnsi="ITC Avant Garde"/>
          <w:bCs/>
          <w:color w:val="000000" w:themeColor="text1"/>
          <w:sz w:val="23"/>
          <w:szCs w:val="23"/>
          <w:lang w:eastAsia="es-MX"/>
        </w:rPr>
        <w:t xml:space="preserve"> </w:t>
      </w:r>
      <w:r w:rsidR="00490B25">
        <w:rPr>
          <w:rFonts w:ascii="ITC Avant Garde" w:hAnsi="ITC Avant Garde"/>
          <w:bCs/>
          <w:color w:val="000000" w:themeColor="text1"/>
          <w:sz w:val="23"/>
          <w:szCs w:val="23"/>
          <w:lang w:eastAsia="es-MX"/>
        </w:rPr>
        <w:t>2</w:t>
      </w:r>
      <w:r w:rsidR="004125E6" w:rsidRPr="00B76E10">
        <w:rPr>
          <w:rFonts w:ascii="ITC Avant Garde" w:hAnsi="ITC Avant Garde"/>
          <w:bCs/>
          <w:color w:val="000000" w:themeColor="text1"/>
          <w:sz w:val="23"/>
          <w:szCs w:val="23"/>
          <w:lang w:eastAsia="es-MX"/>
        </w:rPr>
        <w:t xml:space="preserve"> de </w:t>
      </w:r>
      <w:r w:rsidR="00490B25">
        <w:rPr>
          <w:rFonts w:ascii="ITC Avant Garde" w:hAnsi="ITC Avant Garde"/>
          <w:bCs/>
          <w:color w:val="000000" w:themeColor="text1"/>
          <w:sz w:val="23"/>
          <w:szCs w:val="23"/>
          <w:lang w:eastAsia="es-MX"/>
        </w:rPr>
        <w:t>diciembre</w:t>
      </w:r>
      <w:r w:rsidRPr="00B76E10">
        <w:rPr>
          <w:rFonts w:ascii="ITC Avant Garde" w:hAnsi="ITC Avant Garde"/>
          <w:bCs/>
          <w:color w:val="000000" w:themeColor="text1"/>
          <w:sz w:val="23"/>
          <w:szCs w:val="23"/>
          <w:lang w:eastAsia="es-MX"/>
        </w:rPr>
        <w:t xml:space="preserve"> de 201</w:t>
      </w:r>
      <w:r w:rsidR="00D866A9" w:rsidRPr="00B76E10">
        <w:rPr>
          <w:rFonts w:ascii="ITC Avant Garde" w:hAnsi="ITC Avant Garde"/>
          <w:bCs/>
          <w:color w:val="000000" w:themeColor="text1"/>
          <w:sz w:val="23"/>
          <w:szCs w:val="23"/>
          <w:lang w:eastAsia="es-MX"/>
        </w:rPr>
        <w:t>5</w:t>
      </w:r>
      <w:r w:rsidRPr="00B76E10">
        <w:rPr>
          <w:rFonts w:ascii="ITC Avant Garde" w:hAnsi="ITC Avant Garde"/>
          <w:bCs/>
          <w:color w:val="000000" w:themeColor="text1"/>
          <w:sz w:val="23"/>
          <w:szCs w:val="23"/>
          <w:lang w:eastAsia="es-MX"/>
        </w:rPr>
        <w:t xml:space="preserve">, </w:t>
      </w:r>
      <w:r w:rsidR="00141FE7" w:rsidRPr="00B76E10">
        <w:rPr>
          <w:rFonts w:ascii="ITC Avant Garde" w:hAnsi="ITC Avant Garde"/>
          <w:bCs/>
          <w:color w:val="000000" w:themeColor="text1"/>
          <w:sz w:val="23"/>
          <w:szCs w:val="23"/>
          <w:lang w:eastAsia="es-MX"/>
        </w:rPr>
        <w:t>la Unidad de Concesiones y Servicio</w:t>
      </w:r>
      <w:r w:rsidR="00CB4DA2" w:rsidRPr="00B76E10">
        <w:rPr>
          <w:rFonts w:ascii="ITC Avant Garde" w:hAnsi="ITC Avant Garde"/>
          <w:bCs/>
          <w:color w:val="000000" w:themeColor="text1"/>
          <w:sz w:val="23"/>
          <w:szCs w:val="23"/>
          <w:lang w:eastAsia="es-MX"/>
        </w:rPr>
        <w:t>s</w:t>
      </w:r>
      <w:r w:rsidR="00141FE7" w:rsidRPr="00B76E10">
        <w:rPr>
          <w:rFonts w:ascii="ITC Avant Garde" w:hAnsi="ITC Avant Garde"/>
          <w:bCs/>
          <w:color w:val="000000" w:themeColor="text1"/>
          <w:sz w:val="23"/>
          <w:szCs w:val="23"/>
          <w:lang w:eastAsia="es-MX"/>
        </w:rPr>
        <w:t xml:space="preserve"> del</w:t>
      </w:r>
      <w:r w:rsidRPr="00B76E10">
        <w:rPr>
          <w:rFonts w:ascii="ITC Avant Garde" w:hAnsi="ITC Avant Garde"/>
          <w:bCs/>
          <w:color w:val="000000" w:themeColor="text1"/>
          <w:sz w:val="23"/>
          <w:szCs w:val="23"/>
          <w:lang w:eastAsia="es-MX"/>
        </w:rPr>
        <w:t xml:space="preserve"> Instituto solicitó a la Secretaría</w:t>
      </w:r>
      <w:r w:rsidR="00141FE7" w:rsidRPr="00B76E10">
        <w:rPr>
          <w:rFonts w:ascii="ITC Avant Garde" w:hAnsi="ITC Avant Garde"/>
          <w:bCs/>
          <w:color w:val="000000" w:themeColor="text1"/>
          <w:sz w:val="23"/>
          <w:szCs w:val="23"/>
          <w:lang w:eastAsia="es-MX"/>
        </w:rPr>
        <w:t xml:space="preserve"> </w:t>
      </w:r>
      <w:r w:rsidRPr="00B76E10">
        <w:rPr>
          <w:rFonts w:ascii="ITC Avant Garde" w:hAnsi="ITC Avant Garde"/>
          <w:bCs/>
          <w:color w:val="000000" w:themeColor="text1"/>
          <w:sz w:val="23"/>
          <w:szCs w:val="23"/>
          <w:lang w:eastAsia="es-MX"/>
        </w:rPr>
        <w:t xml:space="preserve">la opinión técnica correspondiente a la </w:t>
      </w:r>
      <w:r w:rsidR="004125E6" w:rsidRPr="00B76E10">
        <w:rPr>
          <w:rFonts w:ascii="ITC Avant Garde" w:hAnsi="ITC Avant Garde"/>
          <w:bCs/>
          <w:color w:val="000000" w:themeColor="text1"/>
          <w:sz w:val="23"/>
          <w:szCs w:val="23"/>
          <w:lang w:eastAsia="es-MX"/>
        </w:rPr>
        <w:t>Solicitud de Enajenación de Acciones</w:t>
      </w:r>
      <w:r w:rsidRPr="00B76E10">
        <w:rPr>
          <w:rFonts w:ascii="ITC Avant Garde" w:hAnsi="ITC Avant Garde"/>
          <w:bCs/>
          <w:color w:val="000000" w:themeColor="text1"/>
          <w:sz w:val="23"/>
          <w:szCs w:val="23"/>
          <w:lang w:eastAsia="es-MX"/>
        </w:rPr>
        <w:t>, de conformidad con lo establecido en el artículo 28 párrafo décimo séptimo de la Constitución Política de los Estados Unidos Mexicanos (la “Constitución”)</w:t>
      </w:r>
      <w:r w:rsidR="001E7950" w:rsidRPr="00B76E10">
        <w:rPr>
          <w:rFonts w:ascii="ITC Avant Garde" w:hAnsi="ITC Avant Garde"/>
          <w:bCs/>
          <w:color w:val="000000" w:themeColor="text1"/>
          <w:sz w:val="23"/>
          <w:szCs w:val="23"/>
          <w:lang w:eastAsia="es-MX"/>
        </w:rPr>
        <w:t>.</w:t>
      </w:r>
    </w:p>
    <w:p w14:paraId="267DD1D5" w14:textId="1430CA28" w:rsidR="0067199F" w:rsidRDefault="0067199F" w:rsidP="00882869">
      <w:pPr>
        <w:numPr>
          <w:ilvl w:val="0"/>
          <w:numId w:val="4"/>
        </w:numPr>
        <w:spacing w:after="160" w:line="240" w:lineRule="auto"/>
        <w:ind w:left="567"/>
        <w:jc w:val="both"/>
        <w:rPr>
          <w:rFonts w:ascii="ITC Avant Garde" w:hAnsi="ITC Avant Garde"/>
          <w:bCs/>
          <w:color w:val="000000" w:themeColor="text1"/>
          <w:sz w:val="23"/>
          <w:szCs w:val="23"/>
          <w:lang w:eastAsia="es-MX"/>
        </w:rPr>
      </w:pPr>
      <w:r w:rsidRPr="0067199F">
        <w:rPr>
          <w:rFonts w:ascii="ITC Avant Garde" w:hAnsi="ITC Avant Garde"/>
          <w:b/>
          <w:bCs/>
          <w:color w:val="000000" w:themeColor="text1"/>
          <w:sz w:val="23"/>
          <w:szCs w:val="23"/>
          <w:lang w:eastAsia="es-MX"/>
        </w:rPr>
        <w:t>Opinión de la Unidad de Competencia Económica.</w:t>
      </w:r>
      <w:r>
        <w:rPr>
          <w:rFonts w:ascii="ITC Avant Garde" w:hAnsi="ITC Avant Garde"/>
          <w:bCs/>
          <w:color w:val="000000" w:themeColor="text1"/>
          <w:sz w:val="23"/>
          <w:szCs w:val="23"/>
          <w:lang w:eastAsia="es-MX"/>
        </w:rPr>
        <w:t xml:space="preserve"> Mediante oficio IFT/226/UCE/DG-CCON/363/2015</w:t>
      </w:r>
      <w:r w:rsidR="00F60C40">
        <w:rPr>
          <w:rFonts w:ascii="ITC Avant Garde" w:hAnsi="ITC Avant Garde"/>
          <w:bCs/>
          <w:color w:val="000000" w:themeColor="text1"/>
          <w:sz w:val="23"/>
          <w:szCs w:val="23"/>
          <w:lang w:eastAsia="es-MX"/>
        </w:rPr>
        <w:t xml:space="preserve"> de fecha 18 de diciembre de 2015</w:t>
      </w:r>
      <w:r>
        <w:rPr>
          <w:rFonts w:ascii="ITC Avant Garde" w:hAnsi="ITC Avant Garde"/>
          <w:bCs/>
          <w:color w:val="000000" w:themeColor="text1"/>
          <w:sz w:val="23"/>
          <w:szCs w:val="23"/>
          <w:lang w:eastAsia="es-MX"/>
        </w:rPr>
        <w:t>, la Unidad de Competencia Económica, a través de la Dirección General de Concentraciones y Concesiones emitió opinión en materia de competencia económica con respecto a la Solicitud de Enajenación de Acciones.</w:t>
      </w:r>
    </w:p>
    <w:p w14:paraId="06D5EDFE" w14:textId="77777777" w:rsidR="00882869" w:rsidRDefault="00882869" w:rsidP="00882869">
      <w:pPr>
        <w:pStyle w:val="Prrafodelista"/>
        <w:rPr>
          <w:rFonts w:ascii="ITC Avant Garde" w:hAnsi="ITC Avant Garde"/>
          <w:bCs/>
          <w:color w:val="000000" w:themeColor="text1"/>
          <w:sz w:val="23"/>
          <w:szCs w:val="23"/>
          <w:lang w:eastAsia="es-MX"/>
        </w:rPr>
      </w:pPr>
    </w:p>
    <w:p w14:paraId="449FC059" w14:textId="77777777" w:rsidR="00B048BA" w:rsidRDefault="00B048BA" w:rsidP="00882869">
      <w:pPr>
        <w:spacing w:line="240" w:lineRule="auto"/>
        <w:jc w:val="both"/>
        <w:rPr>
          <w:rFonts w:ascii="ITC Avant Garde" w:hAnsi="ITC Avant Garde"/>
          <w:bCs/>
          <w:color w:val="000000" w:themeColor="text1"/>
          <w:sz w:val="23"/>
          <w:szCs w:val="23"/>
          <w:lang w:eastAsia="es-MX"/>
        </w:rPr>
      </w:pPr>
      <w:r w:rsidRPr="00B76E10">
        <w:rPr>
          <w:rFonts w:ascii="ITC Avant Garde" w:hAnsi="ITC Avant Garde"/>
          <w:bCs/>
          <w:color w:val="000000" w:themeColor="text1"/>
          <w:sz w:val="23"/>
          <w:szCs w:val="23"/>
          <w:lang w:eastAsia="es-MX"/>
        </w:rPr>
        <w:t>En virtud de los Antecedentes referidos y,</w:t>
      </w:r>
    </w:p>
    <w:p w14:paraId="21623CDC" w14:textId="77777777" w:rsidR="006F1784" w:rsidRPr="00B76E10" w:rsidRDefault="006F1784" w:rsidP="00882869">
      <w:pPr>
        <w:spacing w:line="240" w:lineRule="auto"/>
        <w:jc w:val="both"/>
        <w:rPr>
          <w:rFonts w:ascii="ITC Avant Garde" w:hAnsi="ITC Avant Garde"/>
          <w:bCs/>
          <w:color w:val="000000" w:themeColor="text1"/>
          <w:sz w:val="23"/>
          <w:szCs w:val="23"/>
          <w:lang w:eastAsia="es-MX"/>
        </w:rPr>
      </w:pPr>
    </w:p>
    <w:p w14:paraId="69EFEDA0" w14:textId="77777777" w:rsidR="00D64817" w:rsidRPr="00685413" w:rsidRDefault="00B048BA" w:rsidP="00051BC9">
      <w:pPr>
        <w:pStyle w:val="Ttulo2"/>
        <w:jc w:val="center"/>
        <w:rPr>
          <w:rFonts w:ascii="ITC Avant Garde" w:hAnsi="ITC Avant Garde"/>
          <w:b/>
          <w:color w:val="000000" w:themeColor="text1"/>
          <w:sz w:val="22"/>
          <w:szCs w:val="22"/>
        </w:rPr>
      </w:pPr>
      <w:r w:rsidRPr="00685413">
        <w:rPr>
          <w:rFonts w:ascii="ITC Avant Garde" w:hAnsi="ITC Avant Garde"/>
          <w:b/>
          <w:color w:val="000000" w:themeColor="text1"/>
          <w:sz w:val="22"/>
          <w:szCs w:val="22"/>
        </w:rPr>
        <w:t>CONSIDERANDO</w:t>
      </w:r>
    </w:p>
    <w:p w14:paraId="260A8850" w14:textId="77777777" w:rsidR="006F1784" w:rsidRPr="00E859C2" w:rsidRDefault="006F1784" w:rsidP="00882869">
      <w:pPr>
        <w:autoSpaceDE w:val="0"/>
        <w:autoSpaceDN w:val="0"/>
        <w:adjustRightInd w:val="0"/>
        <w:spacing w:line="240" w:lineRule="auto"/>
        <w:jc w:val="center"/>
        <w:rPr>
          <w:rFonts w:ascii="ITC Avant Garde" w:hAnsi="ITC Avant Garde"/>
          <w:b/>
          <w:bCs/>
          <w:sz w:val="23"/>
          <w:szCs w:val="23"/>
        </w:rPr>
      </w:pPr>
    </w:p>
    <w:p w14:paraId="347C1341" w14:textId="77777777" w:rsidR="00D04074" w:rsidRPr="00B76E10" w:rsidRDefault="00B048BA" w:rsidP="00882869">
      <w:pPr>
        <w:autoSpaceDE w:val="0"/>
        <w:autoSpaceDN w:val="0"/>
        <w:adjustRightInd w:val="0"/>
        <w:spacing w:line="240" w:lineRule="auto"/>
        <w:jc w:val="both"/>
        <w:rPr>
          <w:rFonts w:ascii="ITC Avant Garde" w:hAnsi="ITC Avant Garde"/>
          <w:bCs/>
          <w:color w:val="000000" w:themeColor="text1"/>
          <w:sz w:val="23"/>
          <w:szCs w:val="23"/>
          <w:lang w:eastAsia="es-MX"/>
        </w:rPr>
      </w:pPr>
      <w:r w:rsidRPr="00E859C2">
        <w:rPr>
          <w:rFonts w:ascii="ITC Avant Garde" w:hAnsi="ITC Avant Garde"/>
          <w:b/>
          <w:bCs/>
          <w:sz w:val="23"/>
          <w:szCs w:val="23"/>
        </w:rPr>
        <w:t>Primero.-</w:t>
      </w:r>
      <w:r w:rsidRPr="00E859C2">
        <w:rPr>
          <w:rFonts w:ascii="ITC Avant Garde" w:hAnsi="ITC Avant Garde"/>
          <w:bCs/>
          <w:sz w:val="23"/>
          <w:szCs w:val="23"/>
        </w:rPr>
        <w:t xml:space="preserve"> </w:t>
      </w:r>
      <w:r w:rsidRPr="00E859C2">
        <w:rPr>
          <w:rFonts w:ascii="ITC Avant Garde" w:hAnsi="ITC Avant Garde"/>
          <w:b/>
          <w:bCs/>
          <w:sz w:val="23"/>
          <w:szCs w:val="23"/>
        </w:rPr>
        <w:t>Competencia.</w:t>
      </w:r>
      <w:r w:rsidRPr="00E859C2">
        <w:rPr>
          <w:rFonts w:ascii="ITC Avant Garde" w:hAnsi="ITC Avant Garde"/>
          <w:bCs/>
          <w:sz w:val="23"/>
          <w:szCs w:val="23"/>
        </w:rPr>
        <w:t xml:space="preserve"> </w:t>
      </w:r>
      <w:r w:rsidR="00D04074" w:rsidRPr="00B76E10">
        <w:rPr>
          <w:rFonts w:ascii="ITC Avant Garde" w:hAnsi="ITC Avant Garde"/>
          <w:bCs/>
          <w:color w:val="000000" w:themeColor="text1"/>
          <w:sz w:val="23"/>
          <w:szCs w:val="23"/>
          <w:lang w:eastAsia="es-MX"/>
        </w:rPr>
        <w:t xml:space="preserve">Conforme lo dispone el artículo 28 párrafo décimo </w:t>
      </w:r>
      <w:r w:rsidR="003A59B8" w:rsidRPr="00B76E10">
        <w:rPr>
          <w:rFonts w:ascii="ITC Avant Garde" w:hAnsi="ITC Avant Garde"/>
          <w:bCs/>
          <w:color w:val="000000" w:themeColor="text1"/>
          <w:sz w:val="23"/>
          <w:szCs w:val="23"/>
          <w:lang w:eastAsia="es-MX"/>
        </w:rPr>
        <w:t>séptimo</w:t>
      </w:r>
      <w:r w:rsidR="00D04074" w:rsidRPr="00B76E10">
        <w:rPr>
          <w:rFonts w:ascii="ITC Avant Garde" w:hAnsi="ITC Avant Garde"/>
          <w:bCs/>
          <w:color w:val="000000" w:themeColor="text1"/>
          <w:sz w:val="23"/>
          <w:szCs w:val="23"/>
          <w:lang w:eastAsia="es-MX"/>
        </w:rPr>
        <w:t xml:space="preserve"> de la Constitución, </w:t>
      </w:r>
      <w:r w:rsidR="00626EF3" w:rsidRPr="00B76E10">
        <w:rPr>
          <w:rFonts w:ascii="ITC Avant Garde" w:hAnsi="ITC Avant Garde"/>
          <w:bCs/>
          <w:color w:val="000000" w:themeColor="text1"/>
          <w:sz w:val="23"/>
          <w:szCs w:val="23"/>
          <w:lang w:eastAsia="es-MX"/>
        </w:rPr>
        <w:t>c</w:t>
      </w:r>
      <w:r w:rsidR="00F571C6" w:rsidRPr="00B76E10">
        <w:rPr>
          <w:rFonts w:ascii="ITC Avant Garde" w:hAnsi="ITC Avant Garde"/>
          <w:bCs/>
          <w:color w:val="000000" w:themeColor="text1"/>
          <w:sz w:val="23"/>
          <w:szCs w:val="23"/>
          <w:lang w:eastAsia="es-MX"/>
        </w:rPr>
        <w:t>orresponde al Instituto</w:t>
      </w:r>
      <w:r w:rsidR="007F33CB" w:rsidRPr="00B76E10">
        <w:rPr>
          <w:rFonts w:ascii="ITC Avant Garde" w:hAnsi="ITC Avant Garde"/>
          <w:bCs/>
          <w:color w:val="000000" w:themeColor="text1"/>
          <w:sz w:val="23"/>
          <w:szCs w:val="23"/>
          <w:lang w:eastAsia="es-MX"/>
        </w:rPr>
        <w:t xml:space="preserve"> el otorgamiento, la revocación, así como la autorización de cesiones o cambios de control accionario, titularidad u operación de sociedades relacionadas con concesiones en materia de radiodifusión y telecomunicaciones</w:t>
      </w:r>
      <w:r w:rsidR="00D04074" w:rsidRPr="00B76E10">
        <w:rPr>
          <w:rFonts w:ascii="ITC Avant Garde" w:hAnsi="ITC Avant Garde"/>
          <w:bCs/>
          <w:color w:val="000000" w:themeColor="text1"/>
          <w:sz w:val="23"/>
          <w:szCs w:val="23"/>
          <w:lang w:eastAsia="es-MX"/>
        </w:rPr>
        <w:t>.</w:t>
      </w:r>
    </w:p>
    <w:p w14:paraId="16FB6F52" w14:textId="6F8B370D" w:rsidR="00A62AEA" w:rsidRPr="00E859C2" w:rsidRDefault="00A62AEA" w:rsidP="00882869">
      <w:pPr>
        <w:autoSpaceDE w:val="0"/>
        <w:autoSpaceDN w:val="0"/>
        <w:adjustRightInd w:val="0"/>
        <w:spacing w:line="240" w:lineRule="auto"/>
        <w:jc w:val="both"/>
        <w:rPr>
          <w:rFonts w:ascii="ITC Avant Garde" w:hAnsi="ITC Avant Garde"/>
          <w:bCs/>
          <w:sz w:val="23"/>
          <w:szCs w:val="23"/>
        </w:rPr>
      </w:pPr>
      <w:r w:rsidRPr="00B76E10">
        <w:rPr>
          <w:rFonts w:ascii="ITC Avant Garde" w:hAnsi="ITC Avant Garde"/>
          <w:bCs/>
          <w:color w:val="000000" w:themeColor="text1"/>
          <w:sz w:val="23"/>
          <w:szCs w:val="23"/>
          <w:lang w:eastAsia="es-MX"/>
        </w:rPr>
        <w:lastRenderedPageBreak/>
        <w:t>Asimismo,</w:t>
      </w:r>
      <w:r w:rsidR="006376CC" w:rsidRPr="00B76E10">
        <w:rPr>
          <w:rFonts w:ascii="ITC Avant Garde" w:hAnsi="ITC Avant Garde"/>
          <w:bCs/>
          <w:color w:val="000000" w:themeColor="text1"/>
          <w:sz w:val="23"/>
          <w:szCs w:val="23"/>
          <w:lang w:eastAsia="es-MX"/>
        </w:rPr>
        <w:t xml:space="preserve"> de conformidad con el párrafo</w:t>
      </w:r>
      <w:r w:rsidR="006376CC">
        <w:rPr>
          <w:rFonts w:ascii="ITC Avant Garde" w:hAnsi="ITC Avant Garde"/>
          <w:bCs/>
          <w:sz w:val="23"/>
          <w:szCs w:val="23"/>
        </w:rPr>
        <w:t xml:space="preserve"> décimo sexto del citado artículo,</w:t>
      </w:r>
      <w:r w:rsidRPr="00E859C2">
        <w:rPr>
          <w:rFonts w:ascii="ITC Avant Garde" w:hAnsi="ITC Avant Garde"/>
          <w:bCs/>
          <w:sz w:val="23"/>
          <w:szCs w:val="23"/>
        </w:rPr>
        <w:t xml:space="preserve"> el Instituto es la autoridad en materia de competencia económica </w:t>
      </w:r>
      <w:r w:rsidR="00F571C6" w:rsidRPr="00E859C2">
        <w:rPr>
          <w:rFonts w:ascii="ITC Avant Garde" w:hAnsi="ITC Avant Garde"/>
          <w:bCs/>
          <w:sz w:val="23"/>
          <w:szCs w:val="23"/>
        </w:rPr>
        <w:t>de</w:t>
      </w:r>
      <w:r w:rsidRPr="00E859C2">
        <w:rPr>
          <w:rFonts w:ascii="ITC Avant Garde" w:hAnsi="ITC Avant Garde"/>
          <w:bCs/>
          <w:sz w:val="23"/>
          <w:szCs w:val="23"/>
        </w:rPr>
        <w:t xml:space="preserve"> los sectores de </w:t>
      </w:r>
      <w:r w:rsidRPr="00B76E10">
        <w:rPr>
          <w:rFonts w:ascii="ITC Avant Garde" w:hAnsi="ITC Avant Garde"/>
          <w:bCs/>
          <w:color w:val="000000" w:themeColor="text1"/>
          <w:sz w:val="23"/>
          <w:szCs w:val="23"/>
          <w:lang w:eastAsia="es-MX"/>
        </w:rPr>
        <w:t>radiodifusión</w:t>
      </w:r>
      <w:r w:rsidRPr="00E859C2">
        <w:rPr>
          <w:rFonts w:ascii="ITC Avant Garde" w:hAnsi="ITC Avant Garde"/>
          <w:bCs/>
          <w:sz w:val="23"/>
          <w:szCs w:val="23"/>
        </w:rPr>
        <w:t xml:space="preserve"> y telecomunicaciones, por lo que entre otros aspectos, regulará de forma asimétrica a los participantes en estos mercados con el objeto de eliminar eficazmente las barreras a la competencia y la libre </w:t>
      </w:r>
      <w:r w:rsidR="00F571C6" w:rsidRPr="00E859C2">
        <w:rPr>
          <w:rFonts w:ascii="ITC Avant Garde" w:hAnsi="ITC Avant Garde"/>
          <w:bCs/>
          <w:sz w:val="23"/>
          <w:szCs w:val="23"/>
        </w:rPr>
        <w:t>concurrencia</w:t>
      </w:r>
      <w:r w:rsidRPr="00E859C2">
        <w:rPr>
          <w:rFonts w:ascii="ITC Avant Garde" w:hAnsi="ITC Avant Garde"/>
          <w:bCs/>
          <w:sz w:val="23"/>
          <w:szCs w:val="23"/>
        </w:rPr>
        <w:t>;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53460AE8" w14:textId="412438FE" w:rsidR="00D04074" w:rsidRPr="00B76E10" w:rsidRDefault="00D06882" w:rsidP="00882869">
      <w:pPr>
        <w:autoSpaceDE w:val="0"/>
        <w:autoSpaceDN w:val="0"/>
        <w:adjustRightInd w:val="0"/>
        <w:spacing w:line="240" w:lineRule="auto"/>
        <w:jc w:val="both"/>
        <w:rPr>
          <w:rFonts w:ascii="ITC Avant Garde" w:hAnsi="ITC Avant Garde"/>
          <w:bCs/>
          <w:color w:val="000000" w:themeColor="text1"/>
          <w:sz w:val="23"/>
          <w:szCs w:val="23"/>
          <w:lang w:eastAsia="es-MX"/>
        </w:rPr>
      </w:pPr>
      <w:r w:rsidRPr="00B76E10">
        <w:rPr>
          <w:rFonts w:ascii="ITC Avant Garde" w:hAnsi="ITC Avant Garde"/>
          <w:bCs/>
          <w:color w:val="000000" w:themeColor="text1"/>
          <w:sz w:val="23"/>
          <w:szCs w:val="23"/>
          <w:lang w:eastAsia="es-MX"/>
        </w:rPr>
        <w:t>De igual manera</w:t>
      </w:r>
      <w:r w:rsidR="00BA5A10" w:rsidRPr="00B76E10">
        <w:rPr>
          <w:rFonts w:ascii="ITC Avant Garde" w:hAnsi="ITC Avant Garde"/>
          <w:bCs/>
          <w:color w:val="000000" w:themeColor="text1"/>
          <w:sz w:val="23"/>
          <w:szCs w:val="23"/>
          <w:lang w:eastAsia="es-MX"/>
        </w:rPr>
        <w:t>, corresponde al Pleno del Instituto conforme a lo establecido en los artículos 15 fracción IV y 17 fracción I de la Ley Federal de Telecomunicaciones y Radiodifusión (la “Ley”) y 6 del Estatuto Orgánico, la facultad de autorizar cesiones o cambios de control accionario, titularidad u operación de sociedades relacionadas con concesiones</w:t>
      </w:r>
      <w:r w:rsidR="00D04074" w:rsidRPr="00B76E10">
        <w:rPr>
          <w:rFonts w:ascii="ITC Avant Garde" w:hAnsi="ITC Avant Garde"/>
          <w:bCs/>
          <w:color w:val="000000" w:themeColor="text1"/>
          <w:sz w:val="23"/>
          <w:szCs w:val="23"/>
          <w:lang w:eastAsia="es-MX"/>
        </w:rPr>
        <w:t>.</w:t>
      </w:r>
    </w:p>
    <w:p w14:paraId="411D46DD" w14:textId="77777777" w:rsidR="00D04074" w:rsidRPr="00B76E10" w:rsidRDefault="006E2D8C" w:rsidP="00882869">
      <w:pPr>
        <w:autoSpaceDE w:val="0"/>
        <w:autoSpaceDN w:val="0"/>
        <w:adjustRightInd w:val="0"/>
        <w:spacing w:line="240" w:lineRule="auto"/>
        <w:jc w:val="both"/>
        <w:rPr>
          <w:rFonts w:ascii="ITC Avant Garde" w:hAnsi="ITC Avant Garde"/>
          <w:bCs/>
          <w:color w:val="000000" w:themeColor="text1"/>
          <w:sz w:val="23"/>
          <w:szCs w:val="23"/>
          <w:lang w:eastAsia="es-MX"/>
        </w:rPr>
      </w:pPr>
      <w:r w:rsidRPr="00B76E10">
        <w:rPr>
          <w:rFonts w:ascii="ITC Avant Garde" w:hAnsi="ITC Avant Garde"/>
          <w:bCs/>
          <w:color w:val="000000" w:themeColor="text1"/>
          <w:sz w:val="23"/>
          <w:szCs w:val="23"/>
          <w:lang w:eastAsia="es-MX"/>
        </w:rPr>
        <w:t>En este sentido</w:t>
      </w:r>
      <w:r w:rsidR="00D04074" w:rsidRPr="00B76E10">
        <w:rPr>
          <w:rFonts w:ascii="ITC Avant Garde" w:hAnsi="ITC Avant Garde"/>
          <w:bCs/>
          <w:color w:val="000000" w:themeColor="text1"/>
          <w:sz w:val="23"/>
          <w:szCs w:val="23"/>
          <w:lang w:eastAsia="es-MX"/>
        </w:rPr>
        <w:t xml:space="preserve">, conforme al artículo 33 fracción </w:t>
      </w:r>
      <w:r w:rsidR="003B2407" w:rsidRPr="00B76E10">
        <w:rPr>
          <w:rFonts w:ascii="ITC Avant Garde" w:hAnsi="ITC Avant Garde"/>
          <w:bCs/>
          <w:color w:val="000000" w:themeColor="text1"/>
          <w:sz w:val="23"/>
          <w:szCs w:val="23"/>
          <w:lang w:eastAsia="es-MX"/>
        </w:rPr>
        <w:t>IV</w:t>
      </w:r>
      <w:r w:rsidR="00D04074" w:rsidRPr="00B76E10">
        <w:rPr>
          <w:rFonts w:ascii="ITC Avant Garde" w:hAnsi="ITC Avant Garde"/>
          <w:bCs/>
          <w:color w:val="000000" w:themeColor="text1"/>
          <w:sz w:val="23"/>
          <w:szCs w:val="23"/>
          <w:lang w:eastAsia="es-MX"/>
        </w:rPr>
        <w:t xml:space="preserve"> del Estatuto Orgánico</w:t>
      </w:r>
      <w:r w:rsidR="003B2407" w:rsidRPr="00B76E10">
        <w:rPr>
          <w:rFonts w:ascii="ITC Avant Garde" w:hAnsi="ITC Avant Garde"/>
          <w:bCs/>
          <w:color w:val="000000" w:themeColor="text1"/>
          <w:sz w:val="23"/>
          <w:szCs w:val="23"/>
          <w:lang w:eastAsia="es-MX"/>
        </w:rPr>
        <w:t xml:space="preserve"> </w:t>
      </w:r>
      <w:r w:rsidR="00D04074" w:rsidRPr="00B76E10">
        <w:rPr>
          <w:rFonts w:ascii="ITC Avant Garde" w:hAnsi="ITC Avant Garde"/>
          <w:bCs/>
          <w:color w:val="000000" w:themeColor="text1"/>
          <w:sz w:val="23"/>
          <w:szCs w:val="23"/>
          <w:lang w:eastAsia="es-MX"/>
        </w:rPr>
        <w:t xml:space="preserve">corresponde a la Dirección General de Concesiones de Telecomunicaciones, adscrita a la Unidad de Concesiones y Servicios, </w:t>
      </w:r>
      <w:r w:rsidR="008D4107" w:rsidRPr="00B76E10">
        <w:rPr>
          <w:rFonts w:ascii="ITC Avant Garde" w:hAnsi="ITC Avant Garde"/>
          <w:bCs/>
          <w:color w:val="000000" w:themeColor="text1"/>
          <w:sz w:val="23"/>
          <w:szCs w:val="23"/>
          <w:lang w:eastAsia="es-MX"/>
        </w:rPr>
        <w:t>tramitar y evaluar las solicitudes de cambios de control accionario, titularidad u operación de sociedades relacionadas con las concesiones en materia de telecomunicaciones para someterlas a consideración del Pleno</w:t>
      </w:r>
      <w:r w:rsidR="00D04074" w:rsidRPr="00B76E10">
        <w:rPr>
          <w:rFonts w:ascii="ITC Avant Garde" w:hAnsi="ITC Avant Garde"/>
          <w:bCs/>
          <w:color w:val="000000" w:themeColor="text1"/>
          <w:sz w:val="23"/>
          <w:szCs w:val="23"/>
          <w:lang w:eastAsia="es-MX"/>
        </w:rPr>
        <w:t>.</w:t>
      </w:r>
    </w:p>
    <w:p w14:paraId="1B346B4C" w14:textId="6D4EFAB7" w:rsidR="006E2D8C" w:rsidRDefault="006E2D8C" w:rsidP="00882869">
      <w:pPr>
        <w:autoSpaceDE w:val="0"/>
        <w:autoSpaceDN w:val="0"/>
        <w:adjustRightInd w:val="0"/>
        <w:spacing w:line="240" w:lineRule="auto"/>
        <w:jc w:val="both"/>
        <w:rPr>
          <w:rFonts w:ascii="ITC Avant Garde" w:hAnsi="ITC Avant Garde"/>
          <w:bCs/>
          <w:color w:val="000000" w:themeColor="text1"/>
          <w:sz w:val="23"/>
          <w:szCs w:val="23"/>
          <w:lang w:eastAsia="es-MX"/>
        </w:rPr>
      </w:pPr>
      <w:r w:rsidRPr="00B76E10">
        <w:rPr>
          <w:rFonts w:ascii="ITC Avant Garde" w:hAnsi="ITC Avant Garde"/>
          <w:bCs/>
          <w:color w:val="000000" w:themeColor="text1"/>
          <w:sz w:val="23"/>
          <w:szCs w:val="23"/>
          <w:lang w:eastAsia="es-MX"/>
        </w:rPr>
        <w:t>En este orden de ideas,</w:t>
      </w:r>
      <w:r w:rsidR="00EA63A8" w:rsidRPr="00B76E10">
        <w:rPr>
          <w:rFonts w:ascii="ITC Avant Garde" w:hAnsi="ITC Avant Garde"/>
          <w:bCs/>
          <w:color w:val="000000" w:themeColor="text1"/>
          <w:sz w:val="23"/>
          <w:szCs w:val="23"/>
          <w:lang w:eastAsia="es-MX"/>
        </w:rPr>
        <w:t xml:space="preserve"> y considerando que</w:t>
      </w:r>
      <w:r w:rsidRPr="00B76E10">
        <w:rPr>
          <w:rFonts w:ascii="ITC Avant Garde" w:hAnsi="ITC Avant Garde"/>
          <w:bCs/>
          <w:color w:val="000000" w:themeColor="text1"/>
          <w:sz w:val="23"/>
          <w:szCs w:val="23"/>
          <w:lang w:eastAsia="es-MX"/>
        </w:rPr>
        <w:t xml:space="preserve"> el Instituto tiene a su cargo la regulación, promoción y supervisión de las telecomunicaciones, así como la facultad de autorizar cesiones o cambios de control accionario, titularidad u operación de sociedades relacionadas con concesiones</w:t>
      </w:r>
      <w:r w:rsidR="00EA63A8" w:rsidRPr="00B76E10">
        <w:rPr>
          <w:rFonts w:ascii="ITC Avant Garde" w:hAnsi="ITC Avant Garde"/>
          <w:bCs/>
          <w:color w:val="000000" w:themeColor="text1"/>
          <w:sz w:val="23"/>
          <w:szCs w:val="23"/>
          <w:lang w:eastAsia="es-MX"/>
        </w:rPr>
        <w:t>;</w:t>
      </w:r>
      <w:r w:rsidR="00141FE7" w:rsidRPr="00B76E10">
        <w:rPr>
          <w:rFonts w:ascii="ITC Avant Garde" w:hAnsi="ITC Avant Garde"/>
          <w:bCs/>
          <w:color w:val="000000" w:themeColor="text1"/>
          <w:sz w:val="23"/>
          <w:szCs w:val="23"/>
          <w:lang w:eastAsia="es-MX"/>
        </w:rPr>
        <w:t xml:space="preserve"> el Pleno</w:t>
      </w:r>
      <w:r w:rsidR="006A65F2" w:rsidRPr="00B76E10">
        <w:rPr>
          <w:rFonts w:ascii="ITC Avant Garde" w:hAnsi="ITC Avant Garde"/>
          <w:bCs/>
          <w:color w:val="000000" w:themeColor="text1"/>
          <w:sz w:val="23"/>
          <w:szCs w:val="23"/>
          <w:lang w:eastAsia="es-MX"/>
        </w:rPr>
        <w:t>,</w:t>
      </w:r>
      <w:r w:rsidRPr="00B76E10">
        <w:rPr>
          <w:rFonts w:ascii="ITC Avant Garde" w:hAnsi="ITC Avant Garde"/>
          <w:bCs/>
          <w:color w:val="000000" w:themeColor="text1"/>
          <w:sz w:val="23"/>
          <w:szCs w:val="23"/>
          <w:lang w:eastAsia="es-MX"/>
        </w:rPr>
        <w:t xml:space="preserve"> como órgano máximo de gobierno</w:t>
      </w:r>
      <w:r w:rsidR="006A65F2" w:rsidRPr="00B76E10">
        <w:rPr>
          <w:rFonts w:ascii="ITC Avant Garde" w:hAnsi="ITC Avant Garde"/>
          <w:bCs/>
          <w:color w:val="000000" w:themeColor="text1"/>
          <w:sz w:val="23"/>
          <w:szCs w:val="23"/>
          <w:lang w:eastAsia="es-MX"/>
        </w:rPr>
        <w:t xml:space="preserve"> y decisión</w:t>
      </w:r>
      <w:r w:rsidRPr="00B76E10">
        <w:rPr>
          <w:rFonts w:ascii="ITC Avant Garde" w:hAnsi="ITC Avant Garde"/>
          <w:bCs/>
          <w:color w:val="000000" w:themeColor="text1"/>
          <w:sz w:val="23"/>
          <w:szCs w:val="23"/>
          <w:lang w:eastAsia="es-MX"/>
        </w:rPr>
        <w:t xml:space="preserve"> del Instituto, se encuentra plenamente facultado para resolver la Solic</w:t>
      </w:r>
      <w:r w:rsidR="00D353F2" w:rsidRPr="00B76E10">
        <w:rPr>
          <w:rFonts w:ascii="ITC Avant Garde" w:hAnsi="ITC Avant Garde"/>
          <w:bCs/>
          <w:color w:val="000000" w:themeColor="text1"/>
          <w:sz w:val="23"/>
          <w:szCs w:val="23"/>
          <w:lang w:eastAsia="es-MX"/>
        </w:rPr>
        <w:t>itud de Enajenación de Acciones.</w:t>
      </w:r>
    </w:p>
    <w:p w14:paraId="7D1C2DD1" w14:textId="77777777" w:rsidR="006F1784" w:rsidRDefault="006F1784" w:rsidP="006F1784">
      <w:pPr>
        <w:autoSpaceDE w:val="0"/>
        <w:autoSpaceDN w:val="0"/>
        <w:adjustRightInd w:val="0"/>
        <w:spacing w:after="0" w:line="240" w:lineRule="auto"/>
        <w:jc w:val="both"/>
        <w:rPr>
          <w:rFonts w:ascii="ITC Avant Garde" w:hAnsi="ITC Avant Garde"/>
          <w:bCs/>
          <w:color w:val="000000" w:themeColor="text1"/>
          <w:sz w:val="23"/>
          <w:szCs w:val="23"/>
          <w:lang w:eastAsia="es-MX"/>
        </w:rPr>
      </w:pPr>
    </w:p>
    <w:p w14:paraId="45050260" w14:textId="1ED0EF29" w:rsidR="00D04074" w:rsidRPr="00B76E10" w:rsidRDefault="00D04074" w:rsidP="00882869">
      <w:pPr>
        <w:autoSpaceDE w:val="0"/>
        <w:autoSpaceDN w:val="0"/>
        <w:adjustRightInd w:val="0"/>
        <w:spacing w:line="240" w:lineRule="auto"/>
        <w:jc w:val="both"/>
        <w:rPr>
          <w:rFonts w:ascii="ITC Avant Garde" w:hAnsi="ITC Avant Garde"/>
          <w:bCs/>
          <w:color w:val="000000" w:themeColor="text1"/>
          <w:sz w:val="23"/>
          <w:szCs w:val="23"/>
          <w:lang w:eastAsia="es-MX"/>
        </w:rPr>
      </w:pPr>
      <w:r w:rsidRPr="00E859C2">
        <w:rPr>
          <w:rFonts w:ascii="ITC Avant Garde" w:hAnsi="ITC Avant Garde"/>
          <w:b/>
          <w:bCs/>
          <w:sz w:val="23"/>
          <w:szCs w:val="23"/>
        </w:rPr>
        <w:t>Segundo.-</w:t>
      </w:r>
      <w:r w:rsidRPr="00E859C2">
        <w:rPr>
          <w:rFonts w:ascii="ITC Avant Garde" w:hAnsi="ITC Avant Garde"/>
          <w:bCs/>
          <w:sz w:val="23"/>
          <w:szCs w:val="23"/>
        </w:rPr>
        <w:t xml:space="preserve"> </w:t>
      </w:r>
      <w:r w:rsidRPr="00E859C2">
        <w:rPr>
          <w:rFonts w:ascii="ITC Avant Garde" w:hAnsi="ITC Avant Garde"/>
          <w:b/>
          <w:bCs/>
          <w:sz w:val="23"/>
          <w:szCs w:val="23"/>
        </w:rPr>
        <w:t xml:space="preserve">Marco legal aplicable a la </w:t>
      </w:r>
      <w:r w:rsidR="00ED674B" w:rsidRPr="00E859C2">
        <w:rPr>
          <w:rFonts w:ascii="ITC Avant Garde" w:hAnsi="ITC Avant Garde"/>
          <w:b/>
          <w:bCs/>
          <w:sz w:val="23"/>
          <w:szCs w:val="23"/>
        </w:rPr>
        <w:t>Solicitud de Enajenación de Acciones</w:t>
      </w:r>
      <w:r w:rsidRPr="00E859C2">
        <w:rPr>
          <w:rFonts w:ascii="ITC Avant Garde" w:hAnsi="ITC Avant Garde"/>
          <w:b/>
          <w:bCs/>
          <w:sz w:val="23"/>
          <w:szCs w:val="23"/>
        </w:rPr>
        <w:t>.</w:t>
      </w:r>
      <w:r w:rsidRPr="00E859C2">
        <w:rPr>
          <w:rFonts w:ascii="ITC Avant Garde" w:hAnsi="ITC Avant Garde"/>
          <w:bCs/>
          <w:sz w:val="23"/>
          <w:szCs w:val="23"/>
        </w:rPr>
        <w:t xml:space="preserve"> </w:t>
      </w:r>
      <w:r w:rsidR="00AC415C" w:rsidRPr="00E859C2">
        <w:rPr>
          <w:rFonts w:ascii="ITC Avant Garde" w:hAnsi="ITC Avant Garde"/>
          <w:bCs/>
          <w:sz w:val="23"/>
          <w:szCs w:val="23"/>
        </w:rPr>
        <w:t xml:space="preserve">De </w:t>
      </w:r>
      <w:r w:rsidR="00AC415C" w:rsidRPr="00B76E10">
        <w:rPr>
          <w:rFonts w:ascii="ITC Avant Garde" w:hAnsi="ITC Avant Garde"/>
          <w:bCs/>
          <w:color w:val="000000" w:themeColor="text1"/>
          <w:sz w:val="23"/>
          <w:szCs w:val="23"/>
          <w:lang w:eastAsia="es-MX"/>
        </w:rPr>
        <w:t>conformidad con lo antes</w:t>
      </w:r>
      <w:r w:rsidR="00623B3E" w:rsidRPr="00B76E10">
        <w:rPr>
          <w:rFonts w:ascii="ITC Avant Garde" w:hAnsi="ITC Avant Garde"/>
          <w:bCs/>
          <w:color w:val="000000" w:themeColor="text1"/>
          <w:sz w:val="23"/>
          <w:szCs w:val="23"/>
          <w:lang w:eastAsia="es-MX"/>
        </w:rPr>
        <w:t xml:space="preserve"> señalado</w:t>
      </w:r>
      <w:r w:rsidR="00AC415C" w:rsidRPr="00B76E10">
        <w:rPr>
          <w:rFonts w:ascii="ITC Avant Garde" w:hAnsi="ITC Avant Garde"/>
          <w:bCs/>
          <w:color w:val="000000" w:themeColor="text1"/>
          <w:sz w:val="23"/>
          <w:szCs w:val="23"/>
          <w:lang w:eastAsia="es-MX"/>
        </w:rPr>
        <w:t>,</w:t>
      </w:r>
      <w:r w:rsidR="00623B3E" w:rsidRPr="00B76E10">
        <w:rPr>
          <w:rFonts w:ascii="ITC Avant Garde" w:hAnsi="ITC Avant Garde"/>
          <w:bCs/>
          <w:color w:val="000000" w:themeColor="text1"/>
          <w:sz w:val="23"/>
          <w:szCs w:val="23"/>
          <w:lang w:eastAsia="es-MX"/>
        </w:rPr>
        <w:t xml:space="preserve"> la normatividad aplicable que establece los requisitos de procedencia para solicitar la autorización para llevar a cabo la enajenación de acciones o partes sociales del capital, se encuentra contenida en </w:t>
      </w:r>
      <w:r w:rsidR="00B22A79" w:rsidRPr="00B76E10">
        <w:rPr>
          <w:rFonts w:ascii="ITC Avant Garde" w:hAnsi="ITC Avant Garde"/>
          <w:bCs/>
          <w:color w:val="000000" w:themeColor="text1"/>
          <w:sz w:val="23"/>
          <w:szCs w:val="23"/>
          <w:lang w:eastAsia="es-MX"/>
        </w:rPr>
        <w:t xml:space="preserve">el artículo 112 de </w:t>
      </w:r>
      <w:r w:rsidR="00AC415C" w:rsidRPr="00B76E10">
        <w:rPr>
          <w:rFonts w:ascii="ITC Avant Garde" w:hAnsi="ITC Avant Garde"/>
          <w:bCs/>
          <w:color w:val="000000" w:themeColor="text1"/>
          <w:sz w:val="23"/>
          <w:szCs w:val="23"/>
          <w:lang w:eastAsia="es-MX"/>
        </w:rPr>
        <w:t>la Ley</w:t>
      </w:r>
      <w:r w:rsidR="00B22A79" w:rsidRPr="00B76E10">
        <w:rPr>
          <w:rFonts w:ascii="ITC Avant Garde" w:hAnsi="ITC Avant Garde"/>
          <w:bCs/>
          <w:color w:val="000000" w:themeColor="text1"/>
          <w:sz w:val="23"/>
          <w:szCs w:val="23"/>
          <w:lang w:eastAsia="es-MX"/>
        </w:rPr>
        <w:t>, el cual establece lo siguiente:</w:t>
      </w:r>
    </w:p>
    <w:p w14:paraId="2BF7EF43" w14:textId="4CEA485B" w:rsidR="00701B8C" w:rsidRPr="00E859C2" w:rsidRDefault="00281886" w:rsidP="00882869">
      <w:pPr>
        <w:spacing w:after="0" w:line="240" w:lineRule="auto"/>
        <w:ind w:left="1134" w:right="616"/>
        <w:jc w:val="both"/>
        <w:rPr>
          <w:rFonts w:ascii="ITC Avant Garde" w:hAnsi="ITC Avant Garde"/>
          <w:bCs/>
          <w:i/>
          <w:color w:val="000000"/>
          <w:sz w:val="18"/>
          <w:szCs w:val="18"/>
          <w:lang w:eastAsia="es-MX"/>
        </w:rPr>
      </w:pPr>
      <w:r w:rsidRPr="00E859C2">
        <w:rPr>
          <w:rFonts w:ascii="ITC Avant Garde" w:hAnsi="ITC Avant Garde"/>
        </w:rPr>
        <w:t>“</w:t>
      </w:r>
      <w:r w:rsidR="00701B8C" w:rsidRPr="00E859C2">
        <w:rPr>
          <w:rFonts w:ascii="ITC Avant Garde" w:hAnsi="ITC Avant Garde"/>
          <w:b/>
          <w:bCs/>
          <w:i/>
          <w:color w:val="000000"/>
          <w:sz w:val="18"/>
          <w:szCs w:val="18"/>
          <w:lang w:eastAsia="es-MX"/>
        </w:rPr>
        <w:t>Artículo 112.</w:t>
      </w:r>
      <w:r w:rsidR="00701B8C" w:rsidRPr="00E859C2">
        <w:rPr>
          <w:rFonts w:ascii="ITC Avant Garde" w:hAnsi="ITC Avant Garde"/>
          <w:bCs/>
          <w:i/>
          <w:color w:val="000000"/>
          <w:sz w:val="18"/>
          <w:szCs w:val="18"/>
          <w:lang w:eastAsia="es-MX"/>
        </w:rPr>
        <w:t xml:space="preserve"> El concesionario, cuando sea una persona moral, presentará al Instituto, a más tardar el treinta de junio de cada año, su estructura accionaria o de partes sociales de que se trate, con sus respectivos porcentajes de participación, acompañando además una relación de los accionistas que sean titulares del cinco por ciento o más del capital social de la empresa, así como el nombre de las personas físicas que participen directa o indirectamente con el diez por ciento o más del capital social de la empresa, sus principales accionistas y sus respectivos porcentajes de participación, a la que acompañará la información en el formato que determine el Instituto.</w:t>
      </w:r>
    </w:p>
    <w:p w14:paraId="7C743762" w14:textId="502B5056" w:rsidR="00701B8C" w:rsidRPr="00E859C2" w:rsidRDefault="00701B8C" w:rsidP="00882869">
      <w:pPr>
        <w:spacing w:after="0" w:line="240" w:lineRule="auto"/>
        <w:ind w:left="1134" w:right="616"/>
        <w:jc w:val="both"/>
        <w:rPr>
          <w:rFonts w:ascii="ITC Avant Garde" w:hAnsi="ITC Avant Garde"/>
          <w:bCs/>
          <w:i/>
          <w:color w:val="000000"/>
          <w:sz w:val="18"/>
          <w:szCs w:val="18"/>
          <w:lang w:eastAsia="es-MX"/>
        </w:rPr>
      </w:pPr>
      <w:r w:rsidRPr="00E859C2">
        <w:rPr>
          <w:rFonts w:ascii="ITC Avant Garde" w:hAnsi="ITC Avant Garde"/>
          <w:bCs/>
          <w:i/>
          <w:color w:val="000000"/>
          <w:sz w:val="18"/>
          <w:szCs w:val="18"/>
          <w:lang w:eastAsia="es-MX"/>
        </w:rPr>
        <w:t xml:space="preserve">En cualquier supuesto de suscripción o enajenación de acciones o partes sociales en un acto o sucesión de actos, que represente el diez por ciento o más del monto de su capital social, y siempre que no se actualice la obligación de notificar la operación </w:t>
      </w:r>
      <w:r w:rsidRPr="00E859C2">
        <w:rPr>
          <w:rFonts w:ascii="ITC Avant Garde" w:hAnsi="ITC Avant Garde"/>
          <w:bCs/>
          <w:i/>
          <w:color w:val="000000"/>
          <w:sz w:val="18"/>
          <w:szCs w:val="18"/>
          <w:lang w:eastAsia="es-MX"/>
        </w:rPr>
        <w:lastRenderedPageBreak/>
        <w:t>conforme a lo previsto en la Ley Federal de Competencia Económica, el concesionario estará obligado a observar el régimen siguiente:</w:t>
      </w:r>
    </w:p>
    <w:p w14:paraId="3BA3CB25" w14:textId="4E048684" w:rsidR="00701B8C" w:rsidRPr="00E859C2" w:rsidRDefault="00701B8C" w:rsidP="00882869">
      <w:pPr>
        <w:pStyle w:val="Prrafodelista"/>
        <w:numPr>
          <w:ilvl w:val="0"/>
          <w:numId w:val="8"/>
        </w:numPr>
        <w:ind w:right="616"/>
        <w:jc w:val="both"/>
        <w:rPr>
          <w:rFonts w:ascii="ITC Avant Garde" w:hAnsi="ITC Avant Garde"/>
          <w:bCs/>
          <w:i/>
          <w:color w:val="000000"/>
          <w:sz w:val="18"/>
          <w:szCs w:val="18"/>
          <w:lang w:eastAsia="es-MX"/>
        </w:rPr>
      </w:pPr>
      <w:r w:rsidRPr="00E859C2">
        <w:rPr>
          <w:rFonts w:ascii="ITC Avant Garde" w:hAnsi="ITC Avant Garde"/>
          <w:bCs/>
          <w:i/>
          <w:color w:val="000000"/>
          <w:sz w:val="18"/>
          <w:szCs w:val="18"/>
          <w:lang w:eastAsia="es-MX"/>
        </w:rPr>
        <w:t>El concesionario deberá dar aviso al Instituto de la intención de los interesados en realizar la suscripción o enajenación de las acciones o partes sociales, ya sea directa o indirectamente, debiendo acompañar el aviso con la información detallada de las personas interesadas en adquirir las acciones o partes sociales;</w:t>
      </w:r>
    </w:p>
    <w:p w14:paraId="631805F4" w14:textId="54EE1B7D" w:rsidR="00701B8C" w:rsidRPr="00E859C2" w:rsidRDefault="00701B8C" w:rsidP="00882869">
      <w:pPr>
        <w:pStyle w:val="Prrafodelista"/>
        <w:numPr>
          <w:ilvl w:val="0"/>
          <w:numId w:val="8"/>
        </w:numPr>
        <w:ind w:right="616"/>
        <w:jc w:val="both"/>
        <w:rPr>
          <w:rFonts w:ascii="ITC Avant Garde" w:hAnsi="ITC Avant Garde"/>
          <w:bCs/>
          <w:i/>
          <w:color w:val="000000"/>
          <w:sz w:val="18"/>
          <w:szCs w:val="18"/>
          <w:lang w:eastAsia="es-MX"/>
        </w:rPr>
      </w:pPr>
      <w:r w:rsidRPr="00E859C2">
        <w:rPr>
          <w:rFonts w:ascii="ITC Avant Garde" w:hAnsi="ITC Avant Garde"/>
          <w:bCs/>
          <w:i/>
          <w:color w:val="000000"/>
          <w:sz w:val="18"/>
          <w:szCs w:val="18"/>
          <w:lang w:eastAsia="es-MX"/>
        </w:rPr>
        <w:t>El Instituto tendrá un plazo de diez días hábiles contados a partir de la presentación del aviso, para solicitar la opinión de la Secretaría;</w:t>
      </w:r>
    </w:p>
    <w:p w14:paraId="2BA93D94" w14:textId="33D74ADB" w:rsidR="00701B8C" w:rsidRPr="00E859C2" w:rsidRDefault="00701B8C" w:rsidP="00882869">
      <w:pPr>
        <w:pStyle w:val="Prrafodelista"/>
        <w:numPr>
          <w:ilvl w:val="0"/>
          <w:numId w:val="8"/>
        </w:numPr>
        <w:ind w:right="616"/>
        <w:jc w:val="both"/>
        <w:rPr>
          <w:rFonts w:ascii="ITC Avant Garde" w:hAnsi="ITC Avant Garde"/>
          <w:bCs/>
          <w:i/>
          <w:color w:val="000000"/>
          <w:sz w:val="18"/>
          <w:szCs w:val="18"/>
          <w:lang w:eastAsia="es-MX"/>
        </w:rPr>
      </w:pPr>
      <w:r w:rsidRPr="00E859C2">
        <w:rPr>
          <w:rFonts w:ascii="ITC Avant Garde" w:hAnsi="ITC Avant Garde"/>
          <w:bCs/>
          <w:i/>
          <w:color w:val="000000"/>
          <w:sz w:val="18"/>
          <w:szCs w:val="18"/>
          <w:lang w:eastAsia="es-MX"/>
        </w:rPr>
        <w:t>La Secretaría tendrá un plazo de treinta días naturales para emitir opinión, y</w:t>
      </w:r>
    </w:p>
    <w:p w14:paraId="0C3C65C8" w14:textId="12B27EC4" w:rsidR="00670C4E" w:rsidRPr="00E859C2" w:rsidRDefault="00701B8C" w:rsidP="00882869">
      <w:pPr>
        <w:spacing w:after="0" w:line="240" w:lineRule="auto"/>
        <w:ind w:left="2124" w:right="616" w:hanging="696"/>
        <w:jc w:val="both"/>
        <w:rPr>
          <w:rFonts w:ascii="ITC Avant Garde" w:hAnsi="ITC Avant Garde"/>
          <w:bCs/>
          <w:i/>
          <w:color w:val="000000"/>
          <w:sz w:val="18"/>
          <w:szCs w:val="18"/>
          <w:lang w:eastAsia="es-MX"/>
        </w:rPr>
      </w:pPr>
      <w:r w:rsidRPr="00E859C2">
        <w:rPr>
          <w:rFonts w:ascii="ITC Avant Garde" w:hAnsi="ITC Avant Garde"/>
          <w:bCs/>
          <w:i/>
          <w:color w:val="000000"/>
          <w:sz w:val="18"/>
          <w:szCs w:val="18"/>
          <w:lang w:eastAsia="es-MX"/>
        </w:rPr>
        <w:t xml:space="preserve">IV. </w:t>
      </w:r>
      <w:r w:rsidR="00281886" w:rsidRPr="00E859C2">
        <w:rPr>
          <w:rFonts w:ascii="ITC Avant Garde" w:hAnsi="ITC Avant Garde"/>
          <w:bCs/>
          <w:i/>
          <w:color w:val="000000"/>
          <w:sz w:val="18"/>
          <w:szCs w:val="18"/>
          <w:lang w:eastAsia="es-MX"/>
        </w:rPr>
        <w:tab/>
      </w:r>
      <w:r w:rsidRPr="00E859C2">
        <w:rPr>
          <w:rFonts w:ascii="ITC Avant Garde" w:hAnsi="ITC Avant Garde"/>
          <w:bCs/>
          <w:i/>
          <w:color w:val="000000"/>
          <w:sz w:val="18"/>
          <w:szCs w:val="18"/>
          <w:lang w:eastAsia="es-MX"/>
        </w:rPr>
        <w:t>El Instituto tendrá un plazo de quince días hábiles contados a partir de que reciba la opinión de la Secretaría o en caso que no se hubiere emitido opinión, a partir de que fenezca el plazo referido en la fracción que antecede, para objetar con causa justificada la operación de que se trate. Transcurrido dicho plazo sin que la operación hubiere sido objetada por el Instituto, se tendrá por autorizada.</w:t>
      </w:r>
    </w:p>
    <w:p w14:paraId="6C89AC03" w14:textId="77777777" w:rsidR="006F1784" w:rsidRPr="00E859C2" w:rsidRDefault="006F1784" w:rsidP="00882869">
      <w:pPr>
        <w:spacing w:after="0" w:line="240" w:lineRule="auto"/>
        <w:ind w:left="1428" w:right="616"/>
        <w:jc w:val="both"/>
        <w:rPr>
          <w:rFonts w:ascii="ITC Avant Garde" w:hAnsi="ITC Avant Garde"/>
          <w:bCs/>
          <w:i/>
          <w:color w:val="000000"/>
          <w:sz w:val="18"/>
          <w:szCs w:val="18"/>
          <w:lang w:eastAsia="es-MX"/>
        </w:rPr>
      </w:pPr>
    </w:p>
    <w:p w14:paraId="05F1A39D" w14:textId="1645D136" w:rsidR="00701B8C" w:rsidRPr="00E859C2" w:rsidRDefault="00701B8C" w:rsidP="00882869">
      <w:pPr>
        <w:spacing w:after="0" w:line="240" w:lineRule="auto"/>
        <w:ind w:left="1134" w:right="616"/>
        <w:jc w:val="both"/>
        <w:rPr>
          <w:rFonts w:ascii="ITC Avant Garde" w:hAnsi="ITC Avant Garde"/>
          <w:bCs/>
          <w:i/>
          <w:color w:val="000000"/>
          <w:sz w:val="18"/>
          <w:szCs w:val="18"/>
          <w:lang w:eastAsia="es-MX"/>
        </w:rPr>
      </w:pPr>
      <w:r w:rsidRPr="00E859C2">
        <w:rPr>
          <w:rFonts w:ascii="ITC Avant Garde" w:hAnsi="ITC Avant Garde"/>
          <w:bCs/>
          <w:i/>
          <w:color w:val="000000"/>
          <w:sz w:val="18"/>
          <w:szCs w:val="18"/>
          <w:lang w:eastAsia="es-MX"/>
        </w:rPr>
        <w:t>Las operaciones que no hubieren sido objetadas por el Instituto deberán inscribirse en el libro de registro de accionistas o socios de la persona moral, sin perjuicio de las autorizaciones que se requieran de otras autoridades conforme a las disposiciones legales, reglamentarias y administrativas aplicables.</w:t>
      </w:r>
    </w:p>
    <w:p w14:paraId="036E792D" w14:textId="2CF3D74B" w:rsidR="00701B8C" w:rsidRPr="00E859C2" w:rsidRDefault="00281886" w:rsidP="00882869">
      <w:pPr>
        <w:spacing w:after="0" w:line="240" w:lineRule="auto"/>
        <w:ind w:left="1134" w:right="616"/>
        <w:jc w:val="both"/>
        <w:rPr>
          <w:rFonts w:ascii="ITC Avant Garde" w:hAnsi="ITC Avant Garde"/>
          <w:bCs/>
          <w:i/>
          <w:color w:val="000000"/>
          <w:sz w:val="18"/>
          <w:szCs w:val="18"/>
          <w:lang w:eastAsia="es-MX"/>
        </w:rPr>
      </w:pPr>
      <w:r w:rsidRPr="00E859C2">
        <w:rPr>
          <w:rFonts w:ascii="ITC Avant Garde" w:hAnsi="ITC Avant Garde"/>
          <w:bCs/>
          <w:i/>
          <w:color w:val="000000"/>
          <w:sz w:val="18"/>
          <w:szCs w:val="18"/>
          <w:lang w:eastAsia="es-MX"/>
        </w:rPr>
        <w:t>…</w:t>
      </w:r>
    </w:p>
    <w:p w14:paraId="5E092AA4" w14:textId="64B5E5A4" w:rsidR="00701B8C" w:rsidRPr="00E859C2" w:rsidRDefault="00701B8C" w:rsidP="00882869">
      <w:pPr>
        <w:spacing w:after="0" w:line="240" w:lineRule="auto"/>
        <w:ind w:left="1134" w:right="616"/>
        <w:jc w:val="both"/>
        <w:rPr>
          <w:rFonts w:ascii="ITC Avant Garde" w:hAnsi="ITC Avant Garde"/>
          <w:bCs/>
          <w:i/>
          <w:color w:val="000000"/>
          <w:sz w:val="18"/>
          <w:szCs w:val="18"/>
          <w:lang w:eastAsia="es-MX"/>
        </w:rPr>
      </w:pPr>
      <w:r w:rsidRPr="00E859C2">
        <w:rPr>
          <w:rFonts w:ascii="ITC Avant Garde" w:hAnsi="ITC Avant Garde"/>
          <w:bCs/>
          <w:i/>
          <w:color w:val="000000"/>
          <w:sz w:val="18"/>
          <w:szCs w:val="18"/>
          <w:lang w:eastAsia="es-MX"/>
        </w:rPr>
        <w:t>En caso de que el interesado en suscribir o adquirir acciones o partes sociales sea una persona moral, en el aviso al que se refiere la fracción I de este artículo, deberá presentar la información necesaria para que el Instituto conozca la identidad de las personas físicas que tengan intereses patrimoniales mayores al diez por ciento del capital de dicha persona moral.</w:t>
      </w:r>
    </w:p>
    <w:p w14:paraId="4E9A7FDD" w14:textId="0D3BDA03" w:rsidR="00C517B5" w:rsidRDefault="00C517B5" w:rsidP="00882869">
      <w:pPr>
        <w:spacing w:after="0" w:line="240" w:lineRule="auto"/>
        <w:ind w:left="1134" w:right="616"/>
        <w:jc w:val="both"/>
        <w:rPr>
          <w:rFonts w:ascii="ITC Avant Garde" w:hAnsi="ITC Avant Garde"/>
          <w:bCs/>
          <w:i/>
          <w:color w:val="000000"/>
          <w:sz w:val="18"/>
          <w:szCs w:val="18"/>
          <w:lang w:eastAsia="es-MX"/>
        </w:rPr>
      </w:pPr>
      <w:r w:rsidRPr="00C517B5">
        <w:rPr>
          <w:rFonts w:ascii="ITC Avant Garde" w:hAnsi="ITC Avant Garde"/>
          <w:bCs/>
          <w:i/>
          <w:color w:val="000000"/>
          <w:sz w:val="18"/>
          <w:szCs w:val="18"/>
          <w:lang w:eastAsia="es-MX"/>
        </w:rPr>
        <w:t>En caso de que se actualice la obligación de notificar una concentración conforme a lo previsto en la Ley Federal de Competencia Económica, el Instituto dará trámite a la solicitud conforme a lo previsto para dicho procedimiento en la ley de la materia, considerando además los criterios establecidos en esta Ley</w:t>
      </w:r>
      <w:r w:rsidR="00441755">
        <w:rPr>
          <w:rFonts w:ascii="ITC Avant Garde" w:hAnsi="ITC Avant Garde"/>
          <w:bCs/>
          <w:i/>
          <w:color w:val="000000"/>
          <w:sz w:val="18"/>
          <w:szCs w:val="18"/>
          <w:lang w:eastAsia="es-MX"/>
        </w:rPr>
        <w:t>.</w:t>
      </w:r>
    </w:p>
    <w:p w14:paraId="6FEFC4EF" w14:textId="650D89FC" w:rsidR="00AC415C" w:rsidRDefault="00441755" w:rsidP="00882869">
      <w:pPr>
        <w:spacing w:after="0" w:line="240" w:lineRule="auto"/>
        <w:ind w:left="1134" w:right="616"/>
        <w:jc w:val="right"/>
        <w:rPr>
          <w:rFonts w:ascii="ITC Avant Garde" w:hAnsi="ITC Avant Garde"/>
          <w:bCs/>
          <w:i/>
          <w:color w:val="000000"/>
          <w:sz w:val="18"/>
          <w:szCs w:val="18"/>
          <w:lang w:eastAsia="es-MX"/>
        </w:rPr>
      </w:pPr>
      <w:r>
        <w:rPr>
          <w:rFonts w:ascii="ITC Avant Garde" w:hAnsi="ITC Avant Garde"/>
          <w:bCs/>
          <w:i/>
          <w:color w:val="000000"/>
          <w:sz w:val="18"/>
          <w:szCs w:val="18"/>
          <w:lang w:eastAsia="es-MX"/>
        </w:rPr>
        <w:t>[</w:t>
      </w:r>
      <w:r w:rsidR="00281886" w:rsidRPr="00E859C2">
        <w:rPr>
          <w:rFonts w:ascii="ITC Avant Garde" w:hAnsi="ITC Avant Garde"/>
          <w:bCs/>
          <w:i/>
          <w:color w:val="000000"/>
          <w:sz w:val="18"/>
          <w:szCs w:val="18"/>
          <w:lang w:eastAsia="es-MX"/>
        </w:rPr>
        <w:t>…</w:t>
      </w:r>
      <w:r>
        <w:rPr>
          <w:rFonts w:ascii="ITC Avant Garde" w:hAnsi="ITC Avant Garde"/>
          <w:bCs/>
          <w:i/>
          <w:color w:val="000000"/>
          <w:sz w:val="18"/>
          <w:szCs w:val="18"/>
          <w:lang w:eastAsia="es-MX"/>
        </w:rPr>
        <w:t>]</w:t>
      </w:r>
      <w:r w:rsidR="00281886" w:rsidRPr="00E859C2">
        <w:rPr>
          <w:rFonts w:ascii="ITC Avant Garde" w:hAnsi="ITC Avant Garde"/>
          <w:bCs/>
          <w:i/>
          <w:color w:val="000000"/>
          <w:sz w:val="18"/>
          <w:szCs w:val="18"/>
          <w:lang w:eastAsia="es-MX"/>
        </w:rPr>
        <w:t>”</w:t>
      </w:r>
    </w:p>
    <w:p w14:paraId="516016DD" w14:textId="77777777" w:rsidR="00051BC9" w:rsidRPr="00E859C2" w:rsidRDefault="00051BC9" w:rsidP="00882869">
      <w:pPr>
        <w:spacing w:after="0" w:line="240" w:lineRule="auto"/>
        <w:ind w:left="1134" w:right="616"/>
        <w:jc w:val="right"/>
        <w:rPr>
          <w:rFonts w:ascii="ITC Avant Garde" w:hAnsi="ITC Avant Garde"/>
          <w:bCs/>
          <w:i/>
          <w:color w:val="000000"/>
          <w:sz w:val="18"/>
          <w:szCs w:val="18"/>
          <w:lang w:eastAsia="es-MX"/>
        </w:rPr>
      </w:pPr>
    </w:p>
    <w:p w14:paraId="5911E61A" w14:textId="1B3AE223" w:rsidR="00B27CA4" w:rsidRPr="00B27CA4" w:rsidRDefault="00B27CA4" w:rsidP="00882869">
      <w:pPr>
        <w:autoSpaceDE w:val="0"/>
        <w:autoSpaceDN w:val="0"/>
        <w:adjustRightInd w:val="0"/>
        <w:spacing w:after="240" w:line="240" w:lineRule="auto"/>
        <w:jc w:val="both"/>
        <w:rPr>
          <w:rFonts w:ascii="ITC Avant Garde" w:hAnsi="ITC Avant Garde"/>
          <w:bCs/>
          <w:color w:val="000000" w:themeColor="text1"/>
          <w:sz w:val="23"/>
          <w:szCs w:val="23"/>
          <w:lang w:eastAsia="es-MX"/>
        </w:rPr>
      </w:pPr>
      <w:r w:rsidRPr="00BB2383">
        <w:rPr>
          <w:rFonts w:ascii="ITC Avant Garde" w:hAnsi="ITC Avant Garde"/>
          <w:bCs/>
          <w:color w:val="000000" w:themeColor="text1"/>
          <w:sz w:val="23"/>
          <w:szCs w:val="23"/>
          <w:lang w:eastAsia="es-MX"/>
        </w:rPr>
        <w:t>Ahora bien, cabe destacar que para este tipo de solicitudes debe acatarse</w:t>
      </w:r>
      <w:r w:rsidRPr="00B27CA4">
        <w:rPr>
          <w:rFonts w:ascii="ITC Avant Garde" w:hAnsi="ITC Avant Garde"/>
          <w:bCs/>
          <w:color w:val="000000" w:themeColor="text1"/>
          <w:sz w:val="23"/>
          <w:szCs w:val="23"/>
          <w:lang w:eastAsia="es-MX"/>
        </w:rPr>
        <w:t xml:space="preserve"> el requisito de procedencia correspondiente al pago de derechos relativo a</w:t>
      </w:r>
      <w:r w:rsidR="00BB2383">
        <w:rPr>
          <w:rFonts w:ascii="ITC Avant Garde" w:hAnsi="ITC Avant Garde"/>
          <w:bCs/>
          <w:color w:val="000000" w:themeColor="text1"/>
          <w:sz w:val="23"/>
          <w:szCs w:val="23"/>
          <w:lang w:eastAsia="es-MX"/>
        </w:rPr>
        <w:t xml:space="preserve"> la suscripción o enajenación de acciones o partes sociales</w:t>
      </w:r>
      <w:r w:rsidRPr="00B27CA4">
        <w:rPr>
          <w:rFonts w:ascii="ITC Avant Garde" w:hAnsi="ITC Avant Garde"/>
          <w:bCs/>
          <w:color w:val="000000" w:themeColor="text1"/>
          <w:sz w:val="23"/>
          <w:szCs w:val="23"/>
          <w:lang w:eastAsia="es-MX"/>
        </w:rPr>
        <w:t xml:space="preserve"> en las concesiones en materia de telecomunicaciones, de conformidad con la normatividad aplicable.</w:t>
      </w:r>
    </w:p>
    <w:p w14:paraId="30FD548E" w14:textId="15D06780" w:rsidR="00B27CA4" w:rsidRPr="00B27CA4" w:rsidRDefault="00B27CA4" w:rsidP="006F1784">
      <w:pPr>
        <w:autoSpaceDE w:val="0"/>
        <w:autoSpaceDN w:val="0"/>
        <w:adjustRightInd w:val="0"/>
        <w:spacing w:after="0" w:line="240" w:lineRule="auto"/>
        <w:jc w:val="both"/>
        <w:rPr>
          <w:rFonts w:ascii="ITC Avant Garde" w:hAnsi="ITC Avant Garde"/>
          <w:bCs/>
          <w:color w:val="000000" w:themeColor="text1"/>
          <w:sz w:val="23"/>
          <w:szCs w:val="23"/>
          <w:lang w:eastAsia="es-MX"/>
        </w:rPr>
      </w:pPr>
      <w:r w:rsidRPr="00B27CA4">
        <w:rPr>
          <w:rFonts w:ascii="ITC Avant Garde" w:hAnsi="ITC Avant Garde"/>
          <w:bCs/>
          <w:color w:val="000000" w:themeColor="text1"/>
          <w:sz w:val="23"/>
          <w:szCs w:val="23"/>
          <w:lang w:eastAsia="es-MX"/>
        </w:rPr>
        <w:t xml:space="preserve">Conforme a lo anterior, y tomando en consideración que la Solicitud de </w:t>
      </w:r>
      <w:r w:rsidR="002407D9">
        <w:rPr>
          <w:rFonts w:ascii="ITC Avant Garde" w:hAnsi="ITC Avant Garde"/>
          <w:bCs/>
          <w:color w:val="000000" w:themeColor="text1"/>
          <w:sz w:val="23"/>
          <w:szCs w:val="23"/>
          <w:lang w:eastAsia="es-MX"/>
        </w:rPr>
        <w:t>Enajenación de Acciones</w:t>
      </w:r>
      <w:r w:rsidRPr="00B27CA4">
        <w:rPr>
          <w:rFonts w:ascii="ITC Avant Garde" w:hAnsi="ITC Avant Garde"/>
          <w:bCs/>
          <w:color w:val="000000" w:themeColor="text1"/>
          <w:sz w:val="23"/>
          <w:szCs w:val="23"/>
          <w:lang w:eastAsia="es-MX"/>
        </w:rPr>
        <w:t xml:space="preserve"> fue present</w:t>
      </w:r>
      <w:r w:rsidR="002407D9">
        <w:rPr>
          <w:rFonts w:ascii="ITC Avant Garde" w:hAnsi="ITC Avant Garde"/>
          <w:bCs/>
          <w:color w:val="000000" w:themeColor="text1"/>
          <w:sz w:val="23"/>
          <w:szCs w:val="23"/>
          <w:lang w:eastAsia="es-MX"/>
        </w:rPr>
        <w:t xml:space="preserve">ada </w:t>
      </w:r>
      <w:r w:rsidRPr="00B27CA4">
        <w:rPr>
          <w:rFonts w:ascii="ITC Avant Garde" w:hAnsi="ITC Avant Garde"/>
          <w:bCs/>
          <w:color w:val="000000" w:themeColor="text1"/>
          <w:sz w:val="23"/>
          <w:szCs w:val="23"/>
          <w:lang w:eastAsia="es-MX"/>
        </w:rPr>
        <w:t>l</w:t>
      </w:r>
      <w:r w:rsidR="002407D9">
        <w:rPr>
          <w:rFonts w:ascii="ITC Avant Garde" w:hAnsi="ITC Avant Garde"/>
          <w:bCs/>
          <w:color w:val="000000" w:themeColor="text1"/>
          <w:sz w:val="23"/>
          <w:szCs w:val="23"/>
          <w:lang w:eastAsia="es-MX"/>
        </w:rPr>
        <w:t>os días</w:t>
      </w:r>
      <w:r w:rsidRPr="00B27CA4">
        <w:rPr>
          <w:rFonts w:ascii="ITC Avant Garde" w:hAnsi="ITC Avant Garde"/>
          <w:bCs/>
          <w:color w:val="000000" w:themeColor="text1"/>
          <w:sz w:val="23"/>
          <w:szCs w:val="23"/>
          <w:lang w:eastAsia="es-MX"/>
        </w:rPr>
        <w:t xml:space="preserve"> 2</w:t>
      </w:r>
      <w:r w:rsidR="002407D9">
        <w:rPr>
          <w:rFonts w:ascii="ITC Avant Garde" w:hAnsi="ITC Avant Garde"/>
          <w:bCs/>
          <w:color w:val="000000" w:themeColor="text1"/>
          <w:sz w:val="23"/>
          <w:szCs w:val="23"/>
          <w:lang w:eastAsia="es-MX"/>
        </w:rPr>
        <w:t>0 y 23</w:t>
      </w:r>
      <w:r w:rsidRPr="00B27CA4">
        <w:rPr>
          <w:rFonts w:ascii="ITC Avant Garde" w:hAnsi="ITC Avant Garde"/>
          <w:bCs/>
          <w:color w:val="000000" w:themeColor="text1"/>
          <w:sz w:val="23"/>
          <w:szCs w:val="23"/>
          <w:lang w:eastAsia="es-MX"/>
        </w:rPr>
        <w:t xml:space="preserve"> de </w:t>
      </w:r>
      <w:r w:rsidR="002407D9">
        <w:rPr>
          <w:rFonts w:ascii="ITC Avant Garde" w:hAnsi="ITC Avant Garde"/>
          <w:bCs/>
          <w:color w:val="000000" w:themeColor="text1"/>
          <w:sz w:val="23"/>
          <w:szCs w:val="23"/>
          <w:lang w:eastAsia="es-MX"/>
        </w:rPr>
        <w:t>noviembre</w:t>
      </w:r>
      <w:r w:rsidRPr="00B27CA4">
        <w:rPr>
          <w:rFonts w:ascii="ITC Avant Garde" w:hAnsi="ITC Avant Garde"/>
          <w:bCs/>
          <w:color w:val="000000" w:themeColor="text1"/>
          <w:sz w:val="23"/>
          <w:szCs w:val="23"/>
          <w:lang w:eastAsia="es-MX"/>
        </w:rPr>
        <w:t xml:space="preserve"> de 2015, resulta importante señalar que la normatividad aplicable para la misma se encontraba establecida en el artículo 97 fracción </w:t>
      </w:r>
      <w:r w:rsidR="002407D9">
        <w:rPr>
          <w:rFonts w:ascii="ITC Avant Garde" w:hAnsi="ITC Avant Garde"/>
          <w:bCs/>
          <w:color w:val="000000" w:themeColor="text1"/>
          <w:sz w:val="23"/>
          <w:szCs w:val="23"/>
          <w:lang w:eastAsia="es-MX"/>
        </w:rPr>
        <w:t>VI</w:t>
      </w:r>
      <w:r w:rsidRPr="00B27CA4">
        <w:rPr>
          <w:rFonts w:ascii="ITC Avant Garde" w:hAnsi="ITC Avant Garde"/>
          <w:bCs/>
          <w:color w:val="000000" w:themeColor="text1"/>
          <w:sz w:val="23"/>
          <w:szCs w:val="23"/>
          <w:lang w:eastAsia="es-MX"/>
        </w:rPr>
        <w:t xml:space="preserve">II inciso a) de la Ley Federal de Derechos 2015, el cual establecía la obligación de pagar los derechos por el estudio </w:t>
      </w:r>
      <w:r w:rsidR="002407D9">
        <w:rPr>
          <w:rFonts w:ascii="ITC Avant Garde" w:hAnsi="ITC Avant Garde"/>
          <w:bCs/>
          <w:color w:val="000000" w:themeColor="text1"/>
          <w:sz w:val="23"/>
          <w:szCs w:val="23"/>
          <w:lang w:eastAsia="es-MX"/>
        </w:rPr>
        <w:t>p</w:t>
      </w:r>
      <w:r w:rsidR="002407D9" w:rsidRPr="002407D9">
        <w:rPr>
          <w:rFonts w:ascii="ITC Avant Garde" w:hAnsi="ITC Avant Garde"/>
          <w:bCs/>
          <w:color w:val="000000" w:themeColor="text1"/>
          <w:sz w:val="23"/>
          <w:szCs w:val="23"/>
          <w:lang w:eastAsia="es-MX"/>
        </w:rPr>
        <w:t>or cambio de razón social o cambio en la titularidad de acciones o partes sociales y de aportaciones de capital social de sociedades mercantile</w:t>
      </w:r>
      <w:r w:rsidR="002407D9">
        <w:rPr>
          <w:rFonts w:ascii="ITC Avant Garde" w:hAnsi="ITC Avant Garde"/>
          <w:bCs/>
          <w:color w:val="000000" w:themeColor="text1"/>
          <w:sz w:val="23"/>
          <w:szCs w:val="23"/>
          <w:lang w:eastAsia="es-MX"/>
        </w:rPr>
        <w:t>s</w:t>
      </w:r>
      <w:r w:rsidRPr="00B27CA4">
        <w:rPr>
          <w:rFonts w:ascii="ITC Avant Garde" w:hAnsi="ITC Avant Garde"/>
          <w:bCs/>
          <w:color w:val="000000" w:themeColor="text1"/>
          <w:sz w:val="23"/>
          <w:szCs w:val="23"/>
          <w:lang w:eastAsia="es-MX"/>
        </w:rPr>
        <w:t xml:space="preserve">, mismo que debe acompañarse al escrito con el cual se solicita la autorización de </w:t>
      </w:r>
      <w:r w:rsidR="001114B5">
        <w:rPr>
          <w:rFonts w:ascii="ITC Avant Garde" w:hAnsi="ITC Avant Garde"/>
          <w:bCs/>
          <w:color w:val="000000" w:themeColor="text1"/>
          <w:sz w:val="23"/>
          <w:szCs w:val="23"/>
          <w:lang w:eastAsia="es-MX"/>
        </w:rPr>
        <w:t>enajenación de acciones</w:t>
      </w:r>
      <w:r w:rsidRPr="00B27CA4">
        <w:rPr>
          <w:rFonts w:ascii="ITC Avant Garde" w:hAnsi="ITC Avant Garde"/>
          <w:bCs/>
          <w:color w:val="000000" w:themeColor="text1"/>
          <w:sz w:val="23"/>
          <w:szCs w:val="23"/>
          <w:lang w:eastAsia="es-MX"/>
        </w:rPr>
        <w:t>, toda vez que el hecho imponible del tributo es el estudio que realice este Instituto con motivo de dicha solicitud.</w:t>
      </w:r>
    </w:p>
    <w:p w14:paraId="52E6B648" w14:textId="77777777" w:rsidR="00882869" w:rsidRDefault="00882869" w:rsidP="006F1784">
      <w:pPr>
        <w:autoSpaceDE w:val="0"/>
        <w:autoSpaceDN w:val="0"/>
        <w:adjustRightInd w:val="0"/>
        <w:spacing w:line="240" w:lineRule="auto"/>
        <w:jc w:val="both"/>
        <w:rPr>
          <w:rFonts w:ascii="ITC Avant Garde" w:hAnsi="ITC Avant Garde"/>
          <w:b/>
          <w:bCs/>
          <w:sz w:val="23"/>
          <w:szCs w:val="23"/>
        </w:rPr>
      </w:pPr>
    </w:p>
    <w:p w14:paraId="14868270" w14:textId="1BAF54D1" w:rsidR="00AB2118" w:rsidRDefault="00AB2118" w:rsidP="00DE5741">
      <w:pPr>
        <w:spacing w:line="240" w:lineRule="auto"/>
        <w:jc w:val="both"/>
        <w:rPr>
          <w:rFonts w:ascii="ITC Avant Garde" w:hAnsi="ITC Avant Garde"/>
          <w:color w:val="000000"/>
          <w:lang w:eastAsia="es-MX"/>
        </w:rPr>
      </w:pPr>
      <w:r>
        <w:rPr>
          <w:rFonts w:ascii="ITC Avant Garde" w:hAnsi="ITC Avant Garde"/>
          <w:b/>
          <w:bCs/>
          <w:color w:val="000000"/>
          <w:lang w:eastAsia="es-MX"/>
        </w:rPr>
        <w:t xml:space="preserve">Tercero.- Cobro sobre el pago de derechos por diversos trámites ante la entrada en vigor de la Ley Federal de Derechos vigente para 2016. </w:t>
      </w:r>
      <w:r>
        <w:rPr>
          <w:rFonts w:ascii="ITC Avant Garde" w:hAnsi="ITC Avant Garde"/>
          <w:color w:val="000000"/>
          <w:lang w:eastAsia="es-MX"/>
        </w:rPr>
        <w:t xml:space="preserve">El pasado 18 de noviembre de 2015 </w:t>
      </w:r>
      <w:r>
        <w:rPr>
          <w:rFonts w:ascii="ITC Avant Garde" w:hAnsi="ITC Avant Garde"/>
          <w:color w:val="000000"/>
          <w:lang w:eastAsia="es-MX"/>
        </w:rPr>
        <w:lastRenderedPageBreak/>
        <w:t>se publicó en el Diario Oficial de la Federación el “</w:t>
      </w:r>
      <w:r>
        <w:rPr>
          <w:rFonts w:ascii="ITC Avant Garde" w:hAnsi="ITC Avant Garde"/>
          <w:i/>
          <w:iCs/>
          <w:color w:val="000000"/>
          <w:lang w:eastAsia="es-MX"/>
        </w:rPr>
        <w:t>Decreto por el que se reforman, adicionan y derogan diversas disposiciones de la Ley Federal de Derechos</w:t>
      </w:r>
      <w:r>
        <w:rPr>
          <w:rFonts w:ascii="ITC Avant Garde" w:hAnsi="ITC Avant Garde"/>
          <w:color w:val="000000"/>
          <w:lang w:eastAsia="es-MX"/>
        </w:rPr>
        <w:t xml:space="preserve">”, mismo que entró en vigor el 1° de enero de 2016. Por virtud de este decreto se derogó,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w:t>
      </w:r>
    </w:p>
    <w:p w14:paraId="41427E59" w14:textId="3055A92C" w:rsidR="00AB2118" w:rsidRDefault="00AB2118" w:rsidP="00DE5741">
      <w:pPr>
        <w:spacing w:line="240" w:lineRule="auto"/>
        <w:jc w:val="both"/>
        <w:rPr>
          <w:rFonts w:ascii="ITC Avant Garde" w:hAnsi="ITC Avant Garde"/>
          <w:color w:val="000000"/>
          <w:lang w:eastAsia="es-MX"/>
        </w:rPr>
      </w:pPr>
      <w:r>
        <w:rPr>
          <w:rFonts w:ascii="ITC Avant Garde" w:hAnsi="ITC Avant Garde"/>
          <w:color w:val="000000"/>
          <w:lang w:eastAsia="es-MX"/>
        </w:rPr>
        <w:t>Derivado de lo anterior, y en atención a lo establecido por el artículo 6o. del Código Fiscal de la Federación, se debe tener en cuenta que el hecho generador de los derechos derivados de la autorización de modificaciones técnicas, administrativas, operativas y legales de los títulos de concesión en materia de telecomunicaciones se actualiza al momento de la emisión y notificación de la presente resolución y que el artículo 97 de la Ley Federal de Derechos, al haber sido derogado, no puede ser aplicado a los trámites relativos a cualquier supuesto de suscripción o enajenación de acciones o partes sociales a que se refiere la fracción VII de dicho artículo.</w:t>
      </w:r>
    </w:p>
    <w:p w14:paraId="2E5ED73C" w14:textId="77777777" w:rsidR="00AB2118" w:rsidRDefault="00AB2118" w:rsidP="00DE5741">
      <w:pPr>
        <w:spacing w:line="240" w:lineRule="auto"/>
        <w:jc w:val="both"/>
        <w:rPr>
          <w:rFonts w:ascii="ITC Avant Garde" w:hAnsi="ITC Avant Garde"/>
          <w:color w:val="000000"/>
          <w:lang w:eastAsia="es-MX"/>
        </w:rPr>
      </w:pPr>
      <w:r>
        <w:rPr>
          <w:rFonts w:ascii="ITC Avant Garde" w:hAnsi="ITC Avant Garde"/>
          <w:color w:val="000000"/>
          <w:lang w:eastAsia="es-MX"/>
        </w:rPr>
        <w:t>En este sentido, la Ley Federal de Derechos vigente a partir del 1º de enero de 2016 estableció en su artículo 174-C un nuevo sistema de cobro de derechos para los trámites relativos a cualquier supuesto de suscripción o enajenación de acciones o partes sociales que requiera autorización, señalando que en un único cobro va integrado el estudio, y en su caso la autorización de la misma, situación distinta a la prevista en la Ley Federal de Derechos vigente hasta 2015, que establecía de manera diferenciada los cobros para el estudio y, en su caso, autorización.</w:t>
      </w:r>
    </w:p>
    <w:p w14:paraId="026D3437" w14:textId="6147CF41" w:rsidR="00AB2118" w:rsidRDefault="00AB2118" w:rsidP="006F1784">
      <w:pPr>
        <w:spacing w:after="0" w:line="240" w:lineRule="auto"/>
        <w:jc w:val="both"/>
        <w:rPr>
          <w:rFonts w:ascii="ITC Avant Garde" w:hAnsi="ITC Avant Garde"/>
          <w:color w:val="000000"/>
          <w:lang w:eastAsia="es-MX"/>
        </w:rPr>
      </w:pPr>
      <w:r>
        <w:rPr>
          <w:rFonts w:ascii="ITC Avant Garde" w:hAnsi="ITC Avant Garde"/>
          <w:color w:val="000000"/>
          <w:lang w:eastAsia="es-MX"/>
        </w:rPr>
        <w:t>Al momento de iniciar el trámite que nos ocupa, únicamente se presentó el pago por el estudio del mismo. Sin embargo, si bien ahora procedería realizar el cobro por la autorización correspondiente, este Instituto se encuentra imposibilitado para diferenciar el cobro que debiera corresponder a la autorización por la suscripción o enajenación de acciones o partes sociales, toda vez que como ya quedó señalado en el párrafo que antecede, actualmente se prevé un único pago por el estudio y en su caso la autorización respectiva. Finalmente, tratándose de disposiciones de carácter fiscal, se debe atender al principio de exacta aplicación de las mismas, por lo que no procede aplicar el cobro por la autorización por la enajenación de acciones que nos ocupa, toda vez que el mismo no puede ser diferenciado.</w:t>
      </w:r>
    </w:p>
    <w:p w14:paraId="359678B8" w14:textId="77777777" w:rsidR="00AB2118" w:rsidRDefault="00AB2118" w:rsidP="006F1784">
      <w:pPr>
        <w:autoSpaceDE w:val="0"/>
        <w:autoSpaceDN w:val="0"/>
        <w:adjustRightInd w:val="0"/>
        <w:spacing w:line="240" w:lineRule="auto"/>
        <w:jc w:val="both"/>
        <w:rPr>
          <w:rFonts w:ascii="ITC Avant Garde" w:hAnsi="ITC Avant Garde"/>
          <w:b/>
          <w:bCs/>
          <w:sz w:val="23"/>
          <w:szCs w:val="23"/>
        </w:rPr>
      </w:pPr>
    </w:p>
    <w:p w14:paraId="08C34E8E" w14:textId="16C56070" w:rsidR="000A1E6A" w:rsidRPr="00B76E10" w:rsidRDefault="00AB2118" w:rsidP="00882869">
      <w:pPr>
        <w:autoSpaceDE w:val="0"/>
        <w:autoSpaceDN w:val="0"/>
        <w:adjustRightInd w:val="0"/>
        <w:spacing w:after="240" w:line="240" w:lineRule="auto"/>
        <w:jc w:val="both"/>
        <w:rPr>
          <w:rFonts w:ascii="ITC Avant Garde" w:hAnsi="ITC Avant Garde"/>
          <w:bCs/>
          <w:color w:val="000000" w:themeColor="text1"/>
          <w:sz w:val="23"/>
          <w:szCs w:val="23"/>
          <w:lang w:eastAsia="es-MX"/>
        </w:rPr>
      </w:pPr>
      <w:r>
        <w:rPr>
          <w:rFonts w:ascii="ITC Avant Garde" w:hAnsi="ITC Avant Garde"/>
          <w:b/>
          <w:bCs/>
          <w:sz w:val="23"/>
          <w:szCs w:val="23"/>
        </w:rPr>
        <w:t>Cuart</w:t>
      </w:r>
      <w:r w:rsidR="000A1E6A" w:rsidRPr="00B11F5C">
        <w:rPr>
          <w:rFonts w:ascii="ITC Avant Garde" w:hAnsi="ITC Avant Garde"/>
          <w:b/>
          <w:bCs/>
          <w:sz w:val="23"/>
          <w:szCs w:val="23"/>
        </w:rPr>
        <w:t>o.- Concentración.</w:t>
      </w:r>
      <w:r w:rsidR="000A1E6A" w:rsidRPr="00B11F5C">
        <w:rPr>
          <w:rFonts w:ascii="ITC Avant Garde" w:hAnsi="ITC Avant Garde"/>
          <w:bCs/>
          <w:sz w:val="23"/>
          <w:szCs w:val="23"/>
        </w:rPr>
        <w:t xml:space="preserve"> </w:t>
      </w:r>
      <w:r w:rsidR="000A1E6A" w:rsidRPr="00B76E10">
        <w:rPr>
          <w:rFonts w:ascii="ITC Avant Garde" w:hAnsi="ITC Avant Garde"/>
          <w:bCs/>
          <w:color w:val="000000" w:themeColor="text1"/>
          <w:sz w:val="23"/>
          <w:szCs w:val="23"/>
          <w:lang w:eastAsia="es-MX"/>
        </w:rPr>
        <w:t>Como se señaló en el Considerando Primero de la presente Resolución, el Instituto es la autoridad en materia de competencia económica en los sectores de radiodifusión y telecomunicaciones, por lo que en estos ejercerá en forma exclusiva las facultades que este artículo y las leyes establecen para la Comisión Federal de Competencia Económica y regulará de forma asimétrica a los participantes en estos mercados con el objeto de eliminar eficazmente las barreras a la competencia y la libre concurrencia, garantizando lo dispuesto en los artículos 6o. y 7o. de la Constitución.</w:t>
      </w:r>
    </w:p>
    <w:p w14:paraId="47A960CC" w14:textId="46BE8760" w:rsidR="000A1E6A" w:rsidRPr="00B76E10" w:rsidRDefault="000A1E6A" w:rsidP="00882869">
      <w:pPr>
        <w:autoSpaceDE w:val="0"/>
        <w:autoSpaceDN w:val="0"/>
        <w:adjustRightInd w:val="0"/>
        <w:spacing w:after="240" w:line="240" w:lineRule="auto"/>
        <w:jc w:val="both"/>
        <w:rPr>
          <w:rFonts w:ascii="ITC Avant Garde" w:hAnsi="ITC Avant Garde"/>
          <w:bCs/>
          <w:color w:val="000000" w:themeColor="text1"/>
          <w:sz w:val="23"/>
          <w:szCs w:val="23"/>
          <w:lang w:eastAsia="es-MX"/>
        </w:rPr>
      </w:pPr>
      <w:r w:rsidRPr="00B76E10">
        <w:rPr>
          <w:rFonts w:ascii="ITC Avant Garde" w:hAnsi="ITC Avant Garde"/>
          <w:bCs/>
          <w:color w:val="000000" w:themeColor="text1"/>
          <w:sz w:val="23"/>
          <w:szCs w:val="23"/>
          <w:lang w:eastAsia="es-MX"/>
        </w:rPr>
        <w:lastRenderedPageBreak/>
        <w:t>En este sentido, la Ley en el artículo 112 establece como regla general la obligación que tienen a su cargo todos los concesionarios de telecomunicaciones y radiodifusión de observar el régimen para cualquier supuesto de suscripción o enajenación de acciones o partes sociales en un acto o sucesión de actos, que represente el diez por ciento o más del monto de su capital social; siempre y cuando no se actualice la obligación del concesionario de notificar al Instituto una concentración conforme a lo previsto en la Ley Federal de Competencia Económica (la “Ley de Competencia”).</w:t>
      </w:r>
    </w:p>
    <w:p w14:paraId="4699E532" w14:textId="27FA8B81" w:rsidR="00FA1BA8" w:rsidRPr="00B76E10" w:rsidRDefault="00FA1BA8" w:rsidP="00882869">
      <w:pPr>
        <w:autoSpaceDE w:val="0"/>
        <w:autoSpaceDN w:val="0"/>
        <w:adjustRightInd w:val="0"/>
        <w:spacing w:after="240" w:line="240" w:lineRule="auto"/>
        <w:jc w:val="both"/>
        <w:rPr>
          <w:rFonts w:ascii="ITC Avant Garde" w:hAnsi="ITC Avant Garde"/>
          <w:bCs/>
          <w:color w:val="000000" w:themeColor="text1"/>
          <w:sz w:val="23"/>
          <w:szCs w:val="23"/>
          <w:lang w:eastAsia="es-MX"/>
        </w:rPr>
      </w:pPr>
      <w:r w:rsidRPr="00B76E10">
        <w:rPr>
          <w:rFonts w:ascii="ITC Avant Garde" w:hAnsi="ITC Avant Garde"/>
          <w:bCs/>
          <w:color w:val="000000" w:themeColor="text1"/>
          <w:sz w:val="23"/>
          <w:szCs w:val="23"/>
          <w:lang w:eastAsia="es-MX"/>
        </w:rPr>
        <w:t>Asimismo, el artículo 61 d</w:t>
      </w:r>
      <w:r w:rsidR="00585784">
        <w:rPr>
          <w:rFonts w:ascii="ITC Avant Garde" w:hAnsi="ITC Avant Garde"/>
          <w:bCs/>
          <w:color w:val="000000" w:themeColor="text1"/>
          <w:sz w:val="23"/>
          <w:szCs w:val="23"/>
          <w:lang w:eastAsia="es-MX"/>
        </w:rPr>
        <w:t>e la Ley Competencia, señala qué</w:t>
      </w:r>
      <w:r w:rsidRPr="00B76E10">
        <w:rPr>
          <w:rFonts w:ascii="ITC Avant Garde" w:hAnsi="ITC Avant Garde"/>
          <w:bCs/>
          <w:color w:val="000000" w:themeColor="text1"/>
          <w:sz w:val="23"/>
          <w:szCs w:val="23"/>
          <w:lang w:eastAsia="es-MX"/>
        </w:rPr>
        <w:t xml:space="preserve"> se entiende por Concentración: la fusión, adquisición del control o cualquier acto por virtud del cual se unan sociedades, asociaciones, acciones, partes sociales, fideicomisos o activos en general que se realice entre competidores, proveedores, clientes o cualesquiera otros agentes económicos.</w:t>
      </w:r>
    </w:p>
    <w:p w14:paraId="18FA8AE1" w14:textId="77777777" w:rsidR="00FA1BA8" w:rsidRDefault="00FA1BA8" w:rsidP="00882869">
      <w:pPr>
        <w:autoSpaceDE w:val="0"/>
        <w:autoSpaceDN w:val="0"/>
        <w:adjustRightInd w:val="0"/>
        <w:spacing w:after="240" w:line="240" w:lineRule="auto"/>
        <w:jc w:val="both"/>
        <w:rPr>
          <w:rFonts w:ascii="ITC Avant Garde" w:hAnsi="ITC Avant Garde"/>
          <w:bCs/>
          <w:color w:val="000000" w:themeColor="text1"/>
          <w:sz w:val="23"/>
          <w:szCs w:val="23"/>
          <w:lang w:eastAsia="es-MX"/>
        </w:rPr>
      </w:pPr>
      <w:r w:rsidRPr="00B76E10">
        <w:rPr>
          <w:rFonts w:ascii="ITC Avant Garde" w:hAnsi="ITC Avant Garde"/>
          <w:bCs/>
          <w:color w:val="000000" w:themeColor="text1"/>
          <w:sz w:val="23"/>
          <w:szCs w:val="23"/>
          <w:lang w:eastAsia="es-MX"/>
        </w:rPr>
        <w:t>En este tenor, el artículo 86 de la Ley de Competencia ordena textualmente lo siguiente:</w:t>
      </w:r>
    </w:p>
    <w:p w14:paraId="4F2B9CA9" w14:textId="77777777" w:rsidR="009B170F" w:rsidRPr="00B76E10" w:rsidRDefault="009B170F" w:rsidP="009B170F">
      <w:pPr>
        <w:autoSpaceDE w:val="0"/>
        <w:autoSpaceDN w:val="0"/>
        <w:adjustRightInd w:val="0"/>
        <w:spacing w:after="0" w:line="240" w:lineRule="auto"/>
        <w:jc w:val="both"/>
        <w:rPr>
          <w:rFonts w:ascii="ITC Avant Garde" w:hAnsi="ITC Avant Garde"/>
          <w:bCs/>
          <w:color w:val="000000" w:themeColor="text1"/>
          <w:sz w:val="23"/>
          <w:szCs w:val="23"/>
          <w:lang w:eastAsia="es-MX"/>
        </w:rPr>
      </w:pPr>
    </w:p>
    <w:p w14:paraId="5EAE99CD" w14:textId="77777777" w:rsidR="00FA1BA8" w:rsidRDefault="00FA1BA8" w:rsidP="00882869">
      <w:pPr>
        <w:autoSpaceDE w:val="0"/>
        <w:autoSpaceDN w:val="0"/>
        <w:adjustRightInd w:val="0"/>
        <w:spacing w:after="240" w:line="240" w:lineRule="auto"/>
        <w:ind w:left="426" w:right="332"/>
        <w:jc w:val="both"/>
        <w:rPr>
          <w:rFonts w:ascii="ITC Avant Garde" w:hAnsi="ITC Avant Garde"/>
          <w:bCs/>
          <w:i/>
          <w:sz w:val="18"/>
          <w:szCs w:val="18"/>
        </w:rPr>
      </w:pPr>
      <w:r w:rsidRPr="00D856D9">
        <w:rPr>
          <w:rFonts w:ascii="ITC Avant Garde" w:hAnsi="ITC Avant Garde"/>
          <w:bCs/>
          <w:i/>
          <w:sz w:val="18"/>
          <w:szCs w:val="18"/>
        </w:rPr>
        <w:t>“</w:t>
      </w:r>
      <w:r w:rsidRPr="009F0BF7">
        <w:rPr>
          <w:rFonts w:ascii="ITC Avant Garde" w:hAnsi="ITC Avant Garde"/>
          <w:b/>
          <w:bCs/>
          <w:i/>
          <w:sz w:val="18"/>
          <w:szCs w:val="18"/>
        </w:rPr>
        <w:t>Artículo 86.</w:t>
      </w:r>
      <w:r w:rsidRPr="00D856D9">
        <w:rPr>
          <w:rFonts w:ascii="ITC Avant Garde" w:hAnsi="ITC Avant Garde"/>
          <w:bCs/>
          <w:i/>
          <w:sz w:val="18"/>
          <w:szCs w:val="18"/>
        </w:rPr>
        <w:t xml:space="preserve"> Las siguientes concentraciones deberán ser autorizadas por la Comisión antes de que se lleven a cabo:</w:t>
      </w:r>
    </w:p>
    <w:p w14:paraId="6B4F32EC" w14:textId="77777777" w:rsidR="00FA1BA8" w:rsidRPr="00147B65" w:rsidRDefault="00FA1BA8" w:rsidP="00882869">
      <w:pPr>
        <w:pStyle w:val="Prrafodelista"/>
        <w:numPr>
          <w:ilvl w:val="0"/>
          <w:numId w:val="9"/>
        </w:numPr>
        <w:autoSpaceDE w:val="0"/>
        <w:autoSpaceDN w:val="0"/>
        <w:adjustRightInd w:val="0"/>
        <w:spacing w:after="240"/>
        <w:ind w:right="615" w:hanging="11"/>
        <w:jc w:val="both"/>
        <w:rPr>
          <w:rFonts w:ascii="ITC Avant Garde" w:hAnsi="ITC Avant Garde"/>
          <w:bCs/>
          <w:i/>
          <w:sz w:val="18"/>
          <w:szCs w:val="18"/>
        </w:rPr>
      </w:pPr>
      <w:r w:rsidRPr="00D856D9">
        <w:rPr>
          <w:rFonts w:ascii="ITC Avant Garde" w:hAnsi="ITC Avant Garde"/>
          <w:bCs/>
          <w:i/>
          <w:sz w:val="18"/>
          <w:szCs w:val="18"/>
        </w:rPr>
        <w:t xml:space="preserve"> </w:t>
      </w:r>
      <w:r w:rsidRPr="00147B65">
        <w:rPr>
          <w:rFonts w:ascii="ITC Avant Garde" w:hAnsi="ITC Avant Garde"/>
          <w:bCs/>
          <w:i/>
          <w:sz w:val="18"/>
          <w:szCs w:val="18"/>
        </w:rPr>
        <w:t>Cuando el acto o sucesión de actos que les den origen, independientemente del lugar de su celebración, importen en el territorio nacional, directa o indirectamente, un monto superior al equivalente a dieciocho millones de veces el salario mínimo general diario vigente para el Distrito Federal;</w:t>
      </w:r>
    </w:p>
    <w:p w14:paraId="586185B0" w14:textId="77777777" w:rsidR="00FA1BA8" w:rsidRPr="00147B65" w:rsidRDefault="00FA1BA8" w:rsidP="00882869">
      <w:pPr>
        <w:pStyle w:val="Prrafodelista"/>
        <w:numPr>
          <w:ilvl w:val="0"/>
          <w:numId w:val="9"/>
        </w:numPr>
        <w:autoSpaceDE w:val="0"/>
        <w:autoSpaceDN w:val="0"/>
        <w:adjustRightInd w:val="0"/>
        <w:spacing w:after="240"/>
        <w:ind w:right="615" w:hanging="11"/>
        <w:jc w:val="both"/>
        <w:rPr>
          <w:rFonts w:ascii="ITC Avant Garde" w:hAnsi="ITC Avant Garde"/>
          <w:bCs/>
          <w:i/>
          <w:sz w:val="18"/>
          <w:szCs w:val="18"/>
        </w:rPr>
      </w:pPr>
      <w:r w:rsidRPr="00147B65">
        <w:rPr>
          <w:rFonts w:ascii="ITC Avant Garde" w:hAnsi="ITC Avant Garde"/>
          <w:bCs/>
          <w:i/>
          <w:sz w:val="18"/>
          <w:szCs w:val="18"/>
        </w:rPr>
        <w:t xml:space="preserve"> Cuando el acto o sucesión de actos que les den origen, impliquen la acumulación del treinta y cinco por ciento o más de los activos o acciones de un Agente Económico, cuyas ventas anuales originadas en el territorio nacional o activos en el territorio nacional importen más del equivalente a dieciocho millones de veces el salario mínimo general diario vigente para el Distrito Federal, o</w:t>
      </w:r>
    </w:p>
    <w:p w14:paraId="305297D1" w14:textId="77777777" w:rsidR="00FA1BA8" w:rsidRPr="00147B65" w:rsidRDefault="00FA1BA8" w:rsidP="00882869">
      <w:pPr>
        <w:numPr>
          <w:ilvl w:val="0"/>
          <w:numId w:val="9"/>
        </w:numPr>
        <w:autoSpaceDE w:val="0"/>
        <w:autoSpaceDN w:val="0"/>
        <w:adjustRightInd w:val="0"/>
        <w:spacing w:after="240" w:line="240" w:lineRule="auto"/>
        <w:ind w:right="615" w:hanging="11"/>
        <w:jc w:val="both"/>
        <w:rPr>
          <w:rFonts w:ascii="ITC Avant Garde" w:hAnsi="ITC Avant Garde"/>
          <w:bCs/>
          <w:i/>
          <w:sz w:val="18"/>
          <w:szCs w:val="18"/>
          <w:lang w:val="es-ES"/>
        </w:rPr>
      </w:pPr>
      <w:r w:rsidRPr="00147B65">
        <w:rPr>
          <w:rFonts w:ascii="ITC Avant Garde" w:hAnsi="ITC Avant Garde"/>
          <w:bCs/>
          <w:i/>
          <w:sz w:val="18"/>
          <w:szCs w:val="18"/>
          <w:lang w:val="es-ES"/>
        </w:rPr>
        <w:t xml:space="preserve"> Cuando el acto o sucesión de actos que les den origen impliquen una acumulación en el territorio nacional de activos o capital social superior al equivalente a ocho millones cuatrocientas mil veces el salario mínimo general diario vigente para el Distrito Federal y en la concentración participen dos o más Agentes Económicos cuyas ventas anuales originadas en el territorio nacional o activos en el territorio nacional conjunta o separadamente, importen más de cuarenta y ocho millones de veces el salario mínimo general diario vigente para el Distrito Federal.</w:t>
      </w:r>
    </w:p>
    <w:p w14:paraId="6B96EF76" w14:textId="77777777" w:rsidR="00FA1BA8" w:rsidRDefault="00FA1BA8" w:rsidP="00882869">
      <w:pPr>
        <w:autoSpaceDE w:val="0"/>
        <w:autoSpaceDN w:val="0"/>
        <w:adjustRightInd w:val="0"/>
        <w:spacing w:after="240" w:line="240" w:lineRule="auto"/>
        <w:ind w:left="426" w:right="332"/>
        <w:jc w:val="both"/>
        <w:rPr>
          <w:rFonts w:ascii="ITC Avant Garde" w:hAnsi="ITC Avant Garde"/>
          <w:bCs/>
          <w:i/>
          <w:sz w:val="18"/>
          <w:szCs w:val="18"/>
        </w:rPr>
      </w:pPr>
      <w:r w:rsidRPr="00D856D9">
        <w:rPr>
          <w:rFonts w:ascii="ITC Avant Garde" w:hAnsi="ITC Avant Garde"/>
          <w:bCs/>
          <w:i/>
          <w:sz w:val="18"/>
          <w:szCs w:val="18"/>
        </w:rPr>
        <w:t>Los actos realizados en contravención a este artículo no producirán efectos jurídicos, sin perjuicio de la responsabilidad administrativa, civil o penal de los Agentes Económicos y de las personas que ordenaron o coadyuvaron en la ejecución, así como de los fedatarios públicos que hayan intervenido en los mismos.</w:t>
      </w:r>
    </w:p>
    <w:p w14:paraId="186D6719" w14:textId="77777777" w:rsidR="00FA1BA8" w:rsidRDefault="00FA1BA8" w:rsidP="00882869">
      <w:pPr>
        <w:autoSpaceDE w:val="0"/>
        <w:autoSpaceDN w:val="0"/>
        <w:adjustRightInd w:val="0"/>
        <w:spacing w:after="240" w:line="240" w:lineRule="auto"/>
        <w:ind w:left="426" w:right="332"/>
        <w:jc w:val="both"/>
        <w:rPr>
          <w:rFonts w:ascii="ITC Avant Garde" w:hAnsi="ITC Avant Garde"/>
          <w:bCs/>
          <w:i/>
          <w:sz w:val="18"/>
          <w:szCs w:val="18"/>
        </w:rPr>
      </w:pPr>
      <w:r w:rsidRPr="00D856D9">
        <w:rPr>
          <w:rFonts w:ascii="ITC Avant Garde" w:hAnsi="ITC Avant Garde"/>
          <w:bCs/>
          <w:i/>
          <w:sz w:val="18"/>
          <w:szCs w:val="18"/>
        </w:rPr>
        <w:t>Los actos relativos a una concentración no podrán registrarse en los libros corporativos, formalizarse en instrumento público ni inscribirse en el Registro Público de Comercio hasta que se obtenga la autorización favorable de la Comisión o haya transcurrido el plazo a que se refiere el artículo 90, fracción V, sin que el Pleno haya emitido resolución.</w:t>
      </w:r>
    </w:p>
    <w:p w14:paraId="3818ECD8" w14:textId="77777777" w:rsidR="00FA1BA8" w:rsidRDefault="00FA1BA8" w:rsidP="00882869">
      <w:pPr>
        <w:autoSpaceDE w:val="0"/>
        <w:autoSpaceDN w:val="0"/>
        <w:adjustRightInd w:val="0"/>
        <w:spacing w:after="240" w:line="240" w:lineRule="auto"/>
        <w:ind w:left="426" w:right="332"/>
        <w:jc w:val="both"/>
        <w:rPr>
          <w:rFonts w:ascii="ITC Avant Garde" w:hAnsi="ITC Avant Garde"/>
          <w:bCs/>
          <w:i/>
          <w:sz w:val="18"/>
          <w:szCs w:val="18"/>
        </w:rPr>
      </w:pPr>
      <w:r w:rsidRPr="00D856D9">
        <w:rPr>
          <w:rFonts w:ascii="ITC Avant Garde" w:hAnsi="ITC Avant Garde"/>
          <w:bCs/>
          <w:i/>
          <w:sz w:val="18"/>
          <w:szCs w:val="18"/>
        </w:rPr>
        <w:lastRenderedPageBreak/>
        <w:t xml:space="preserve">Los Agentes Económicos involucrados que no se encuentren en los supuestos establecidos en las fracciones I, II y III de este artículo podrán notificarla voluntariamente a la Comisión.” </w:t>
      </w:r>
    </w:p>
    <w:p w14:paraId="0A27BC7B" w14:textId="77777777" w:rsidR="006F1784" w:rsidRPr="00D856D9" w:rsidRDefault="006F1784" w:rsidP="00882869">
      <w:pPr>
        <w:autoSpaceDE w:val="0"/>
        <w:autoSpaceDN w:val="0"/>
        <w:adjustRightInd w:val="0"/>
        <w:spacing w:after="240" w:line="240" w:lineRule="auto"/>
        <w:ind w:left="426" w:right="332"/>
        <w:jc w:val="both"/>
        <w:rPr>
          <w:rFonts w:ascii="ITC Avant Garde" w:hAnsi="ITC Avant Garde"/>
          <w:bCs/>
          <w:i/>
          <w:sz w:val="18"/>
          <w:szCs w:val="18"/>
        </w:rPr>
      </w:pPr>
    </w:p>
    <w:p w14:paraId="0BD637A9" w14:textId="2775AA71" w:rsidR="003B51E6" w:rsidRDefault="00FA1BA8" w:rsidP="006F1784">
      <w:pPr>
        <w:autoSpaceDE w:val="0"/>
        <w:autoSpaceDN w:val="0"/>
        <w:adjustRightInd w:val="0"/>
        <w:spacing w:after="0" w:line="240" w:lineRule="auto"/>
        <w:jc w:val="both"/>
        <w:rPr>
          <w:rFonts w:ascii="ITC Avant Garde" w:hAnsi="ITC Avant Garde"/>
          <w:bCs/>
          <w:sz w:val="23"/>
          <w:szCs w:val="23"/>
        </w:rPr>
      </w:pPr>
      <w:r w:rsidRPr="002C2F8D">
        <w:rPr>
          <w:rFonts w:ascii="ITC Avant Garde" w:hAnsi="ITC Avant Garde"/>
          <w:bCs/>
          <w:sz w:val="23"/>
          <w:szCs w:val="23"/>
        </w:rPr>
        <w:t>Como se desprende del citado precepto, únicamente los casos que encuadren en los supuestos normativos indicados en las fracciones I, II y III del mismo, deberán ser autorizados previamente por este Instituto en términos del artículo 87 de la Ley de Competencia; y de igual forma, los Agentes Económicos que participen directamente en la concentración de que se trate están obligados a notificarla a este Instituto, tal y como lo dispone el artículo 88 de la Ley de Competencia.</w:t>
      </w:r>
    </w:p>
    <w:p w14:paraId="177E99EF" w14:textId="77777777" w:rsidR="007E4613" w:rsidRPr="002C2F8D" w:rsidRDefault="007E4613" w:rsidP="009B170F">
      <w:pPr>
        <w:autoSpaceDE w:val="0"/>
        <w:autoSpaceDN w:val="0"/>
        <w:adjustRightInd w:val="0"/>
        <w:spacing w:line="240" w:lineRule="auto"/>
        <w:jc w:val="both"/>
        <w:rPr>
          <w:rFonts w:ascii="ITC Avant Garde" w:hAnsi="ITC Avant Garde"/>
          <w:bCs/>
          <w:sz w:val="23"/>
          <w:szCs w:val="23"/>
        </w:rPr>
      </w:pPr>
    </w:p>
    <w:p w14:paraId="54ABBCE4" w14:textId="274F0684" w:rsidR="002512DD" w:rsidRDefault="00AB2118" w:rsidP="00882869">
      <w:pPr>
        <w:autoSpaceDE w:val="0"/>
        <w:autoSpaceDN w:val="0"/>
        <w:adjustRightInd w:val="0"/>
        <w:spacing w:line="240" w:lineRule="auto"/>
        <w:jc w:val="both"/>
        <w:rPr>
          <w:rFonts w:ascii="ITC Avant Garde" w:hAnsi="ITC Avant Garde"/>
          <w:bCs/>
          <w:sz w:val="23"/>
          <w:szCs w:val="23"/>
        </w:rPr>
      </w:pPr>
      <w:r>
        <w:rPr>
          <w:rFonts w:ascii="ITC Avant Garde" w:hAnsi="ITC Avant Garde"/>
          <w:b/>
          <w:bCs/>
          <w:sz w:val="23"/>
          <w:szCs w:val="23"/>
        </w:rPr>
        <w:t>Quint</w:t>
      </w:r>
      <w:r w:rsidR="00126DEC" w:rsidRPr="00E859C2">
        <w:rPr>
          <w:rFonts w:ascii="ITC Avant Garde" w:hAnsi="ITC Avant Garde"/>
          <w:b/>
          <w:bCs/>
          <w:sz w:val="23"/>
          <w:szCs w:val="23"/>
        </w:rPr>
        <w:t>o</w:t>
      </w:r>
      <w:r w:rsidR="00D04074" w:rsidRPr="00E859C2">
        <w:rPr>
          <w:rFonts w:ascii="ITC Avant Garde" w:hAnsi="ITC Avant Garde"/>
          <w:b/>
          <w:bCs/>
          <w:sz w:val="23"/>
          <w:szCs w:val="23"/>
        </w:rPr>
        <w:t xml:space="preserve">.- </w:t>
      </w:r>
      <w:r w:rsidR="003172FD" w:rsidRPr="00E859C2">
        <w:rPr>
          <w:rFonts w:ascii="ITC Avant Garde" w:hAnsi="ITC Avant Garde"/>
          <w:b/>
          <w:bCs/>
          <w:sz w:val="23"/>
          <w:szCs w:val="23"/>
        </w:rPr>
        <w:t>Análisis de la Solicitu</w:t>
      </w:r>
      <w:r w:rsidR="00726BA0" w:rsidRPr="00E859C2">
        <w:rPr>
          <w:rFonts w:ascii="ITC Avant Garde" w:hAnsi="ITC Avant Garde"/>
          <w:b/>
          <w:bCs/>
          <w:sz w:val="23"/>
          <w:szCs w:val="23"/>
        </w:rPr>
        <w:t>d de Enajenación de Acciones</w:t>
      </w:r>
      <w:r w:rsidR="003172FD" w:rsidRPr="00E859C2">
        <w:rPr>
          <w:rFonts w:ascii="ITC Avant Garde" w:hAnsi="ITC Avant Garde"/>
          <w:b/>
          <w:bCs/>
          <w:sz w:val="23"/>
          <w:szCs w:val="23"/>
        </w:rPr>
        <w:t>.</w:t>
      </w:r>
      <w:r w:rsidR="003172FD" w:rsidRPr="00E859C2">
        <w:rPr>
          <w:rFonts w:ascii="ITC Avant Garde" w:hAnsi="ITC Avant Garde"/>
          <w:bCs/>
          <w:sz w:val="23"/>
          <w:szCs w:val="23"/>
        </w:rPr>
        <w:t xml:space="preserve"> </w:t>
      </w:r>
      <w:r w:rsidR="002512DD" w:rsidRPr="00E859C2">
        <w:rPr>
          <w:rFonts w:ascii="ITC Avant Garde" w:hAnsi="ITC Avant Garde"/>
          <w:bCs/>
          <w:sz w:val="23"/>
          <w:szCs w:val="23"/>
        </w:rPr>
        <w:t xml:space="preserve">De la revisión al marco legal aplicable, </w:t>
      </w:r>
      <w:r w:rsidR="005F6492">
        <w:rPr>
          <w:rFonts w:ascii="ITC Avant Garde" w:hAnsi="ITC Avant Garde"/>
          <w:bCs/>
          <w:sz w:val="23"/>
          <w:szCs w:val="23"/>
        </w:rPr>
        <w:t>se concluye</w:t>
      </w:r>
      <w:r w:rsidR="002512DD" w:rsidRPr="00E859C2">
        <w:rPr>
          <w:rFonts w:ascii="ITC Avant Garde" w:hAnsi="ITC Avant Garde"/>
          <w:bCs/>
          <w:sz w:val="23"/>
          <w:szCs w:val="23"/>
        </w:rPr>
        <w:t xml:space="preserve"> que los requisitos de procedencia que debe cumplir </w:t>
      </w:r>
      <w:r w:rsidR="008E46F0" w:rsidRPr="00E859C2">
        <w:rPr>
          <w:rFonts w:ascii="ITC Avant Garde" w:hAnsi="ITC Avant Garde"/>
          <w:bCs/>
          <w:sz w:val="23"/>
          <w:szCs w:val="23"/>
        </w:rPr>
        <w:t>el c</w:t>
      </w:r>
      <w:r w:rsidR="002512DD" w:rsidRPr="00E859C2">
        <w:rPr>
          <w:rFonts w:ascii="ITC Avant Garde" w:hAnsi="ITC Avant Garde"/>
          <w:bCs/>
          <w:sz w:val="23"/>
          <w:szCs w:val="23"/>
        </w:rPr>
        <w:t>oncesionario que solicite autorización para llevar a cabo la suscripción o enajenación de acciones</w:t>
      </w:r>
      <w:r w:rsidR="008E46F0" w:rsidRPr="00E859C2">
        <w:rPr>
          <w:rFonts w:ascii="ITC Avant Garde" w:hAnsi="ITC Avant Garde"/>
          <w:bCs/>
          <w:sz w:val="23"/>
          <w:szCs w:val="23"/>
        </w:rPr>
        <w:t xml:space="preserve"> o partes sociales del capital</w:t>
      </w:r>
      <w:r w:rsidR="009F74AB" w:rsidRPr="00E859C2">
        <w:rPr>
          <w:rFonts w:ascii="ITC Avant Garde" w:hAnsi="ITC Avant Garde"/>
          <w:bCs/>
          <w:sz w:val="23"/>
          <w:szCs w:val="23"/>
        </w:rPr>
        <w:t>,</w:t>
      </w:r>
      <w:r w:rsidR="008E46F0" w:rsidRPr="00E859C2">
        <w:rPr>
          <w:rFonts w:ascii="ITC Avant Garde" w:hAnsi="ITC Avant Garde"/>
          <w:bCs/>
          <w:sz w:val="23"/>
          <w:szCs w:val="23"/>
        </w:rPr>
        <w:t xml:space="preserve"> </w:t>
      </w:r>
      <w:r w:rsidR="002512DD" w:rsidRPr="00E859C2">
        <w:rPr>
          <w:rFonts w:ascii="ITC Avant Garde" w:hAnsi="ITC Avant Garde"/>
          <w:bCs/>
          <w:sz w:val="23"/>
          <w:szCs w:val="23"/>
        </w:rPr>
        <w:t>son:</w:t>
      </w:r>
    </w:p>
    <w:p w14:paraId="5B7A6B1E" w14:textId="31CD49EC" w:rsidR="002512DD" w:rsidRPr="00E859C2" w:rsidRDefault="002512DD" w:rsidP="00AB2118">
      <w:pPr>
        <w:pStyle w:val="Prrafodelista"/>
        <w:numPr>
          <w:ilvl w:val="0"/>
          <w:numId w:val="7"/>
        </w:numPr>
        <w:ind w:left="1077" w:hanging="357"/>
        <w:jc w:val="both"/>
        <w:rPr>
          <w:rFonts w:ascii="ITC Avant Garde" w:eastAsia="Calibri" w:hAnsi="ITC Avant Garde"/>
          <w:bCs/>
          <w:sz w:val="23"/>
          <w:szCs w:val="23"/>
          <w:lang w:val="es-MX" w:eastAsia="en-US"/>
        </w:rPr>
      </w:pPr>
      <w:r w:rsidRPr="00E859C2">
        <w:rPr>
          <w:rFonts w:ascii="ITC Avant Garde" w:eastAsia="Calibri" w:hAnsi="ITC Avant Garde"/>
          <w:bCs/>
          <w:sz w:val="23"/>
          <w:szCs w:val="23"/>
          <w:lang w:val="es-MX" w:eastAsia="en-US"/>
        </w:rPr>
        <w:t xml:space="preserve">Que el titular de la concesión dé aviso al Instituto por escrito que pretende llevar a cabo una enajenación de acciones, </w:t>
      </w:r>
      <w:r w:rsidR="000A1861" w:rsidRPr="000A1861">
        <w:rPr>
          <w:rFonts w:ascii="ITC Avant Garde" w:eastAsia="Calibri" w:hAnsi="ITC Avant Garde"/>
          <w:bCs/>
          <w:sz w:val="23"/>
          <w:szCs w:val="23"/>
          <w:lang w:val="es-MX" w:eastAsia="en-US"/>
        </w:rPr>
        <w:t>debiendo acompañar el aviso con la información detallada de las personas interesadas en adquirir las acciones o partes sociales</w:t>
      </w:r>
      <w:r w:rsidRPr="00E859C2">
        <w:rPr>
          <w:rFonts w:ascii="ITC Avant Garde" w:eastAsia="Calibri" w:hAnsi="ITC Avant Garde"/>
          <w:bCs/>
          <w:sz w:val="23"/>
          <w:szCs w:val="23"/>
          <w:lang w:val="es-MX" w:eastAsia="en-US"/>
        </w:rPr>
        <w:t>.</w:t>
      </w:r>
    </w:p>
    <w:p w14:paraId="026C3425" w14:textId="2113BE58" w:rsidR="002512DD" w:rsidRPr="00E859C2" w:rsidRDefault="002512DD" w:rsidP="00AB2118">
      <w:pPr>
        <w:pStyle w:val="Prrafodelista"/>
        <w:numPr>
          <w:ilvl w:val="0"/>
          <w:numId w:val="7"/>
        </w:numPr>
        <w:autoSpaceDE w:val="0"/>
        <w:autoSpaceDN w:val="0"/>
        <w:adjustRightInd w:val="0"/>
        <w:jc w:val="both"/>
        <w:rPr>
          <w:rFonts w:ascii="ITC Avant Garde" w:hAnsi="ITC Avant Garde"/>
          <w:bCs/>
          <w:sz w:val="23"/>
          <w:szCs w:val="23"/>
        </w:rPr>
      </w:pPr>
      <w:r w:rsidRPr="00E859C2">
        <w:rPr>
          <w:rFonts w:ascii="ITC Avant Garde" w:eastAsia="Calibri" w:hAnsi="ITC Avant Garde"/>
          <w:bCs/>
          <w:sz w:val="23"/>
          <w:szCs w:val="23"/>
        </w:rPr>
        <w:t>Que el concesionario exhiba comprobante de pago de derechos establecido en la Ley Federal de Derechos.</w:t>
      </w:r>
    </w:p>
    <w:p w14:paraId="6E5A0542" w14:textId="77777777" w:rsidR="00051BC9" w:rsidRPr="00051BC9" w:rsidRDefault="00051BC9" w:rsidP="00882869">
      <w:pPr>
        <w:autoSpaceDE w:val="0"/>
        <w:autoSpaceDN w:val="0"/>
        <w:adjustRightInd w:val="0"/>
        <w:spacing w:after="240" w:line="240" w:lineRule="auto"/>
        <w:jc w:val="both"/>
        <w:rPr>
          <w:rFonts w:ascii="ITC Avant Garde" w:hAnsi="ITC Avant Garde"/>
          <w:bCs/>
          <w:sz w:val="10"/>
          <w:szCs w:val="10"/>
          <w:lang w:val="es-ES" w:eastAsia="es-ES"/>
        </w:rPr>
      </w:pPr>
    </w:p>
    <w:p w14:paraId="76655FED" w14:textId="4D5AF78E" w:rsidR="00622E34" w:rsidRPr="000645F4" w:rsidRDefault="002512DD" w:rsidP="00882869">
      <w:pPr>
        <w:autoSpaceDE w:val="0"/>
        <w:autoSpaceDN w:val="0"/>
        <w:adjustRightInd w:val="0"/>
        <w:spacing w:after="240" w:line="240" w:lineRule="auto"/>
        <w:jc w:val="both"/>
        <w:rPr>
          <w:rFonts w:ascii="ITC Avant Garde" w:hAnsi="ITC Avant Garde"/>
          <w:bCs/>
          <w:sz w:val="23"/>
          <w:szCs w:val="23"/>
          <w:lang w:val="es-ES" w:eastAsia="es-ES"/>
        </w:rPr>
      </w:pPr>
      <w:r w:rsidRPr="000645F4">
        <w:rPr>
          <w:rFonts w:ascii="ITC Avant Garde" w:hAnsi="ITC Avant Garde"/>
          <w:bCs/>
          <w:sz w:val="23"/>
          <w:szCs w:val="23"/>
          <w:lang w:val="es-ES" w:eastAsia="es-ES"/>
        </w:rPr>
        <w:t>En primera instancia, destaca</w:t>
      </w:r>
      <w:r w:rsidR="003172FD" w:rsidRPr="000645F4">
        <w:rPr>
          <w:rFonts w:ascii="ITC Avant Garde" w:hAnsi="ITC Avant Garde"/>
          <w:bCs/>
          <w:sz w:val="23"/>
          <w:szCs w:val="23"/>
          <w:lang w:val="es-ES" w:eastAsia="es-ES"/>
        </w:rPr>
        <w:t xml:space="preserve"> que en el e</w:t>
      </w:r>
      <w:r w:rsidR="004D3822" w:rsidRPr="000645F4">
        <w:rPr>
          <w:rFonts w:ascii="ITC Avant Garde" w:hAnsi="ITC Avant Garde"/>
          <w:bCs/>
          <w:sz w:val="23"/>
          <w:szCs w:val="23"/>
          <w:lang w:val="es-ES" w:eastAsia="es-ES"/>
        </w:rPr>
        <w:t>xpediente administrativo consta</w:t>
      </w:r>
      <w:r w:rsidR="003172FD" w:rsidRPr="000645F4">
        <w:rPr>
          <w:rFonts w:ascii="ITC Avant Garde" w:hAnsi="ITC Avant Garde"/>
          <w:bCs/>
          <w:sz w:val="23"/>
          <w:szCs w:val="23"/>
          <w:lang w:val="es-ES" w:eastAsia="es-ES"/>
        </w:rPr>
        <w:t xml:space="preserve"> </w:t>
      </w:r>
      <w:r w:rsidR="002F047E">
        <w:rPr>
          <w:rFonts w:ascii="ITC Avant Garde" w:hAnsi="ITC Avant Garde"/>
          <w:bCs/>
          <w:sz w:val="23"/>
          <w:szCs w:val="23"/>
          <w:lang w:val="es-ES" w:eastAsia="es-ES"/>
        </w:rPr>
        <w:t>e</w:t>
      </w:r>
      <w:r w:rsidR="00553828" w:rsidRPr="000645F4">
        <w:rPr>
          <w:rFonts w:ascii="ITC Avant Garde" w:hAnsi="ITC Avant Garde"/>
          <w:bCs/>
          <w:sz w:val="23"/>
          <w:szCs w:val="23"/>
          <w:lang w:val="es-ES" w:eastAsia="es-ES"/>
        </w:rPr>
        <w:t>l escrito</w:t>
      </w:r>
      <w:r w:rsidR="004D3822" w:rsidRPr="000645F4">
        <w:rPr>
          <w:rFonts w:ascii="ITC Avant Garde" w:hAnsi="ITC Avant Garde"/>
          <w:bCs/>
          <w:sz w:val="23"/>
          <w:szCs w:val="23"/>
          <w:lang w:val="es-ES" w:eastAsia="es-ES"/>
        </w:rPr>
        <w:t xml:space="preserve"> </w:t>
      </w:r>
      <w:r w:rsidR="00331BF9" w:rsidRPr="000645F4">
        <w:rPr>
          <w:rFonts w:ascii="ITC Avant Garde" w:hAnsi="ITC Avant Garde"/>
          <w:bCs/>
          <w:sz w:val="23"/>
          <w:szCs w:val="23"/>
          <w:lang w:val="es-ES" w:eastAsia="es-ES"/>
        </w:rPr>
        <w:t>presentado</w:t>
      </w:r>
      <w:r w:rsidR="006A53AA" w:rsidRPr="000645F4">
        <w:rPr>
          <w:rFonts w:ascii="ITC Avant Garde" w:hAnsi="ITC Avant Garde"/>
          <w:bCs/>
          <w:sz w:val="23"/>
          <w:szCs w:val="23"/>
          <w:lang w:val="es-ES" w:eastAsia="es-ES"/>
        </w:rPr>
        <w:t xml:space="preserve"> ante este Instituto </w:t>
      </w:r>
      <w:r w:rsidR="002F047E">
        <w:rPr>
          <w:rFonts w:ascii="ITC Avant Garde" w:hAnsi="ITC Avant Garde"/>
          <w:bCs/>
          <w:sz w:val="23"/>
          <w:szCs w:val="23"/>
          <w:lang w:val="es-ES" w:eastAsia="es-ES"/>
        </w:rPr>
        <w:t>e</w:t>
      </w:r>
      <w:r w:rsidR="00331BF9" w:rsidRPr="000645F4">
        <w:rPr>
          <w:rFonts w:ascii="ITC Avant Garde" w:hAnsi="ITC Avant Garde"/>
          <w:bCs/>
          <w:sz w:val="23"/>
          <w:szCs w:val="23"/>
          <w:lang w:val="es-ES" w:eastAsia="es-ES"/>
        </w:rPr>
        <w:t>l</w:t>
      </w:r>
      <w:r w:rsidR="006A53AA" w:rsidRPr="000645F4">
        <w:rPr>
          <w:rFonts w:ascii="ITC Avant Garde" w:hAnsi="ITC Avant Garde"/>
          <w:bCs/>
          <w:sz w:val="23"/>
          <w:szCs w:val="23"/>
          <w:lang w:val="es-ES" w:eastAsia="es-ES"/>
        </w:rPr>
        <w:t xml:space="preserve"> 20 </w:t>
      </w:r>
      <w:r w:rsidR="006F0187" w:rsidRPr="000645F4">
        <w:rPr>
          <w:rFonts w:ascii="ITC Avant Garde" w:hAnsi="ITC Avant Garde"/>
          <w:bCs/>
          <w:sz w:val="23"/>
          <w:szCs w:val="23"/>
          <w:lang w:val="es-ES" w:eastAsia="es-ES"/>
        </w:rPr>
        <w:t xml:space="preserve">de </w:t>
      </w:r>
      <w:r w:rsidR="006A53AA" w:rsidRPr="000645F4">
        <w:rPr>
          <w:rFonts w:ascii="ITC Avant Garde" w:hAnsi="ITC Avant Garde"/>
          <w:bCs/>
          <w:sz w:val="23"/>
          <w:szCs w:val="23"/>
          <w:lang w:val="es-ES" w:eastAsia="es-ES"/>
        </w:rPr>
        <w:t>noviembre</w:t>
      </w:r>
      <w:r w:rsidR="006A38C6" w:rsidRPr="000645F4">
        <w:rPr>
          <w:rFonts w:ascii="ITC Avant Garde" w:hAnsi="ITC Avant Garde"/>
          <w:bCs/>
          <w:sz w:val="23"/>
          <w:szCs w:val="23"/>
          <w:lang w:val="es-ES" w:eastAsia="es-ES"/>
        </w:rPr>
        <w:t xml:space="preserve"> </w:t>
      </w:r>
      <w:r w:rsidR="004D3822" w:rsidRPr="000645F4">
        <w:rPr>
          <w:rFonts w:ascii="ITC Avant Garde" w:hAnsi="ITC Avant Garde"/>
          <w:bCs/>
          <w:sz w:val="23"/>
          <w:szCs w:val="23"/>
          <w:lang w:val="es-ES" w:eastAsia="es-ES"/>
        </w:rPr>
        <w:t>de 201</w:t>
      </w:r>
      <w:r w:rsidR="003818A7" w:rsidRPr="000645F4">
        <w:rPr>
          <w:rFonts w:ascii="ITC Avant Garde" w:hAnsi="ITC Avant Garde"/>
          <w:bCs/>
          <w:sz w:val="23"/>
          <w:szCs w:val="23"/>
          <w:lang w:val="es-ES" w:eastAsia="es-ES"/>
        </w:rPr>
        <w:t>5</w:t>
      </w:r>
      <w:r w:rsidR="004D3822" w:rsidRPr="000645F4">
        <w:rPr>
          <w:rFonts w:ascii="ITC Avant Garde" w:hAnsi="ITC Avant Garde"/>
          <w:bCs/>
          <w:sz w:val="23"/>
          <w:szCs w:val="23"/>
          <w:lang w:val="es-ES" w:eastAsia="es-ES"/>
        </w:rPr>
        <w:t xml:space="preserve">, </w:t>
      </w:r>
      <w:r w:rsidR="003172FD" w:rsidRPr="000645F4">
        <w:rPr>
          <w:rFonts w:ascii="ITC Avant Garde" w:hAnsi="ITC Avant Garde"/>
          <w:bCs/>
          <w:sz w:val="23"/>
          <w:szCs w:val="23"/>
          <w:lang w:val="es-ES" w:eastAsia="es-ES"/>
        </w:rPr>
        <w:t xml:space="preserve">mediante </w:t>
      </w:r>
      <w:r w:rsidR="004D3822" w:rsidRPr="000645F4">
        <w:rPr>
          <w:rFonts w:ascii="ITC Avant Garde" w:hAnsi="ITC Avant Garde"/>
          <w:bCs/>
          <w:sz w:val="23"/>
          <w:szCs w:val="23"/>
          <w:lang w:val="es-ES" w:eastAsia="es-ES"/>
        </w:rPr>
        <w:t>el</w:t>
      </w:r>
      <w:r w:rsidR="003172FD" w:rsidRPr="000645F4">
        <w:rPr>
          <w:rFonts w:ascii="ITC Avant Garde" w:hAnsi="ITC Avant Garde"/>
          <w:bCs/>
          <w:sz w:val="23"/>
          <w:szCs w:val="23"/>
          <w:lang w:val="es-ES" w:eastAsia="es-ES"/>
        </w:rPr>
        <w:t xml:space="preserve"> c</w:t>
      </w:r>
      <w:r w:rsidR="004D3822" w:rsidRPr="000645F4">
        <w:rPr>
          <w:rFonts w:ascii="ITC Avant Garde" w:hAnsi="ITC Avant Garde"/>
          <w:bCs/>
          <w:sz w:val="23"/>
          <w:szCs w:val="23"/>
          <w:lang w:val="es-ES" w:eastAsia="es-ES"/>
        </w:rPr>
        <w:t>ual</w:t>
      </w:r>
      <w:r w:rsidR="003172FD" w:rsidRPr="000645F4">
        <w:rPr>
          <w:rFonts w:ascii="ITC Avant Garde" w:hAnsi="ITC Avant Garde"/>
          <w:bCs/>
          <w:sz w:val="23"/>
          <w:szCs w:val="23"/>
          <w:lang w:val="es-ES" w:eastAsia="es-ES"/>
        </w:rPr>
        <w:t xml:space="preserve"> </w:t>
      </w:r>
      <w:r w:rsidR="006A53AA" w:rsidRPr="000645F4">
        <w:rPr>
          <w:rFonts w:ascii="ITC Avant Garde" w:hAnsi="ITC Avant Garde"/>
          <w:bCs/>
          <w:sz w:val="23"/>
          <w:szCs w:val="23"/>
          <w:lang w:val="es-ES" w:eastAsia="es-ES"/>
        </w:rPr>
        <w:t>Orgtec</w:t>
      </w:r>
      <w:r w:rsidR="003818A7" w:rsidRPr="000645F4">
        <w:rPr>
          <w:rFonts w:ascii="ITC Avant Garde" w:hAnsi="ITC Avant Garde"/>
          <w:bCs/>
          <w:sz w:val="23"/>
          <w:szCs w:val="23"/>
          <w:lang w:val="es-ES" w:eastAsia="es-ES"/>
        </w:rPr>
        <w:t>, S.A.</w:t>
      </w:r>
      <w:r w:rsidR="006A53AA" w:rsidRPr="000645F4">
        <w:rPr>
          <w:rFonts w:ascii="ITC Avant Garde" w:hAnsi="ITC Avant Garde"/>
          <w:bCs/>
          <w:sz w:val="23"/>
          <w:szCs w:val="23"/>
          <w:lang w:val="es-ES" w:eastAsia="es-ES"/>
        </w:rPr>
        <w:t>P.I.</w:t>
      </w:r>
      <w:r w:rsidR="003818A7" w:rsidRPr="000645F4">
        <w:rPr>
          <w:rFonts w:ascii="ITC Avant Garde" w:hAnsi="ITC Avant Garde"/>
          <w:bCs/>
          <w:sz w:val="23"/>
          <w:szCs w:val="23"/>
          <w:lang w:val="es-ES" w:eastAsia="es-ES"/>
        </w:rPr>
        <w:t xml:space="preserve"> de C.V.,</w:t>
      </w:r>
      <w:r w:rsidR="00380710" w:rsidRPr="000645F4">
        <w:rPr>
          <w:rFonts w:ascii="ITC Avant Garde" w:hAnsi="ITC Avant Garde"/>
          <w:bCs/>
          <w:sz w:val="23"/>
          <w:szCs w:val="23"/>
          <w:lang w:val="es-ES" w:eastAsia="es-ES"/>
        </w:rPr>
        <w:t xml:space="preserve"> </w:t>
      </w:r>
      <w:r w:rsidR="003172FD" w:rsidRPr="000645F4">
        <w:rPr>
          <w:rFonts w:ascii="ITC Avant Garde" w:hAnsi="ITC Avant Garde"/>
          <w:bCs/>
          <w:sz w:val="23"/>
          <w:szCs w:val="23"/>
          <w:lang w:val="es-ES" w:eastAsia="es-ES"/>
        </w:rPr>
        <w:t>solicitó a través de su</w:t>
      </w:r>
      <w:r w:rsidR="00380710" w:rsidRPr="000645F4">
        <w:rPr>
          <w:rFonts w:ascii="ITC Avant Garde" w:hAnsi="ITC Avant Garde"/>
          <w:bCs/>
          <w:sz w:val="23"/>
          <w:szCs w:val="23"/>
          <w:lang w:val="es-ES" w:eastAsia="es-ES"/>
        </w:rPr>
        <w:t xml:space="preserve"> representante</w:t>
      </w:r>
      <w:r w:rsidR="003172FD" w:rsidRPr="000645F4">
        <w:rPr>
          <w:rFonts w:ascii="ITC Avant Garde" w:hAnsi="ITC Avant Garde"/>
          <w:bCs/>
          <w:sz w:val="23"/>
          <w:szCs w:val="23"/>
          <w:lang w:val="es-ES" w:eastAsia="es-ES"/>
        </w:rPr>
        <w:t xml:space="preserve"> legal autorización para llevar a cabo</w:t>
      </w:r>
      <w:r w:rsidR="000645F4">
        <w:rPr>
          <w:rFonts w:ascii="ITC Avant Garde" w:hAnsi="ITC Avant Garde"/>
          <w:bCs/>
          <w:sz w:val="23"/>
          <w:szCs w:val="23"/>
          <w:lang w:val="es-ES" w:eastAsia="es-ES"/>
        </w:rPr>
        <w:t xml:space="preserve"> el cambio de titularidad de</w:t>
      </w:r>
      <w:r w:rsidR="003172FD" w:rsidRPr="000645F4">
        <w:rPr>
          <w:rFonts w:ascii="ITC Avant Garde" w:hAnsi="ITC Avant Garde"/>
          <w:bCs/>
          <w:sz w:val="23"/>
          <w:szCs w:val="23"/>
          <w:lang w:val="es-ES" w:eastAsia="es-ES"/>
        </w:rPr>
        <w:t xml:space="preserve"> </w:t>
      </w:r>
      <w:r w:rsidR="000645F4" w:rsidRPr="000645F4">
        <w:rPr>
          <w:rFonts w:ascii="ITC Avant Garde" w:hAnsi="ITC Avant Garde"/>
          <w:bCs/>
          <w:sz w:val="23"/>
          <w:szCs w:val="23"/>
          <w:lang w:val="es-ES" w:eastAsia="es-ES"/>
        </w:rPr>
        <w:t xml:space="preserve">la totalidad de sus acciones, propiedad de la empresa Grupo </w:t>
      </w:r>
      <w:proofErr w:type="spellStart"/>
      <w:r w:rsidR="000645F4" w:rsidRPr="000645F4">
        <w:rPr>
          <w:rFonts w:ascii="ITC Avant Garde" w:hAnsi="ITC Avant Garde"/>
          <w:bCs/>
          <w:sz w:val="23"/>
          <w:szCs w:val="23"/>
          <w:lang w:val="es-ES" w:eastAsia="es-ES"/>
        </w:rPr>
        <w:t>Gentux</w:t>
      </w:r>
      <w:proofErr w:type="spellEnd"/>
      <w:r w:rsidR="000645F4" w:rsidRPr="000645F4">
        <w:rPr>
          <w:rFonts w:ascii="ITC Avant Garde" w:hAnsi="ITC Avant Garde"/>
          <w:bCs/>
          <w:sz w:val="23"/>
          <w:szCs w:val="23"/>
          <w:lang w:val="es-ES" w:eastAsia="es-ES"/>
        </w:rPr>
        <w:t>, S.A.P.I. de C.V., así como del C. Noel Abel Delgado Montañez</w:t>
      </w:r>
      <w:r w:rsidR="002F047E">
        <w:rPr>
          <w:rFonts w:ascii="ITC Avant Garde" w:hAnsi="ITC Avant Garde"/>
          <w:bCs/>
          <w:sz w:val="23"/>
          <w:szCs w:val="23"/>
          <w:lang w:val="es-ES" w:eastAsia="es-ES"/>
        </w:rPr>
        <w:t>,</w:t>
      </w:r>
      <w:r w:rsidR="000645F4" w:rsidRPr="000645F4">
        <w:rPr>
          <w:rFonts w:ascii="ITC Avant Garde" w:hAnsi="ITC Avant Garde"/>
          <w:bCs/>
          <w:sz w:val="23"/>
          <w:szCs w:val="23"/>
          <w:lang w:val="es-ES" w:eastAsia="es-ES"/>
        </w:rPr>
        <w:t xml:space="preserve"> a favor de </w:t>
      </w:r>
      <w:proofErr w:type="spellStart"/>
      <w:r w:rsidR="000645F4" w:rsidRPr="000645F4">
        <w:rPr>
          <w:rFonts w:ascii="ITC Avant Garde" w:hAnsi="ITC Avant Garde"/>
          <w:bCs/>
          <w:sz w:val="23"/>
          <w:szCs w:val="23"/>
          <w:lang w:val="es-ES" w:eastAsia="es-ES"/>
        </w:rPr>
        <w:t>RigNet</w:t>
      </w:r>
      <w:proofErr w:type="spellEnd"/>
      <w:r w:rsidR="000645F4" w:rsidRPr="000645F4">
        <w:rPr>
          <w:rFonts w:ascii="ITC Avant Garde" w:hAnsi="ITC Avant Garde"/>
          <w:bCs/>
          <w:sz w:val="23"/>
          <w:szCs w:val="23"/>
          <w:lang w:val="es-ES" w:eastAsia="es-ES"/>
        </w:rPr>
        <w:t xml:space="preserve"> de México, S. de R.L.</w:t>
      </w:r>
      <w:r w:rsidR="002F047E">
        <w:rPr>
          <w:rFonts w:ascii="ITC Avant Garde" w:hAnsi="ITC Avant Garde"/>
          <w:bCs/>
          <w:sz w:val="23"/>
          <w:szCs w:val="23"/>
          <w:lang w:val="es-ES" w:eastAsia="es-ES"/>
        </w:rPr>
        <w:t xml:space="preserve"> de C.V.</w:t>
      </w:r>
      <w:r w:rsidR="000645F4" w:rsidRPr="000645F4">
        <w:rPr>
          <w:rFonts w:ascii="ITC Avant Garde" w:hAnsi="ITC Avant Garde"/>
          <w:bCs/>
          <w:sz w:val="23"/>
          <w:szCs w:val="23"/>
          <w:lang w:val="es-ES" w:eastAsia="es-ES"/>
        </w:rPr>
        <w:t>, y de RNSAT Servicios de México, S. de R.L.</w:t>
      </w:r>
      <w:r w:rsidR="002F047E">
        <w:rPr>
          <w:rFonts w:ascii="ITC Avant Garde" w:hAnsi="ITC Avant Garde"/>
          <w:bCs/>
          <w:sz w:val="23"/>
          <w:szCs w:val="23"/>
          <w:lang w:val="es-ES" w:eastAsia="es-ES"/>
        </w:rPr>
        <w:t xml:space="preserve"> de C.V.</w:t>
      </w:r>
    </w:p>
    <w:p w14:paraId="5872561D" w14:textId="23B30F2F" w:rsidR="00B722A7" w:rsidRDefault="00DA6169" w:rsidP="00882869">
      <w:pPr>
        <w:autoSpaceDE w:val="0"/>
        <w:autoSpaceDN w:val="0"/>
        <w:adjustRightInd w:val="0"/>
        <w:spacing w:after="240" w:line="240" w:lineRule="auto"/>
        <w:jc w:val="both"/>
        <w:rPr>
          <w:rFonts w:ascii="ITC Avant Garde" w:hAnsi="ITC Avant Garde"/>
          <w:bCs/>
          <w:sz w:val="23"/>
          <w:szCs w:val="23"/>
        </w:rPr>
      </w:pPr>
      <w:r w:rsidRPr="004C1528">
        <w:rPr>
          <w:rFonts w:ascii="ITC Avant Garde" w:hAnsi="ITC Avant Garde"/>
          <w:bCs/>
          <w:sz w:val="23"/>
          <w:szCs w:val="23"/>
        </w:rPr>
        <w:t>De esta manera</w:t>
      </w:r>
      <w:r w:rsidR="00B722A7" w:rsidRPr="004C1528">
        <w:rPr>
          <w:rFonts w:ascii="ITC Avant Garde" w:hAnsi="ITC Avant Garde"/>
          <w:bCs/>
          <w:sz w:val="23"/>
          <w:szCs w:val="23"/>
        </w:rPr>
        <w:t xml:space="preserve">, la estructura accionaria actual de </w:t>
      </w:r>
      <w:r w:rsidR="00780B84" w:rsidRPr="000645F4">
        <w:rPr>
          <w:rFonts w:ascii="ITC Avant Garde" w:hAnsi="ITC Avant Garde"/>
          <w:bCs/>
          <w:sz w:val="23"/>
          <w:szCs w:val="23"/>
          <w:lang w:val="es-ES" w:eastAsia="es-ES"/>
        </w:rPr>
        <w:t>Orgtec, S.A.P.I. de C.V.</w:t>
      </w:r>
      <w:r w:rsidR="003E3F7C">
        <w:rPr>
          <w:rFonts w:ascii="ITC Avant Garde" w:hAnsi="ITC Avant Garde"/>
          <w:bCs/>
          <w:sz w:val="23"/>
          <w:szCs w:val="23"/>
        </w:rPr>
        <w:t>, previa</w:t>
      </w:r>
      <w:r w:rsidR="00CB20DF">
        <w:rPr>
          <w:rFonts w:ascii="ITC Avant Garde" w:hAnsi="ITC Avant Garde"/>
          <w:bCs/>
          <w:sz w:val="23"/>
          <w:szCs w:val="23"/>
        </w:rPr>
        <w:t xml:space="preserve"> a la operación</w:t>
      </w:r>
      <w:r w:rsidR="00380710" w:rsidRPr="004C1528">
        <w:rPr>
          <w:rFonts w:ascii="ITC Avant Garde" w:hAnsi="ITC Avant Garde"/>
          <w:bCs/>
          <w:sz w:val="23"/>
          <w:szCs w:val="23"/>
        </w:rPr>
        <w:t xml:space="preserve"> </w:t>
      </w:r>
      <w:r w:rsidR="00B722A7" w:rsidRPr="004C1528">
        <w:rPr>
          <w:rFonts w:ascii="ITC Avant Garde" w:hAnsi="ITC Avant Garde"/>
          <w:bCs/>
          <w:sz w:val="23"/>
          <w:szCs w:val="23"/>
        </w:rPr>
        <w:t>se encuentra integrada de la siguiente manera:</w:t>
      </w:r>
    </w:p>
    <w:p w14:paraId="7898E792" w14:textId="77777777" w:rsidR="006F1784" w:rsidRPr="004C1528" w:rsidRDefault="006F1784" w:rsidP="009B170F">
      <w:pPr>
        <w:autoSpaceDE w:val="0"/>
        <w:autoSpaceDN w:val="0"/>
        <w:adjustRightInd w:val="0"/>
        <w:spacing w:after="0" w:line="240" w:lineRule="auto"/>
        <w:jc w:val="both"/>
        <w:rPr>
          <w:rFonts w:ascii="ITC Avant Garde" w:hAnsi="ITC Avant Garde"/>
          <w:bCs/>
          <w:sz w:val="23"/>
          <w:szCs w:val="23"/>
        </w:rPr>
      </w:pPr>
    </w:p>
    <w:tbl>
      <w:tblPr>
        <w:tblStyle w:val="Tabladelista7concolores-nfasis5"/>
        <w:tblW w:w="6380" w:type="dxa"/>
        <w:jc w:val="center"/>
        <w:tblLayout w:type="fixed"/>
        <w:tblLook w:val="0000" w:firstRow="0" w:lastRow="0" w:firstColumn="0" w:lastColumn="0" w:noHBand="0" w:noVBand="0"/>
        <w:tblCaption w:val="Estructura accionaria de Orgtec, S.A.P.I. de C.V."/>
        <w:tblDescription w:val="Describe la estructura accionaria actual de de la empresa, previa a la operación, porporcionado un número de acciones para la empresa&#10;Grupo Gentux, S.A.P.I. de C.V. de 183,909,999 que representan el 99.999%; y para Noel Abel Delgado Montañez una (1) acción que representa el 0.001%"/>
      </w:tblPr>
      <w:tblGrid>
        <w:gridCol w:w="2615"/>
        <w:gridCol w:w="1637"/>
        <w:gridCol w:w="2128"/>
      </w:tblGrid>
      <w:tr w:rsidR="00B72064" w:rsidRPr="005A1661" w14:paraId="0C3EBFB3" w14:textId="77777777" w:rsidTr="00051BC9">
        <w:trPr>
          <w:trHeight w:val="552"/>
          <w:tblHeader/>
          <w:jc w:val="center"/>
        </w:trPr>
        <w:tc>
          <w:tcPr>
            <w:cnfStyle w:val="000010000000" w:firstRow="0" w:lastRow="0" w:firstColumn="0" w:lastColumn="0" w:oddVBand="1" w:evenVBand="0" w:oddHBand="0" w:evenHBand="0" w:firstRowFirstColumn="0" w:firstRowLastColumn="0" w:lastRowFirstColumn="0" w:lastRowLastColumn="0"/>
            <w:tcW w:w="2549" w:type="dxa"/>
            <w:noWrap/>
          </w:tcPr>
          <w:p w14:paraId="51ECC0B6" w14:textId="77777777" w:rsidR="00B72064" w:rsidRPr="0053565F" w:rsidRDefault="00B72064" w:rsidP="00882869">
            <w:pPr>
              <w:autoSpaceDE w:val="0"/>
              <w:autoSpaceDN w:val="0"/>
              <w:adjustRightInd w:val="0"/>
              <w:spacing w:after="0" w:line="240" w:lineRule="auto"/>
              <w:jc w:val="center"/>
              <w:rPr>
                <w:rFonts w:ascii="ITC Avant Garde" w:hAnsi="ITC Avant Garde"/>
                <w:b/>
                <w:bCs/>
                <w:color w:val="000000"/>
                <w:sz w:val="14"/>
                <w:szCs w:val="20"/>
              </w:rPr>
            </w:pPr>
            <w:r w:rsidRPr="0053565F">
              <w:rPr>
                <w:rFonts w:ascii="ITC Avant Garde" w:hAnsi="ITC Avant Garde"/>
                <w:b/>
                <w:bCs/>
                <w:color w:val="000000"/>
                <w:sz w:val="14"/>
                <w:szCs w:val="20"/>
              </w:rPr>
              <w:t>ACCIONISTA</w:t>
            </w:r>
          </w:p>
        </w:tc>
        <w:tc>
          <w:tcPr>
            <w:tcW w:w="1596" w:type="dxa"/>
          </w:tcPr>
          <w:p w14:paraId="02A9EDBF" w14:textId="77777777" w:rsidR="00B72064" w:rsidRPr="0053565F" w:rsidRDefault="00B72064" w:rsidP="00882869">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b/>
                <w:bCs/>
                <w:color w:val="000000"/>
                <w:sz w:val="14"/>
                <w:szCs w:val="20"/>
              </w:rPr>
            </w:pPr>
            <w:r w:rsidRPr="0053565F">
              <w:rPr>
                <w:rFonts w:ascii="ITC Avant Garde" w:hAnsi="ITC Avant Garde"/>
                <w:b/>
                <w:bCs/>
                <w:color w:val="000000"/>
                <w:sz w:val="14"/>
                <w:szCs w:val="20"/>
              </w:rPr>
              <w:t>ACCIONES</w:t>
            </w:r>
          </w:p>
        </w:tc>
        <w:tc>
          <w:tcPr>
            <w:cnfStyle w:val="000010000000" w:firstRow="0" w:lastRow="0" w:firstColumn="0" w:lastColumn="0" w:oddVBand="1" w:evenVBand="0" w:oddHBand="0" w:evenHBand="0" w:firstRowFirstColumn="0" w:firstRowLastColumn="0" w:lastRowFirstColumn="0" w:lastRowLastColumn="0"/>
            <w:tcW w:w="2075" w:type="dxa"/>
          </w:tcPr>
          <w:p w14:paraId="7AF4611E" w14:textId="77777777" w:rsidR="00B72064" w:rsidRPr="0053565F" w:rsidRDefault="00B72064" w:rsidP="00882869">
            <w:pPr>
              <w:autoSpaceDE w:val="0"/>
              <w:autoSpaceDN w:val="0"/>
              <w:adjustRightInd w:val="0"/>
              <w:spacing w:after="0" w:line="240" w:lineRule="auto"/>
              <w:jc w:val="center"/>
              <w:rPr>
                <w:rFonts w:ascii="ITC Avant Garde" w:hAnsi="ITC Avant Garde"/>
                <w:b/>
                <w:bCs/>
                <w:color w:val="000000"/>
                <w:sz w:val="14"/>
                <w:szCs w:val="20"/>
              </w:rPr>
            </w:pPr>
            <w:r w:rsidRPr="0053565F">
              <w:rPr>
                <w:rFonts w:ascii="ITC Avant Garde" w:hAnsi="ITC Avant Garde"/>
                <w:b/>
                <w:bCs/>
                <w:color w:val="000000"/>
                <w:sz w:val="14"/>
                <w:szCs w:val="20"/>
              </w:rPr>
              <w:t>PORCENTAJE TOTAL DE PARTICIPACIÓN</w:t>
            </w:r>
          </w:p>
        </w:tc>
      </w:tr>
      <w:tr w:rsidR="00B72064" w:rsidRPr="005A1661" w14:paraId="530C93F4" w14:textId="77777777" w:rsidTr="00051BC9">
        <w:trPr>
          <w:cnfStyle w:val="000000100000" w:firstRow="0" w:lastRow="0" w:firstColumn="0" w:lastColumn="0" w:oddVBand="0" w:evenVBand="0" w:oddHBand="1" w:evenHBand="0" w:firstRowFirstColumn="0" w:firstRowLastColumn="0" w:lastRowFirstColumn="0" w:lastRowLastColumn="0"/>
          <w:trHeight w:val="356"/>
          <w:jc w:val="center"/>
        </w:trPr>
        <w:tc>
          <w:tcPr>
            <w:cnfStyle w:val="000010000000" w:firstRow="0" w:lastRow="0" w:firstColumn="0" w:lastColumn="0" w:oddVBand="1" w:evenVBand="0" w:oddHBand="0" w:evenHBand="0" w:firstRowFirstColumn="0" w:firstRowLastColumn="0" w:lastRowFirstColumn="0" w:lastRowLastColumn="0"/>
            <w:tcW w:w="2549" w:type="dxa"/>
          </w:tcPr>
          <w:p w14:paraId="5E4CFCFC" w14:textId="5865EC06" w:rsidR="00B72064" w:rsidRPr="0053565F" w:rsidRDefault="00B72064" w:rsidP="00882869">
            <w:pPr>
              <w:autoSpaceDE w:val="0"/>
              <w:autoSpaceDN w:val="0"/>
              <w:adjustRightInd w:val="0"/>
              <w:spacing w:after="0" w:line="240" w:lineRule="auto"/>
              <w:rPr>
                <w:rFonts w:ascii="ITC Avant Garde" w:hAnsi="ITC Avant Garde"/>
                <w:bCs/>
                <w:color w:val="000000"/>
                <w:sz w:val="14"/>
                <w:szCs w:val="20"/>
              </w:rPr>
            </w:pPr>
            <w:r>
              <w:rPr>
                <w:rFonts w:ascii="ITC Avant Garde" w:hAnsi="ITC Avant Garde"/>
                <w:bCs/>
                <w:color w:val="000000"/>
                <w:sz w:val="14"/>
                <w:szCs w:val="20"/>
              </w:rPr>
              <w:t xml:space="preserve">Grupo </w:t>
            </w:r>
            <w:proofErr w:type="spellStart"/>
            <w:r>
              <w:rPr>
                <w:rFonts w:ascii="ITC Avant Garde" w:hAnsi="ITC Avant Garde"/>
                <w:bCs/>
                <w:color w:val="000000"/>
                <w:sz w:val="14"/>
                <w:szCs w:val="20"/>
              </w:rPr>
              <w:t>Gentux</w:t>
            </w:r>
            <w:proofErr w:type="spellEnd"/>
            <w:r>
              <w:rPr>
                <w:rFonts w:ascii="ITC Avant Garde" w:hAnsi="ITC Avant Garde"/>
                <w:bCs/>
                <w:color w:val="000000"/>
                <w:sz w:val="14"/>
                <w:szCs w:val="20"/>
              </w:rPr>
              <w:t>, S.A.P.I. de C.V.</w:t>
            </w:r>
          </w:p>
        </w:tc>
        <w:tc>
          <w:tcPr>
            <w:tcW w:w="1596" w:type="dxa"/>
          </w:tcPr>
          <w:p w14:paraId="4A9229E9" w14:textId="34F9BB8D" w:rsidR="00B72064" w:rsidRPr="0053565F" w:rsidRDefault="00B72064" w:rsidP="00882869">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bCs/>
                <w:color w:val="000000"/>
                <w:sz w:val="14"/>
                <w:szCs w:val="20"/>
              </w:rPr>
            </w:pPr>
            <w:r>
              <w:rPr>
                <w:rFonts w:ascii="ITC Avant Garde" w:hAnsi="ITC Avant Garde"/>
                <w:bCs/>
                <w:color w:val="000000"/>
                <w:sz w:val="14"/>
                <w:szCs w:val="20"/>
              </w:rPr>
              <w:t>183,909,999</w:t>
            </w:r>
          </w:p>
        </w:tc>
        <w:tc>
          <w:tcPr>
            <w:cnfStyle w:val="000010000000" w:firstRow="0" w:lastRow="0" w:firstColumn="0" w:lastColumn="0" w:oddVBand="1" w:evenVBand="0" w:oddHBand="0" w:evenHBand="0" w:firstRowFirstColumn="0" w:firstRowLastColumn="0" w:lastRowFirstColumn="0" w:lastRowLastColumn="0"/>
            <w:tcW w:w="2075" w:type="dxa"/>
          </w:tcPr>
          <w:p w14:paraId="1EEF07D7" w14:textId="1378C0D1" w:rsidR="00B72064" w:rsidRPr="0053565F" w:rsidRDefault="00B72064" w:rsidP="00882869">
            <w:pPr>
              <w:autoSpaceDE w:val="0"/>
              <w:autoSpaceDN w:val="0"/>
              <w:adjustRightInd w:val="0"/>
              <w:spacing w:after="0" w:line="240" w:lineRule="auto"/>
              <w:jc w:val="center"/>
              <w:rPr>
                <w:rFonts w:ascii="ITC Avant Garde" w:hAnsi="ITC Avant Garde"/>
                <w:bCs/>
                <w:color w:val="000000"/>
                <w:sz w:val="14"/>
                <w:szCs w:val="20"/>
              </w:rPr>
            </w:pPr>
            <w:r w:rsidRPr="0053565F">
              <w:rPr>
                <w:rFonts w:ascii="ITC Avant Garde" w:hAnsi="ITC Avant Garde"/>
                <w:bCs/>
                <w:color w:val="000000"/>
                <w:sz w:val="14"/>
                <w:szCs w:val="20"/>
              </w:rPr>
              <w:t>99</w:t>
            </w:r>
            <w:r>
              <w:rPr>
                <w:rFonts w:ascii="ITC Avant Garde" w:hAnsi="ITC Avant Garde"/>
                <w:bCs/>
                <w:color w:val="000000"/>
                <w:sz w:val="14"/>
                <w:szCs w:val="20"/>
              </w:rPr>
              <w:t>.999</w:t>
            </w:r>
            <w:r w:rsidRPr="0053565F">
              <w:rPr>
                <w:rFonts w:ascii="ITC Avant Garde" w:hAnsi="ITC Avant Garde"/>
                <w:bCs/>
                <w:color w:val="000000"/>
                <w:sz w:val="14"/>
                <w:szCs w:val="20"/>
              </w:rPr>
              <w:t>%</w:t>
            </w:r>
          </w:p>
        </w:tc>
      </w:tr>
      <w:tr w:rsidR="00B72064" w:rsidRPr="005A1661" w14:paraId="31D79C59" w14:textId="77777777" w:rsidTr="00051BC9">
        <w:trPr>
          <w:trHeight w:val="356"/>
          <w:jc w:val="center"/>
        </w:trPr>
        <w:tc>
          <w:tcPr>
            <w:cnfStyle w:val="000010000000" w:firstRow="0" w:lastRow="0" w:firstColumn="0" w:lastColumn="0" w:oddVBand="1" w:evenVBand="0" w:oddHBand="0" w:evenHBand="0" w:firstRowFirstColumn="0" w:firstRowLastColumn="0" w:lastRowFirstColumn="0" w:lastRowLastColumn="0"/>
            <w:tcW w:w="2549" w:type="dxa"/>
          </w:tcPr>
          <w:p w14:paraId="2494D11B" w14:textId="31B49A1C" w:rsidR="00B72064" w:rsidRPr="0053565F" w:rsidRDefault="00B72064" w:rsidP="00882869">
            <w:pPr>
              <w:autoSpaceDE w:val="0"/>
              <w:autoSpaceDN w:val="0"/>
              <w:adjustRightInd w:val="0"/>
              <w:spacing w:after="0" w:line="240" w:lineRule="auto"/>
              <w:rPr>
                <w:rFonts w:ascii="ITC Avant Garde" w:hAnsi="ITC Avant Garde"/>
                <w:bCs/>
                <w:color w:val="000000"/>
                <w:sz w:val="14"/>
                <w:szCs w:val="20"/>
              </w:rPr>
            </w:pPr>
            <w:r>
              <w:rPr>
                <w:rFonts w:ascii="ITC Avant Garde" w:hAnsi="ITC Avant Garde"/>
                <w:bCs/>
                <w:color w:val="000000"/>
                <w:sz w:val="14"/>
                <w:szCs w:val="20"/>
              </w:rPr>
              <w:t>Noel Abel Delgado Montañez</w:t>
            </w:r>
          </w:p>
        </w:tc>
        <w:tc>
          <w:tcPr>
            <w:tcW w:w="1596" w:type="dxa"/>
          </w:tcPr>
          <w:p w14:paraId="7C26CE00" w14:textId="3880220B" w:rsidR="00B72064" w:rsidRPr="0053565F" w:rsidRDefault="00B72064" w:rsidP="00882869">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bCs/>
                <w:color w:val="000000"/>
                <w:sz w:val="14"/>
                <w:szCs w:val="20"/>
              </w:rPr>
            </w:pPr>
            <w:r>
              <w:rPr>
                <w:rFonts w:ascii="ITC Avant Garde" w:hAnsi="ITC Avant Garde"/>
                <w:bCs/>
                <w:color w:val="000000"/>
                <w:sz w:val="14"/>
                <w:szCs w:val="20"/>
              </w:rPr>
              <w:t>1</w:t>
            </w:r>
          </w:p>
        </w:tc>
        <w:tc>
          <w:tcPr>
            <w:cnfStyle w:val="000010000000" w:firstRow="0" w:lastRow="0" w:firstColumn="0" w:lastColumn="0" w:oddVBand="1" w:evenVBand="0" w:oddHBand="0" w:evenHBand="0" w:firstRowFirstColumn="0" w:firstRowLastColumn="0" w:lastRowFirstColumn="0" w:lastRowLastColumn="0"/>
            <w:tcW w:w="2075" w:type="dxa"/>
          </w:tcPr>
          <w:p w14:paraId="2CA0D9FD" w14:textId="26A6C010" w:rsidR="00B72064" w:rsidRPr="0053565F" w:rsidRDefault="00B72064" w:rsidP="00882869">
            <w:pPr>
              <w:autoSpaceDE w:val="0"/>
              <w:autoSpaceDN w:val="0"/>
              <w:adjustRightInd w:val="0"/>
              <w:spacing w:after="0" w:line="240" w:lineRule="auto"/>
              <w:jc w:val="center"/>
              <w:rPr>
                <w:rFonts w:ascii="ITC Avant Garde" w:hAnsi="ITC Avant Garde"/>
                <w:bCs/>
                <w:color w:val="000000"/>
                <w:sz w:val="14"/>
                <w:szCs w:val="20"/>
              </w:rPr>
            </w:pPr>
            <w:r>
              <w:rPr>
                <w:rFonts w:ascii="ITC Avant Garde" w:hAnsi="ITC Avant Garde"/>
                <w:bCs/>
                <w:color w:val="000000"/>
                <w:sz w:val="14"/>
                <w:szCs w:val="20"/>
              </w:rPr>
              <w:t>0.00</w:t>
            </w:r>
            <w:r w:rsidRPr="0053565F">
              <w:rPr>
                <w:rFonts w:ascii="ITC Avant Garde" w:hAnsi="ITC Avant Garde"/>
                <w:bCs/>
                <w:color w:val="000000"/>
                <w:sz w:val="14"/>
                <w:szCs w:val="20"/>
              </w:rPr>
              <w:t>1%</w:t>
            </w:r>
          </w:p>
        </w:tc>
      </w:tr>
      <w:tr w:rsidR="00B72064" w:rsidRPr="005A1661" w14:paraId="7BCDEA43" w14:textId="77777777" w:rsidTr="00051BC9">
        <w:trPr>
          <w:cnfStyle w:val="000000100000" w:firstRow="0" w:lastRow="0" w:firstColumn="0" w:lastColumn="0" w:oddVBand="0" w:evenVBand="0" w:oddHBand="1" w:evenHBand="0" w:firstRowFirstColumn="0" w:firstRowLastColumn="0" w:lastRowFirstColumn="0" w:lastRowLastColumn="0"/>
          <w:trHeight w:val="291"/>
          <w:jc w:val="center"/>
        </w:trPr>
        <w:tc>
          <w:tcPr>
            <w:cnfStyle w:val="000010000000" w:firstRow="0" w:lastRow="0" w:firstColumn="0" w:lastColumn="0" w:oddVBand="1" w:evenVBand="0" w:oddHBand="0" w:evenHBand="0" w:firstRowFirstColumn="0" w:firstRowLastColumn="0" w:lastRowFirstColumn="0" w:lastRowLastColumn="0"/>
            <w:tcW w:w="2549" w:type="dxa"/>
          </w:tcPr>
          <w:p w14:paraId="3795C937" w14:textId="77777777" w:rsidR="00B72064" w:rsidRPr="0053565F" w:rsidRDefault="00B72064" w:rsidP="00882869">
            <w:pPr>
              <w:autoSpaceDE w:val="0"/>
              <w:autoSpaceDN w:val="0"/>
              <w:adjustRightInd w:val="0"/>
              <w:spacing w:after="0" w:line="240" w:lineRule="auto"/>
              <w:jc w:val="center"/>
              <w:rPr>
                <w:rFonts w:ascii="ITC Avant Garde" w:hAnsi="ITC Avant Garde"/>
                <w:b/>
                <w:bCs/>
                <w:color w:val="000000"/>
                <w:sz w:val="14"/>
                <w:szCs w:val="20"/>
              </w:rPr>
            </w:pPr>
            <w:r w:rsidRPr="0053565F">
              <w:rPr>
                <w:rFonts w:ascii="ITC Avant Garde" w:hAnsi="ITC Avant Garde"/>
                <w:b/>
                <w:bCs/>
                <w:color w:val="000000"/>
                <w:sz w:val="14"/>
                <w:szCs w:val="20"/>
              </w:rPr>
              <w:t>Total</w:t>
            </w:r>
          </w:p>
        </w:tc>
        <w:tc>
          <w:tcPr>
            <w:tcW w:w="1596" w:type="dxa"/>
          </w:tcPr>
          <w:p w14:paraId="08551661" w14:textId="2D11563F" w:rsidR="00B72064" w:rsidRPr="0053565F" w:rsidRDefault="00B14326" w:rsidP="001A2A96">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b/>
                <w:bCs/>
                <w:color w:val="000000"/>
                <w:sz w:val="14"/>
                <w:szCs w:val="20"/>
              </w:rPr>
            </w:pPr>
            <w:r>
              <w:rPr>
                <w:rFonts w:ascii="ITC Avant Garde" w:hAnsi="ITC Avant Garde"/>
                <w:b/>
                <w:bCs/>
                <w:color w:val="000000"/>
                <w:sz w:val="14"/>
                <w:szCs w:val="20"/>
              </w:rPr>
              <w:t>183,910</w:t>
            </w:r>
            <w:r w:rsidR="001A2A96">
              <w:rPr>
                <w:rFonts w:ascii="ITC Avant Garde" w:hAnsi="ITC Avant Garde"/>
                <w:b/>
                <w:bCs/>
                <w:color w:val="000000"/>
                <w:sz w:val="14"/>
                <w:szCs w:val="20"/>
              </w:rPr>
              <w:t>,</w:t>
            </w:r>
            <w:r>
              <w:rPr>
                <w:rFonts w:ascii="ITC Avant Garde" w:hAnsi="ITC Avant Garde"/>
                <w:b/>
                <w:bCs/>
                <w:color w:val="000000"/>
                <w:sz w:val="14"/>
                <w:szCs w:val="20"/>
              </w:rPr>
              <w:t>000</w:t>
            </w:r>
          </w:p>
        </w:tc>
        <w:tc>
          <w:tcPr>
            <w:cnfStyle w:val="000010000000" w:firstRow="0" w:lastRow="0" w:firstColumn="0" w:lastColumn="0" w:oddVBand="1" w:evenVBand="0" w:oddHBand="0" w:evenHBand="0" w:firstRowFirstColumn="0" w:firstRowLastColumn="0" w:lastRowFirstColumn="0" w:lastRowLastColumn="0"/>
            <w:tcW w:w="2075" w:type="dxa"/>
          </w:tcPr>
          <w:p w14:paraId="45F5A529" w14:textId="77777777" w:rsidR="00B72064" w:rsidRPr="0053565F" w:rsidRDefault="00B72064" w:rsidP="00882869">
            <w:pPr>
              <w:autoSpaceDE w:val="0"/>
              <w:autoSpaceDN w:val="0"/>
              <w:adjustRightInd w:val="0"/>
              <w:spacing w:after="0" w:line="240" w:lineRule="auto"/>
              <w:jc w:val="center"/>
              <w:rPr>
                <w:rFonts w:ascii="ITC Avant Garde" w:hAnsi="ITC Avant Garde"/>
                <w:b/>
                <w:bCs/>
                <w:color w:val="000000"/>
                <w:sz w:val="14"/>
                <w:szCs w:val="20"/>
              </w:rPr>
            </w:pPr>
            <w:r w:rsidRPr="0053565F">
              <w:rPr>
                <w:rFonts w:ascii="ITC Avant Garde" w:hAnsi="ITC Avant Garde"/>
                <w:b/>
                <w:bCs/>
                <w:color w:val="000000"/>
                <w:sz w:val="14"/>
                <w:szCs w:val="20"/>
              </w:rPr>
              <w:t>100%</w:t>
            </w:r>
          </w:p>
        </w:tc>
      </w:tr>
    </w:tbl>
    <w:p w14:paraId="76A8A1EA" w14:textId="77777777" w:rsidR="0053565F" w:rsidRDefault="0053565F" w:rsidP="00882869">
      <w:pPr>
        <w:autoSpaceDE w:val="0"/>
        <w:autoSpaceDN w:val="0"/>
        <w:adjustRightInd w:val="0"/>
        <w:spacing w:line="240" w:lineRule="auto"/>
        <w:jc w:val="both"/>
        <w:rPr>
          <w:rFonts w:ascii="ITC Avant Garde" w:hAnsi="ITC Avant Garde"/>
          <w:bCs/>
          <w:color w:val="000000"/>
          <w:sz w:val="23"/>
          <w:szCs w:val="23"/>
          <w:lang w:eastAsia="es-MX"/>
        </w:rPr>
      </w:pPr>
    </w:p>
    <w:p w14:paraId="40BDC3D9" w14:textId="0F98B0EE" w:rsidR="00404708" w:rsidRDefault="00404708" w:rsidP="00882869">
      <w:pPr>
        <w:autoSpaceDE w:val="0"/>
        <w:autoSpaceDN w:val="0"/>
        <w:adjustRightInd w:val="0"/>
        <w:spacing w:line="240" w:lineRule="auto"/>
        <w:jc w:val="both"/>
        <w:rPr>
          <w:rFonts w:ascii="ITC Avant Garde" w:hAnsi="ITC Avant Garde"/>
          <w:bCs/>
          <w:sz w:val="23"/>
          <w:szCs w:val="23"/>
        </w:rPr>
      </w:pPr>
      <w:r>
        <w:rPr>
          <w:rFonts w:ascii="ITC Avant Garde" w:hAnsi="ITC Avant Garde"/>
          <w:bCs/>
          <w:sz w:val="23"/>
          <w:szCs w:val="23"/>
        </w:rPr>
        <w:t xml:space="preserve">En seguimiento a lo anterior, </w:t>
      </w:r>
      <w:r w:rsidR="007E6022">
        <w:rPr>
          <w:rFonts w:ascii="ITC Avant Garde" w:hAnsi="ITC Avant Garde"/>
          <w:bCs/>
          <w:sz w:val="23"/>
          <w:szCs w:val="23"/>
        </w:rPr>
        <w:t xml:space="preserve">de la Solicitud de Enajenación de Acciones se desprende que </w:t>
      </w:r>
      <w:proofErr w:type="spellStart"/>
      <w:r w:rsidR="007E6022" w:rsidRPr="000645F4">
        <w:rPr>
          <w:rFonts w:ascii="ITC Avant Garde" w:hAnsi="ITC Avant Garde"/>
          <w:bCs/>
          <w:sz w:val="23"/>
          <w:szCs w:val="23"/>
          <w:lang w:val="es-ES" w:eastAsia="es-ES"/>
        </w:rPr>
        <w:t>RigNet</w:t>
      </w:r>
      <w:proofErr w:type="spellEnd"/>
      <w:r w:rsidR="007E6022" w:rsidRPr="000645F4">
        <w:rPr>
          <w:rFonts w:ascii="ITC Avant Garde" w:hAnsi="ITC Avant Garde"/>
          <w:bCs/>
          <w:sz w:val="23"/>
          <w:szCs w:val="23"/>
          <w:lang w:val="es-ES" w:eastAsia="es-ES"/>
        </w:rPr>
        <w:t xml:space="preserve"> de México, S. de R.L.</w:t>
      </w:r>
      <w:r w:rsidR="007E6022">
        <w:rPr>
          <w:rFonts w:ascii="ITC Avant Garde" w:hAnsi="ITC Avant Garde"/>
          <w:bCs/>
          <w:sz w:val="23"/>
          <w:szCs w:val="23"/>
          <w:lang w:val="es-ES" w:eastAsia="es-ES"/>
        </w:rPr>
        <w:t xml:space="preserve"> de C.V., adquiere el 99.999% de las </w:t>
      </w:r>
      <w:r w:rsidR="007E6022">
        <w:rPr>
          <w:rFonts w:ascii="ITC Avant Garde" w:hAnsi="ITC Avant Garde"/>
          <w:bCs/>
          <w:sz w:val="23"/>
          <w:szCs w:val="23"/>
          <w:lang w:val="es-ES" w:eastAsia="es-ES"/>
        </w:rPr>
        <w:lastRenderedPageBreak/>
        <w:t xml:space="preserve">acciones de las que es titular Grupo </w:t>
      </w:r>
      <w:proofErr w:type="spellStart"/>
      <w:r w:rsidR="007E6022">
        <w:rPr>
          <w:rFonts w:ascii="ITC Avant Garde" w:hAnsi="ITC Avant Garde"/>
          <w:bCs/>
          <w:sz w:val="23"/>
          <w:szCs w:val="23"/>
          <w:lang w:val="es-ES" w:eastAsia="es-ES"/>
        </w:rPr>
        <w:t>Gentux</w:t>
      </w:r>
      <w:proofErr w:type="spellEnd"/>
      <w:r w:rsidR="007E6022">
        <w:rPr>
          <w:rFonts w:ascii="ITC Avant Garde" w:hAnsi="ITC Avant Garde"/>
          <w:bCs/>
          <w:sz w:val="23"/>
          <w:szCs w:val="23"/>
          <w:lang w:val="es-ES" w:eastAsia="es-ES"/>
        </w:rPr>
        <w:t xml:space="preserve">, S.A.P.I. de C.V., y que el C. Noel Abel Delgado Montañez enajena el 0.001% en favor de </w:t>
      </w:r>
      <w:r w:rsidR="007E6022" w:rsidRPr="000645F4">
        <w:rPr>
          <w:rFonts w:ascii="ITC Avant Garde" w:hAnsi="ITC Avant Garde"/>
          <w:bCs/>
          <w:sz w:val="23"/>
          <w:szCs w:val="23"/>
          <w:lang w:val="es-ES" w:eastAsia="es-ES"/>
        </w:rPr>
        <w:t>RNSAT Servicios de México, S. de R.L.</w:t>
      </w:r>
      <w:r w:rsidR="007E6022">
        <w:rPr>
          <w:rFonts w:ascii="ITC Avant Garde" w:hAnsi="ITC Avant Garde"/>
          <w:bCs/>
          <w:sz w:val="23"/>
          <w:szCs w:val="23"/>
          <w:lang w:val="es-ES" w:eastAsia="es-ES"/>
        </w:rPr>
        <w:t xml:space="preserve"> de C.V.</w:t>
      </w:r>
    </w:p>
    <w:p w14:paraId="113B9BF0" w14:textId="737013C6" w:rsidR="003172FD" w:rsidRDefault="00E67F87" w:rsidP="00882869">
      <w:pPr>
        <w:autoSpaceDE w:val="0"/>
        <w:autoSpaceDN w:val="0"/>
        <w:adjustRightInd w:val="0"/>
        <w:spacing w:line="240" w:lineRule="auto"/>
        <w:jc w:val="both"/>
        <w:rPr>
          <w:rFonts w:ascii="ITC Avant Garde" w:hAnsi="ITC Avant Garde"/>
          <w:bCs/>
          <w:sz w:val="23"/>
          <w:szCs w:val="23"/>
        </w:rPr>
      </w:pPr>
      <w:r w:rsidRPr="004C1528">
        <w:rPr>
          <w:rFonts w:ascii="ITC Avant Garde" w:hAnsi="ITC Avant Garde"/>
          <w:bCs/>
          <w:sz w:val="23"/>
          <w:szCs w:val="23"/>
        </w:rPr>
        <w:t xml:space="preserve">En </w:t>
      </w:r>
      <w:r w:rsidR="00404708">
        <w:rPr>
          <w:rFonts w:ascii="ITC Avant Garde" w:hAnsi="ITC Avant Garde"/>
          <w:bCs/>
          <w:sz w:val="23"/>
          <w:szCs w:val="23"/>
        </w:rPr>
        <w:t>tal virtud</w:t>
      </w:r>
      <w:r w:rsidR="00896FD7" w:rsidRPr="004C1528">
        <w:rPr>
          <w:rFonts w:ascii="ITC Avant Garde" w:hAnsi="ITC Avant Garde"/>
          <w:bCs/>
          <w:sz w:val="23"/>
          <w:szCs w:val="23"/>
        </w:rPr>
        <w:t xml:space="preserve">, </w:t>
      </w:r>
      <w:r w:rsidR="004C3ABA" w:rsidRPr="004C1528">
        <w:rPr>
          <w:rFonts w:ascii="ITC Avant Garde" w:hAnsi="ITC Avant Garde"/>
          <w:bCs/>
          <w:sz w:val="23"/>
          <w:szCs w:val="23"/>
        </w:rPr>
        <w:t>de autorizarse la S</w:t>
      </w:r>
      <w:r w:rsidR="00B651C4" w:rsidRPr="004C1528">
        <w:rPr>
          <w:rFonts w:ascii="ITC Avant Garde" w:hAnsi="ITC Avant Garde"/>
          <w:bCs/>
          <w:sz w:val="23"/>
          <w:szCs w:val="23"/>
        </w:rPr>
        <w:t xml:space="preserve">olicitud de Enajenación de Acciones, el cuadro accionario </w:t>
      </w:r>
      <w:r w:rsidR="007961CB" w:rsidRPr="004C1528">
        <w:rPr>
          <w:rFonts w:ascii="ITC Avant Garde" w:hAnsi="ITC Avant Garde"/>
          <w:bCs/>
          <w:sz w:val="23"/>
          <w:szCs w:val="23"/>
        </w:rPr>
        <w:t xml:space="preserve">de </w:t>
      </w:r>
      <w:r w:rsidR="00BD0CA8" w:rsidRPr="000645F4">
        <w:rPr>
          <w:rFonts w:ascii="ITC Avant Garde" w:hAnsi="ITC Avant Garde"/>
          <w:bCs/>
          <w:sz w:val="23"/>
          <w:szCs w:val="23"/>
          <w:lang w:val="es-ES" w:eastAsia="es-ES"/>
        </w:rPr>
        <w:t>Orgtec, S.A.P.I. de C.V.</w:t>
      </w:r>
      <w:r w:rsidR="008E5282">
        <w:rPr>
          <w:rFonts w:ascii="ITC Avant Garde" w:hAnsi="ITC Avant Garde"/>
          <w:bCs/>
          <w:sz w:val="23"/>
          <w:szCs w:val="23"/>
        </w:rPr>
        <w:t>,</w:t>
      </w:r>
      <w:r w:rsidR="007961CB" w:rsidRPr="004C1528">
        <w:rPr>
          <w:rFonts w:ascii="ITC Avant Garde" w:hAnsi="ITC Avant Garde"/>
          <w:bCs/>
          <w:sz w:val="23"/>
          <w:szCs w:val="23"/>
        </w:rPr>
        <w:t xml:space="preserve"> </w:t>
      </w:r>
      <w:r w:rsidR="00B651C4" w:rsidRPr="004C1528">
        <w:rPr>
          <w:rFonts w:ascii="ITC Avant Garde" w:hAnsi="ITC Avant Garde"/>
          <w:bCs/>
          <w:sz w:val="23"/>
          <w:szCs w:val="23"/>
        </w:rPr>
        <w:t>quedaría de la siguiente forma</w:t>
      </w:r>
      <w:r w:rsidR="003172FD" w:rsidRPr="00E859C2">
        <w:rPr>
          <w:rFonts w:ascii="ITC Avant Garde" w:hAnsi="ITC Avant Garde"/>
          <w:bCs/>
          <w:sz w:val="23"/>
          <w:szCs w:val="23"/>
        </w:rPr>
        <w:t>:</w:t>
      </w:r>
    </w:p>
    <w:p w14:paraId="4F3F138C" w14:textId="77777777" w:rsidR="006F1784" w:rsidRPr="00E859C2" w:rsidRDefault="006F1784" w:rsidP="009B170F">
      <w:pPr>
        <w:autoSpaceDE w:val="0"/>
        <w:autoSpaceDN w:val="0"/>
        <w:adjustRightInd w:val="0"/>
        <w:spacing w:after="0" w:line="240" w:lineRule="auto"/>
        <w:jc w:val="both"/>
        <w:rPr>
          <w:rFonts w:ascii="ITC Avant Garde" w:hAnsi="ITC Avant Garde"/>
          <w:bCs/>
          <w:sz w:val="23"/>
          <w:szCs w:val="23"/>
        </w:rPr>
      </w:pPr>
    </w:p>
    <w:tbl>
      <w:tblPr>
        <w:tblStyle w:val="Tabladelista7concolores-nfasis5"/>
        <w:tblW w:w="6457" w:type="dxa"/>
        <w:jc w:val="center"/>
        <w:tblLayout w:type="fixed"/>
        <w:tblLook w:val="0000" w:firstRow="0" w:lastRow="0" w:firstColumn="0" w:lastColumn="0" w:noHBand="0" w:noVBand="0"/>
        <w:tblCaption w:val="Acciones de la empresa Orgtec, S.A.P.I. de C.V. de autorizarse la solicitud de enajenación"/>
        <w:tblDescription w:val="El accionista RigNet de México, S. de R.L. de C.V. quedaría con 183,909,999 acciones que representarían el 99.999%; y &#10;RNSAT Servicios de México, S. de R.L. de C.V. quedaría con una (1) acción que representaría el 0.001%. Sumando un total de 183,910,000 acciones que representan el 100%&#10;"/>
      </w:tblPr>
      <w:tblGrid>
        <w:gridCol w:w="2692"/>
        <w:gridCol w:w="1637"/>
        <w:gridCol w:w="2128"/>
      </w:tblGrid>
      <w:tr w:rsidR="00B14326" w:rsidRPr="005A1661" w14:paraId="1A5EC6A1" w14:textId="77777777" w:rsidTr="00051BC9">
        <w:trPr>
          <w:trHeight w:val="552"/>
          <w:tblHeader/>
          <w:jc w:val="center"/>
        </w:trPr>
        <w:tc>
          <w:tcPr>
            <w:cnfStyle w:val="000010000000" w:firstRow="0" w:lastRow="0" w:firstColumn="0" w:lastColumn="0" w:oddVBand="1" w:evenVBand="0" w:oddHBand="0" w:evenHBand="0" w:firstRowFirstColumn="0" w:firstRowLastColumn="0" w:lastRowFirstColumn="0" w:lastRowLastColumn="0"/>
            <w:tcW w:w="2626" w:type="dxa"/>
            <w:noWrap/>
          </w:tcPr>
          <w:p w14:paraId="551653B0" w14:textId="77777777" w:rsidR="00B14326" w:rsidRPr="0053565F" w:rsidRDefault="00B14326" w:rsidP="00882869">
            <w:pPr>
              <w:autoSpaceDE w:val="0"/>
              <w:autoSpaceDN w:val="0"/>
              <w:adjustRightInd w:val="0"/>
              <w:spacing w:after="0" w:line="240" w:lineRule="auto"/>
              <w:jc w:val="center"/>
              <w:rPr>
                <w:rFonts w:ascii="ITC Avant Garde" w:hAnsi="ITC Avant Garde"/>
                <w:b/>
                <w:bCs/>
                <w:color w:val="000000"/>
                <w:sz w:val="14"/>
                <w:szCs w:val="20"/>
              </w:rPr>
            </w:pPr>
            <w:r w:rsidRPr="0053565F">
              <w:rPr>
                <w:rFonts w:ascii="ITC Avant Garde" w:hAnsi="ITC Avant Garde"/>
                <w:b/>
                <w:bCs/>
                <w:color w:val="000000"/>
                <w:sz w:val="14"/>
                <w:szCs w:val="20"/>
              </w:rPr>
              <w:t>ACCIONISTA</w:t>
            </w:r>
          </w:p>
        </w:tc>
        <w:tc>
          <w:tcPr>
            <w:tcW w:w="1596" w:type="dxa"/>
          </w:tcPr>
          <w:p w14:paraId="54956B27" w14:textId="77777777" w:rsidR="00B14326" w:rsidRPr="0053565F" w:rsidRDefault="00B14326" w:rsidP="00882869">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b/>
                <w:bCs/>
                <w:color w:val="000000"/>
                <w:sz w:val="14"/>
                <w:szCs w:val="20"/>
              </w:rPr>
            </w:pPr>
            <w:r w:rsidRPr="0053565F">
              <w:rPr>
                <w:rFonts w:ascii="ITC Avant Garde" w:hAnsi="ITC Avant Garde"/>
                <w:b/>
                <w:bCs/>
                <w:color w:val="000000"/>
                <w:sz w:val="14"/>
                <w:szCs w:val="20"/>
              </w:rPr>
              <w:t>ACCIONES</w:t>
            </w:r>
          </w:p>
        </w:tc>
        <w:tc>
          <w:tcPr>
            <w:cnfStyle w:val="000010000000" w:firstRow="0" w:lastRow="0" w:firstColumn="0" w:lastColumn="0" w:oddVBand="1" w:evenVBand="0" w:oddHBand="0" w:evenHBand="0" w:firstRowFirstColumn="0" w:firstRowLastColumn="0" w:lastRowFirstColumn="0" w:lastRowLastColumn="0"/>
            <w:tcW w:w="2075" w:type="dxa"/>
          </w:tcPr>
          <w:p w14:paraId="48204E0B" w14:textId="77777777" w:rsidR="00B14326" w:rsidRPr="0053565F" w:rsidRDefault="00B14326" w:rsidP="00882869">
            <w:pPr>
              <w:autoSpaceDE w:val="0"/>
              <w:autoSpaceDN w:val="0"/>
              <w:adjustRightInd w:val="0"/>
              <w:spacing w:after="0" w:line="240" w:lineRule="auto"/>
              <w:jc w:val="center"/>
              <w:rPr>
                <w:rFonts w:ascii="ITC Avant Garde" w:hAnsi="ITC Avant Garde"/>
                <w:b/>
                <w:bCs/>
                <w:color w:val="000000"/>
                <w:sz w:val="14"/>
                <w:szCs w:val="20"/>
              </w:rPr>
            </w:pPr>
            <w:r w:rsidRPr="0053565F">
              <w:rPr>
                <w:rFonts w:ascii="ITC Avant Garde" w:hAnsi="ITC Avant Garde"/>
                <w:b/>
                <w:bCs/>
                <w:color w:val="000000"/>
                <w:sz w:val="14"/>
                <w:szCs w:val="20"/>
              </w:rPr>
              <w:t>PORCENTAJE TOTAL DE PARTICIPACIÓN</w:t>
            </w:r>
          </w:p>
        </w:tc>
      </w:tr>
      <w:tr w:rsidR="00FD7685" w:rsidRPr="005A1661" w14:paraId="23704C66" w14:textId="77777777" w:rsidTr="00051BC9">
        <w:trPr>
          <w:cnfStyle w:val="000000100000" w:firstRow="0" w:lastRow="0" w:firstColumn="0" w:lastColumn="0" w:oddVBand="0" w:evenVBand="0" w:oddHBand="1" w:evenHBand="0" w:firstRowFirstColumn="0" w:firstRowLastColumn="0" w:lastRowFirstColumn="0" w:lastRowLastColumn="0"/>
          <w:trHeight w:val="356"/>
          <w:jc w:val="center"/>
        </w:trPr>
        <w:tc>
          <w:tcPr>
            <w:cnfStyle w:val="000010000000" w:firstRow="0" w:lastRow="0" w:firstColumn="0" w:lastColumn="0" w:oddVBand="1" w:evenVBand="0" w:oddHBand="0" w:evenHBand="0" w:firstRowFirstColumn="0" w:firstRowLastColumn="0" w:lastRowFirstColumn="0" w:lastRowLastColumn="0"/>
            <w:tcW w:w="2626" w:type="dxa"/>
          </w:tcPr>
          <w:p w14:paraId="40F6D5AC" w14:textId="1B23F5EE" w:rsidR="00FD7685" w:rsidRPr="0053565F" w:rsidRDefault="00FD7685" w:rsidP="00882869">
            <w:pPr>
              <w:autoSpaceDE w:val="0"/>
              <w:autoSpaceDN w:val="0"/>
              <w:adjustRightInd w:val="0"/>
              <w:spacing w:after="0" w:line="240" w:lineRule="auto"/>
              <w:rPr>
                <w:rFonts w:ascii="ITC Avant Garde" w:hAnsi="ITC Avant Garde"/>
                <w:bCs/>
                <w:color w:val="000000"/>
                <w:sz w:val="14"/>
                <w:szCs w:val="20"/>
              </w:rPr>
            </w:pPr>
            <w:proofErr w:type="spellStart"/>
            <w:r>
              <w:rPr>
                <w:rFonts w:ascii="ITC Avant Garde" w:hAnsi="ITC Avant Garde"/>
                <w:bCs/>
                <w:color w:val="000000"/>
                <w:sz w:val="14"/>
                <w:szCs w:val="20"/>
              </w:rPr>
              <w:t>RigNet</w:t>
            </w:r>
            <w:proofErr w:type="spellEnd"/>
            <w:r>
              <w:rPr>
                <w:rFonts w:ascii="ITC Avant Garde" w:hAnsi="ITC Avant Garde"/>
                <w:bCs/>
                <w:color w:val="000000"/>
                <w:sz w:val="14"/>
                <w:szCs w:val="20"/>
              </w:rPr>
              <w:t xml:space="preserve"> de México, S. de R.L. de C.V.</w:t>
            </w:r>
          </w:p>
        </w:tc>
        <w:tc>
          <w:tcPr>
            <w:tcW w:w="1596" w:type="dxa"/>
          </w:tcPr>
          <w:p w14:paraId="586FF063" w14:textId="0D117A02" w:rsidR="00FD7685" w:rsidRPr="0053565F" w:rsidRDefault="00FD7685" w:rsidP="00882869">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bCs/>
                <w:color w:val="000000"/>
                <w:sz w:val="14"/>
                <w:szCs w:val="20"/>
              </w:rPr>
            </w:pPr>
            <w:r>
              <w:rPr>
                <w:rFonts w:ascii="ITC Avant Garde" w:hAnsi="ITC Avant Garde"/>
                <w:bCs/>
                <w:color w:val="000000"/>
                <w:sz w:val="14"/>
                <w:szCs w:val="20"/>
              </w:rPr>
              <w:t>183,909,999</w:t>
            </w:r>
          </w:p>
        </w:tc>
        <w:tc>
          <w:tcPr>
            <w:cnfStyle w:val="000010000000" w:firstRow="0" w:lastRow="0" w:firstColumn="0" w:lastColumn="0" w:oddVBand="1" w:evenVBand="0" w:oddHBand="0" w:evenHBand="0" w:firstRowFirstColumn="0" w:firstRowLastColumn="0" w:lastRowFirstColumn="0" w:lastRowLastColumn="0"/>
            <w:tcW w:w="2075" w:type="dxa"/>
          </w:tcPr>
          <w:p w14:paraId="388362C1" w14:textId="0B36D679" w:rsidR="00FD7685" w:rsidRPr="0053565F" w:rsidRDefault="00FD7685" w:rsidP="00882869">
            <w:pPr>
              <w:autoSpaceDE w:val="0"/>
              <w:autoSpaceDN w:val="0"/>
              <w:adjustRightInd w:val="0"/>
              <w:spacing w:after="0" w:line="240" w:lineRule="auto"/>
              <w:jc w:val="center"/>
              <w:rPr>
                <w:rFonts w:ascii="ITC Avant Garde" w:hAnsi="ITC Avant Garde"/>
                <w:bCs/>
                <w:color w:val="000000"/>
                <w:sz w:val="14"/>
                <w:szCs w:val="20"/>
              </w:rPr>
            </w:pPr>
            <w:r w:rsidRPr="0053565F">
              <w:rPr>
                <w:rFonts w:ascii="ITC Avant Garde" w:hAnsi="ITC Avant Garde"/>
                <w:bCs/>
                <w:color w:val="000000"/>
                <w:sz w:val="14"/>
                <w:szCs w:val="20"/>
              </w:rPr>
              <w:t>99</w:t>
            </w:r>
            <w:r>
              <w:rPr>
                <w:rFonts w:ascii="ITC Avant Garde" w:hAnsi="ITC Avant Garde"/>
                <w:bCs/>
                <w:color w:val="000000"/>
                <w:sz w:val="14"/>
                <w:szCs w:val="20"/>
              </w:rPr>
              <w:t>.999</w:t>
            </w:r>
            <w:r w:rsidRPr="0053565F">
              <w:rPr>
                <w:rFonts w:ascii="ITC Avant Garde" w:hAnsi="ITC Avant Garde"/>
                <w:bCs/>
                <w:color w:val="000000"/>
                <w:sz w:val="14"/>
                <w:szCs w:val="20"/>
              </w:rPr>
              <w:t>%</w:t>
            </w:r>
          </w:p>
        </w:tc>
      </w:tr>
      <w:tr w:rsidR="00FD7685" w:rsidRPr="005A1661" w14:paraId="0E71C378" w14:textId="77777777" w:rsidTr="00051BC9">
        <w:trPr>
          <w:trHeight w:val="356"/>
          <w:jc w:val="center"/>
        </w:trPr>
        <w:tc>
          <w:tcPr>
            <w:cnfStyle w:val="000010000000" w:firstRow="0" w:lastRow="0" w:firstColumn="0" w:lastColumn="0" w:oddVBand="1" w:evenVBand="0" w:oddHBand="0" w:evenHBand="0" w:firstRowFirstColumn="0" w:firstRowLastColumn="0" w:lastRowFirstColumn="0" w:lastRowLastColumn="0"/>
            <w:tcW w:w="2626" w:type="dxa"/>
          </w:tcPr>
          <w:p w14:paraId="262FA712" w14:textId="277A2C52" w:rsidR="00FD7685" w:rsidRPr="0053565F" w:rsidRDefault="00FD7685" w:rsidP="00882869">
            <w:pPr>
              <w:autoSpaceDE w:val="0"/>
              <w:autoSpaceDN w:val="0"/>
              <w:adjustRightInd w:val="0"/>
              <w:spacing w:after="0" w:line="240" w:lineRule="auto"/>
              <w:rPr>
                <w:rFonts w:ascii="ITC Avant Garde" w:hAnsi="ITC Avant Garde"/>
                <w:bCs/>
                <w:color w:val="000000"/>
                <w:sz w:val="14"/>
                <w:szCs w:val="20"/>
              </w:rPr>
            </w:pPr>
            <w:r>
              <w:rPr>
                <w:rFonts w:ascii="ITC Avant Garde" w:hAnsi="ITC Avant Garde"/>
                <w:bCs/>
                <w:color w:val="000000"/>
                <w:sz w:val="14"/>
                <w:szCs w:val="20"/>
              </w:rPr>
              <w:t>RNSAT Servicios de México, S. de R.L. de C.V.</w:t>
            </w:r>
          </w:p>
        </w:tc>
        <w:tc>
          <w:tcPr>
            <w:tcW w:w="1596" w:type="dxa"/>
          </w:tcPr>
          <w:p w14:paraId="0D2911FE" w14:textId="7E25CD8B" w:rsidR="00FD7685" w:rsidRPr="0053565F" w:rsidRDefault="00FD7685" w:rsidP="00882869">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bCs/>
                <w:color w:val="000000"/>
                <w:sz w:val="14"/>
                <w:szCs w:val="20"/>
              </w:rPr>
            </w:pPr>
            <w:r>
              <w:rPr>
                <w:rFonts w:ascii="ITC Avant Garde" w:hAnsi="ITC Avant Garde"/>
                <w:bCs/>
                <w:color w:val="000000"/>
                <w:sz w:val="14"/>
                <w:szCs w:val="20"/>
              </w:rPr>
              <w:t>1</w:t>
            </w:r>
          </w:p>
        </w:tc>
        <w:tc>
          <w:tcPr>
            <w:cnfStyle w:val="000010000000" w:firstRow="0" w:lastRow="0" w:firstColumn="0" w:lastColumn="0" w:oddVBand="1" w:evenVBand="0" w:oddHBand="0" w:evenHBand="0" w:firstRowFirstColumn="0" w:firstRowLastColumn="0" w:lastRowFirstColumn="0" w:lastRowLastColumn="0"/>
            <w:tcW w:w="2075" w:type="dxa"/>
          </w:tcPr>
          <w:p w14:paraId="5C323D97" w14:textId="61E269EE" w:rsidR="00FD7685" w:rsidRPr="0053565F" w:rsidRDefault="00FD7685" w:rsidP="00882869">
            <w:pPr>
              <w:autoSpaceDE w:val="0"/>
              <w:autoSpaceDN w:val="0"/>
              <w:adjustRightInd w:val="0"/>
              <w:spacing w:after="0" w:line="240" w:lineRule="auto"/>
              <w:jc w:val="center"/>
              <w:rPr>
                <w:rFonts w:ascii="ITC Avant Garde" w:hAnsi="ITC Avant Garde"/>
                <w:bCs/>
                <w:color w:val="000000"/>
                <w:sz w:val="14"/>
                <w:szCs w:val="20"/>
              </w:rPr>
            </w:pPr>
            <w:r>
              <w:rPr>
                <w:rFonts w:ascii="ITC Avant Garde" w:hAnsi="ITC Avant Garde"/>
                <w:bCs/>
                <w:color w:val="000000"/>
                <w:sz w:val="14"/>
                <w:szCs w:val="20"/>
              </w:rPr>
              <w:t>0.00</w:t>
            </w:r>
            <w:r w:rsidRPr="0053565F">
              <w:rPr>
                <w:rFonts w:ascii="ITC Avant Garde" w:hAnsi="ITC Avant Garde"/>
                <w:bCs/>
                <w:color w:val="000000"/>
                <w:sz w:val="14"/>
                <w:szCs w:val="20"/>
              </w:rPr>
              <w:t>1%</w:t>
            </w:r>
          </w:p>
        </w:tc>
      </w:tr>
      <w:tr w:rsidR="00FD7685" w:rsidRPr="005A1661" w14:paraId="0F220921" w14:textId="77777777" w:rsidTr="00051BC9">
        <w:trPr>
          <w:cnfStyle w:val="000000100000" w:firstRow="0" w:lastRow="0" w:firstColumn="0" w:lastColumn="0" w:oddVBand="0" w:evenVBand="0" w:oddHBand="1" w:evenHBand="0" w:firstRowFirstColumn="0" w:firstRowLastColumn="0" w:lastRowFirstColumn="0" w:lastRowLastColumn="0"/>
          <w:trHeight w:val="291"/>
          <w:jc w:val="center"/>
        </w:trPr>
        <w:tc>
          <w:tcPr>
            <w:cnfStyle w:val="000010000000" w:firstRow="0" w:lastRow="0" w:firstColumn="0" w:lastColumn="0" w:oddVBand="1" w:evenVBand="0" w:oddHBand="0" w:evenHBand="0" w:firstRowFirstColumn="0" w:firstRowLastColumn="0" w:lastRowFirstColumn="0" w:lastRowLastColumn="0"/>
            <w:tcW w:w="2626" w:type="dxa"/>
          </w:tcPr>
          <w:p w14:paraId="3D647E81" w14:textId="77777777" w:rsidR="00FD7685" w:rsidRPr="0053565F" w:rsidRDefault="00FD7685" w:rsidP="00882869">
            <w:pPr>
              <w:autoSpaceDE w:val="0"/>
              <w:autoSpaceDN w:val="0"/>
              <w:adjustRightInd w:val="0"/>
              <w:spacing w:after="0" w:line="240" w:lineRule="auto"/>
              <w:jc w:val="center"/>
              <w:rPr>
                <w:rFonts w:ascii="ITC Avant Garde" w:hAnsi="ITC Avant Garde"/>
                <w:b/>
                <w:bCs/>
                <w:color w:val="000000"/>
                <w:sz w:val="14"/>
                <w:szCs w:val="20"/>
              </w:rPr>
            </w:pPr>
            <w:r w:rsidRPr="0053565F">
              <w:rPr>
                <w:rFonts w:ascii="ITC Avant Garde" w:hAnsi="ITC Avant Garde"/>
                <w:b/>
                <w:bCs/>
                <w:color w:val="000000"/>
                <w:sz w:val="14"/>
                <w:szCs w:val="20"/>
              </w:rPr>
              <w:t>Total</w:t>
            </w:r>
          </w:p>
        </w:tc>
        <w:tc>
          <w:tcPr>
            <w:tcW w:w="1596" w:type="dxa"/>
          </w:tcPr>
          <w:p w14:paraId="5355DF46" w14:textId="171C3E7E" w:rsidR="00FD7685" w:rsidRPr="0053565F" w:rsidRDefault="00FD7685" w:rsidP="00882869">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b/>
                <w:bCs/>
                <w:color w:val="000000"/>
                <w:sz w:val="14"/>
                <w:szCs w:val="20"/>
              </w:rPr>
            </w:pPr>
            <w:r>
              <w:rPr>
                <w:rFonts w:ascii="ITC Avant Garde" w:hAnsi="ITC Avant Garde"/>
                <w:b/>
                <w:bCs/>
                <w:color w:val="000000"/>
                <w:sz w:val="14"/>
                <w:szCs w:val="20"/>
              </w:rPr>
              <w:t>183,910</w:t>
            </w:r>
            <w:r w:rsidR="00DE5741">
              <w:rPr>
                <w:rFonts w:ascii="ITC Avant Garde" w:hAnsi="ITC Avant Garde"/>
                <w:b/>
                <w:bCs/>
                <w:color w:val="000000"/>
                <w:sz w:val="14"/>
                <w:szCs w:val="20"/>
              </w:rPr>
              <w:t>,</w:t>
            </w:r>
            <w:r>
              <w:rPr>
                <w:rFonts w:ascii="ITC Avant Garde" w:hAnsi="ITC Avant Garde"/>
                <w:b/>
                <w:bCs/>
                <w:color w:val="000000"/>
                <w:sz w:val="14"/>
                <w:szCs w:val="20"/>
              </w:rPr>
              <w:t>000</w:t>
            </w:r>
          </w:p>
        </w:tc>
        <w:tc>
          <w:tcPr>
            <w:cnfStyle w:val="000010000000" w:firstRow="0" w:lastRow="0" w:firstColumn="0" w:lastColumn="0" w:oddVBand="1" w:evenVBand="0" w:oddHBand="0" w:evenHBand="0" w:firstRowFirstColumn="0" w:firstRowLastColumn="0" w:lastRowFirstColumn="0" w:lastRowLastColumn="0"/>
            <w:tcW w:w="2075" w:type="dxa"/>
          </w:tcPr>
          <w:p w14:paraId="1D9C457A" w14:textId="52E09DE2" w:rsidR="00FD7685" w:rsidRPr="0053565F" w:rsidRDefault="00FD7685" w:rsidP="00882869">
            <w:pPr>
              <w:autoSpaceDE w:val="0"/>
              <w:autoSpaceDN w:val="0"/>
              <w:adjustRightInd w:val="0"/>
              <w:spacing w:after="0" w:line="240" w:lineRule="auto"/>
              <w:jc w:val="center"/>
              <w:rPr>
                <w:rFonts w:ascii="ITC Avant Garde" w:hAnsi="ITC Avant Garde"/>
                <w:b/>
                <w:bCs/>
                <w:color w:val="000000"/>
                <w:sz w:val="14"/>
                <w:szCs w:val="20"/>
              </w:rPr>
            </w:pPr>
            <w:r w:rsidRPr="0053565F">
              <w:rPr>
                <w:rFonts w:ascii="ITC Avant Garde" w:hAnsi="ITC Avant Garde"/>
                <w:b/>
                <w:bCs/>
                <w:color w:val="000000"/>
                <w:sz w:val="14"/>
                <w:szCs w:val="20"/>
              </w:rPr>
              <w:t>100%</w:t>
            </w:r>
          </w:p>
        </w:tc>
      </w:tr>
    </w:tbl>
    <w:p w14:paraId="3194D9C0" w14:textId="77777777" w:rsidR="00051BC9" w:rsidRDefault="00051BC9" w:rsidP="006F1784">
      <w:pPr>
        <w:autoSpaceDE w:val="0"/>
        <w:autoSpaceDN w:val="0"/>
        <w:adjustRightInd w:val="0"/>
        <w:spacing w:after="0" w:line="240" w:lineRule="auto"/>
        <w:jc w:val="both"/>
        <w:rPr>
          <w:rFonts w:ascii="ITC Avant Garde" w:hAnsi="ITC Avant Garde"/>
          <w:bCs/>
          <w:sz w:val="23"/>
          <w:szCs w:val="23"/>
        </w:rPr>
      </w:pPr>
    </w:p>
    <w:p w14:paraId="77BDBECC" w14:textId="1540900E" w:rsidR="00476447" w:rsidRPr="004C1528" w:rsidRDefault="00C06E77" w:rsidP="006F1784">
      <w:pPr>
        <w:autoSpaceDE w:val="0"/>
        <w:autoSpaceDN w:val="0"/>
        <w:adjustRightInd w:val="0"/>
        <w:spacing w:after="0" w:line="240" w:lineRule="auto"/>
        <w:jc w:val="both"/>
        <w:rPr>
          <w:rFonts w:ascii="ITC Avant Garde" w:hAnsi="ITC Avant Garde"/>
          <w:bCs/>
          <w:sz w:val="23"/>
          <w:szCs w:val="23"/>
        </w:rPr>
      </w:pPr>
      <w:r>
        <w:rPr>
          <w:rFonts w:ascii="ITC Avant Garde" w:hAnsi="ITC Avant Garde"/>
          <w:bCs/>
          <w:sz w:val="23"/>
          <w:szCs w:val="23"/>
        </w:rPr>
        <w:t>Por otra parte</w:t>
      </w:r>
      <w:r w:rsidR="004D43D6" w:rsidRPr="004C1528">
        <w:rPr>
          <w:rFonts w:ascii="ITC Avant Garde" w:hAnsi="ITC Avant Garde"/>
          <w:bCs/>
          <w:sz w:val="23"/>
          <w:szCs w:val="23"/>
        </w:rPr>
        <w:t xml:space="preserve">, la Dirección General de Concentraciones y Concesiones, adscrita a la Unidad de Competencia Económica, </w:t>
      </w:r>
      <w:r>
        <w:rPr>
          <w:rFonts w:ascii="ITC Avant Garde" w:hAnsi="ITC Avant Garde"/>
          <w:bCs/>
          <w:sz w:val="23"/>
          <w:szCs w:val="23"/>
        </w:rPr>
        <w:t>emitió</w:t>
      </w:r>
      <w:r w:rsidR="0058647F">
        <w:rPr>
          <w:rFonts w:ascii="ITC Avant Garde" w:hAnsi="ITC Avant Garde"/>
          <w:bCs/>
          <w:sz w:val="23"/>
          <w:szCs w:val="23"/>
        </w:rPr>
        <w:t xml:space="preserve"> opinión</w:t>
      </w:r>
      <w:r w:rsidR="004D43D6" w:rsidRPr="004C1528">
        <w:rPr>
          <w:rFonts w:ascii="ITC Avant Garde" w:hAnsi="ITC Avant Garde"/>
          <w:bCs/>
          <w:sz w:val="23"/>
          <w:szCs w:val="23"/>
        </w:rPr>
        <w:t xml:space="preserve"> respecto </w:t>
      </w:r>
      <w:r>
        <w:rPr>
          <w:rFonts w:ascii="ITC Avant Garde" w:hAnsi="ITC Avant Garde"/>
          <w:bCs/>
          <w:sz w:val="23"/>
          <w:szCs w:val="23"/>
        </w:rPr>
        <w:t>de la Solicitud de Enajenación de Acciones</w:t>
      </w:r>
      <w:r w:rsidR="004D43D6" w:rsidRPr="004C1528">
        <w:rPr>
          <w:rFonts w:ascii="ITC Avant Garde" w:hAnsi="ITC Avant Garde"/>
          <w:bCs/>
          <w:sz w:val="23"/>
          <w:szCs w:val="23"/>
        </w:rPr>
        <w:t xml:space="preserve">, </w:t>
      </w:r>
      <w:r w:rsidR="0058647F">
        <w:rPr>
          <w:rFonts w:ascii="ITC Avant Garde" w:hAnsi="ITC Avant Garde"/>
          <w:bCs/>
          <w:sz w:val="23"/>
          <w:szCs w:val="23"/>
        </w:rPr>
        <w:t xml:space="preserve">señalando </w:t>
      </w:r>
      <w:r w:rsidR="004D43D6" w:rsidRPr="004C1528">
        <w:rPr>
          <w:rFonts w:ascii="ITC Avant Garde" w:hAnsi="ITC Avant Garde"/>
          <w:bCs/>
          <w:sz w:val="23"/>
          <w:szCs w:val="23"/>
        </w:rPr>
        <w:t>entre otras cosas, lo siguiente:</w:t>
      </w:r>
    </w:p>
    <w:p w14:paraId="6501238D" w14:textId="77777777" w:rsidR="00476447" w:rsidRDefault="00476447" w:rsidP="00882869">
      <w:pPr>
        <w:autoSpaceDE w:val="0"/>
        <w:autoSpaceDN w:val="0"/>
        <w:adjustRightInd w:val="0"/>
        <w:spacing w:after="40" w:line="240" w:lineRule="auto"/>
        <w:ind w:left="1134" w:right="612"/>
        <w:jc w:val="both"/>
        <w:rPr>
          <w:rFonts w:ascii="ITC Avant Garde" w:hAnsi="ITC Avant Garde"/>
          <w:bCs/>
          <w:sz w:val="23"/>
          <w:szCs w:val="23"/>
        </w:rPr>
      </w:pPr>
    </w:p>
    <w:p w14:paraId="208DAEB3" w14:textId="35FF9E50" w:rsidR="00010FB7" w:rsidRDefault="00010FB7" w:rsidP="00882869">
      <w:pPr>
        <w:autoSpaceDE w:val="0"/>
        <w:autoSpaceDN w:val="0"/>
        <w:adjustRightInd w:val="0"/>
        <w:spacing w:after="40" w:line="240" w:lineRule="auto"/>
        <w:ind w:left="1134" w:right="612"/>
        <w:jc w:val="both"/>
        <w:rPr>
          <w:rFonts w:ascii="ITC Avant Garde" w:hAnsi="ITC Avant Garde"/>
          <w:bCs/>
          <w:i/>
          <w:sz w:val="18"/>
          <w:szCs w:val="18"/>
        </w:rPr>
      </w:pPr>
      <w:r>
        <w:rPr>
          <w:rFonts w:ascii="ITC Avant Garde" w:hAnsi="ITC Avant Garde"/>
          <w:bCs/>
          <w:i/>
          <w:sz w:val="18"/>
          <w:szCs w:val="18"/>
        </w:rPr>
        <w:t xml:space="preserve">“Con base en la información disponible para este Instituto, se concluye que la enajenación de acciones de Orgtec, S.A.P.I. de C.V., propiedad de la empresa Grupo </w:t>
      </w:r>
      <w:proofErr w:type="spellStart"/>
      <w:r>
        <w:rPr>
          <w:rFonts w:ascii="ITC Avant Garde" w:hAnsi="ITC Avant Garde"/>
          <w:bCs/>
          <w:i/>
          <w:sz w:val="18"/>
          <w:szCs w:val="18"/>
        </w:rPr>
        <w:t>Gentux</w:t>
      </w:r>
      <w:proofErr w:type="spellEnd"/>
      <w:r>
        <w:rPr>
          <w:rFonts w:ascii="ITC Avant Garde" w:hAnsi="ITC Avant Garde"/>
          <w:bCs/>
          <w:i/>
          <w:sz w:val="18"/>
          <w:szCs w:val="18"/>
        </w:rPr>
        <w:t xml:space="preserve">, S.A.P.I. de C.V. y del C. Noel Abel Delgado Montañez, a favor de </w:t>
      </w:r>
      <w:proofErr w:type="spellStart"/>
      <w:r>
        <w:rPr>
          <w:rFonts w:ascii="ITC Avant Garde" w:hAnsi="ITC Avant Garde"/>
          <w:bCs/>
          <w:i/>
          <w:sz w:val="18"/>
          <w:szCs w:val="18"/>
        </w:rPr>
        <w:t>RigNet</w:t>
      </w:r>
      <w:proofErr w:type="spellEnd"/>
      <w:r>
        <w:rPr>
          <w:rFonts w:ascii="ITC Avant Garde" w:hAnsi="ITC Avant Garde"/>
          <w:bCs/>
          <w:i/>
          <w:sz w:val="18"/>
          <w:szCs w:val="18"/>
        </w:rPr>
        <w:t xml:space="preserve"> de México, S. de R.L. de C.V. y de RNSAT Servicios de México, S. de R.L., previsiblemente no tendría efectos contrarios al proceso de competencia económica. Ello en virtud de que no se identifica que los Adquirientes, sus accionistas y personas relacionadas sean titulares o participen directa o indirectamente en concesionarias o permisionarias de telecomunicaciones y/o de radiodifusión en México.</w:t>
      </w:r>
    </w:p>
    <w:p w14:paraId="2A6945D2" w14:textId="05BB2856" w:rsidR="00010FB7" w:rsidRDefault="00010FB7" w:rsidP="00882869">
      <w:pPr>
        <w:autoSpaceDE w:val="0"/>
        <w:autoSpaceDN w:val="0"/>
        <w:adjustRightInd w:val="0"/>
        <w:spacing w:after="40" w:line="240" w:lineRule="auto"/>
        <w:ind w:left="1134" w:right="612"/>
        <w:jc w:val="both"/>
        <w:rPr>
          <w:rFonts w:ascii="ITC Avant Garde" w:hAnsi="ITC Avant Garde"/>
          <w:bCs/>
          <w:i/>
          <w:sz w:val="18"/>
          <w:szCs w:val="18"/>
        </w:rPr>
      </w:pPr>
      <w:r>
        <w:rPr>
          <w:rFonts w:ascii="ITC Avant Garde" w:hAnsi="ITC Avant Garde"/>
          <w:bCs/>
          <w:i/>
          <w:sz w:val="18"/>
          <w:szCs w:val="18"/>
        </w:rPr>
        <w:t xml:space="preserve">Asimismo, </w:t>
      </w:r>
      <w:proofErr w:type="spellStart"/>
      <w:r>
        <w:rPr>
          <w:rFonts w:ascii="ITC Avant Garde" w:hAnsi="ITC Avant Garde"/>
          <w:bCs/>
          <w:i/>
          <w:sz w:val="18"/>
          <w:szCs w:val="18"/>
        </w:rPr>
        <w:t>RigNet</w:t>
      </w:r>
      <w:proofErr w:type="spellEnd"/>
      <w:r>
        <w:rPr>
          <w:rFonts w:ascii="ITC Avant Garde" w:hAnsi="ITC Avant Garde"/>
          <w:bCs/>
          <w:i/>
          <w:sz w:val="18"/>
          <w:szCs w:val="18"/>
        </w:rPr>
        <w:t xml:space="preserve"> de México, S. de R.L. de C.V. está tramitando una solicitud de concesión única con la que tiene la intención de prestar servicios de telecomunicaciones que se dirigen a la industria del petróleo y el gas; durante las fases de exploración, producción y entrega de petróleo y gas natural. Or</w:t>
      </w:r>
      <w:r w:rsidR="00F16161">
        <w:rPr>
          <w:rFonts w:ascii="ITC Avant Garde" w:hAnsi="ITC Avant Garde"/>
          <w:bCs/>
          <w:i/>
          <w:sz w:val="18"/>
          <w:szCs w:val="18"/>
        </w:rPr>
        <w:t>g</w:t>
      </w:r>
      <w:r>
        <w:rPr>
          <w:rFonts w:ascii="ITC Avant Garde" w:hAnsi="ITC Avant Garde"/>
          <w:bCs/>
          <w:i/>
          <w:sz w:val="18"/>
          <w:szCs w:val="18"/>
        </w:rPr>
        <w:t>te</w:t>
      </w:r>
      <w:r w:rsidR="00F16161">
        <w:rPr>
          <w:rFonts w:ascii="ITC Avant Garde" w:hAnsi="ITC Avant Garde"/>
          <w:bCs/>
          <w:i/>
          <w:sz w:val="18"/>
          <w:szCs w:val="18"/>
        </w:rPr>
        <w:t>c</w:t>
      </w:r>
      <w:r>
        <w:rPr>
          <w:rFonts w:ascii="ITC Avant Garde" w:hAnsi="ITC Avant Garde"/>
          <w:bCs/>
          <w:i/>
          <w:sz w:val="18"/>
          <w:szCs w:val="18"/>
        </w:rPr>
        <w:t xml:space="preserve"> presta servicios de radiolocalización especializada de flotillas y radiolocalización de vehículos que no coinciden con el servicio que pretende prestar </w:t>
      </w:r>
      <w:proofErr w:type="spellStart"/>
      <w:r>
        <w:rPr>
          <w:rFonts w:ascii="ITC Avant Garde" w:hAnsi="ITC Avant Garde"/>
          <w:bCs/>
          <w:i/>
          <w:sz w:val="18"/>
          <w:szCs w:val="18"/>
        </w:rPr>
        <w:t>RigNet</w:t>
      </w:r>
      <w:proofErr w:type="spellEnd"/>
      <w:r>
        <w:rPr>
          <w:rFonts w:ascii="ITC Avant Garde" w:hAnsi="ITC Avant Garde"/>
          <w:bCs/>
          <w:i/>
          <w:sz w:val="18"/>
          <w:szCs w:val="18"/>
        </w:rPr>
        <w:t xml:space="preserve"> de México, S. de R.L. de C.V.</w:t>
      </w:r>
      <w:r w:rsidR="00452045">
        <w:rPr>
          <w:rFonts w:ascii="ITC Avant Garde" w:hAnsi="ITC Avant Garde"/>
          <w:bCs/>
          <w:i/>
          <w:sz w:val="18"/>
          <w:szCs w:val="18"/>
        </w:rPr>
        <w:t xml:space="preserve"> Como consecuencia de la Operación, </w:t>
      </w:r>
      <w:proofErr w:type="spellStart"/>
      <w:r w:rsidR="00452045">
        <w:rPr>
          <w:rFonts w:ascii="ITC Avant Garde" w:hAnsi="ITC Avant Garde"/>
          <w:bCs/>
          <w:i/>
          <w:sz w:val="18"/>
          <w:szCs w:val="18"/>
        </w:rPr>
        <w:t>Rignet</w:t>
      </w:r>
      <w:proofErr w:type="spellEnd"/>
      <w:r w:rsidR="00452045">
        <w:rPr>
          <w:rFonts w:ascii="ITC Avant Garde" w:hAnsi="ITC Avant Garde"/>
          <w:bCs/>
          <w:i/>
          <w:sz w:val="18"/>
          <w:szCs w:val="18"/>
        </w:rPr>
        <w:t xml:space="preserve">, Inc. </w:t>
      </w:r>
      <w:r w:rsidR="0030593F">
        <w:rPr>
          <w:rFonts w:ascii="ITC Avant Garde" w:hAnsi="ITC Avant Garde"/>
          <w:bCs/>
          <w:i/>
          <w:sz w:val="18"/>
          <w:szCs w:val="18"/>
        </w:rPr>
        <w:t>p</w:t>
      </w:r>
      <w:r w:rsidR="00452045">
        <w:rPr>
          <w:rFonts w:ascii="ITC Avant Garde" w:hAnsi="ITC Avant Garde"/>
          <w:bCs/>
          <w:i/>
          <w:sz w:val="18"/>
          <w:szCs w:val="18"/>
        </w:rPr>
        <w:t>articipará por primera vez en los negocios de Or</w:t>
      </w:r>
      <w:r w:rsidR="00F16161">
        <w:rPr>
          <w:rFonts w:ascii="ITC Avant Garde" w:hAnsi="ITC Avant Garde"/>
          <w:bCs/>
          <w:i/>
          <w:sz w:val="18"/>
          <w:szCs w:val="18"/>
        </w:rPr>
        <w:t>g</w:t>
      </w:r>
      <w:r w:rsidR="00452045">
        <w:rPr>
          <w:rFonts w:ascii="ITC Avant Garde" w:hAnsi="ITC Avant Garde"/>
          <w:bCs/>
          <w:i/>
          <w:sz w:val="18"/>
          <w:szCs w:val="18"/>
        </w:rPr>
        <w:t>te</w:t>
      </w:r>
      <w:r w:rsidR="00F16161">
        <w:rPr>
          <w:rFonts w:ascii="ITC Avant Garde" w:hAnsi="ITC Avant Garde"/>
          <w:bCs/>
          <w:i/>
          <w:sz w:val="18"/>
          <w:szCs w:val="18"/>
        </w:rPr>
        <w:t>c</w:t>
      </w:r>
      <w:r w:rsidR="00452045">
        <w:rPr>
          <w:rFonts w:ascii="ITC Avant Garde" w:hAnsi="ITC Avant Garde"/>
          <w:bCs/>
          <w:i/>
          <w:sz w:val="18"/>
          <w:szCs w:val="18"/>
        </w:rPr>
        <w:t xml:space="preserve"> en México.</w:t>
      </w:r>
    </w:p>
    <w:p w14:paraId="4054C2AD" w14:textId="0CC2E0DD" w:rsidR="00452045" w:rsidRPr="00010FB7" w:rsidRDefault="00452045" w:rsidP="00882869">
      <w:pPr>
        <w:autoSpaceDE w:val="0"/>
        <w:autoSpaceDN w:val="0"/>
        <w:adjustRightInd w:val="0"/>
        <w:spacing w:after="40" w:line="240" w:lineRule="auto"/>
        <w:ind w:left="1134" w:right="612"/>
        <w:jc w:val="both"/>
        <w:rPr>
          <w:rFonts w:ascii="ITC Avant Garde" w:hAnsi="ITC Avant Garde"/>
          <w:bCs/>
          <w:i/>
          <w:sz w:val="18"/>
          <w:szCs w:val="18"/>
        </w:rPr>
      </w:pPr>
      <w:r>
        <w:rPr>
          <w:rFonts w:ascii="ITC Avant Garde" w:hAnsi="ITC Avant Garde"/>
          <w:bCs/>
          <w:i/>
          <w:sz w:val="18"/>
          <w:szCs w:val="18"/>
        </w:rPr>
        <w:t xml:space="preserve">En consecuencia de lo anterior, previsiblemente, la Operación no conlleva una modificación a la estructura de los mercados en la </w:t>
      </w:r>
      <w:r w:rsidR="00164246">
        <w:rPr>
          <w:rFonts w:ascii="ITC Avant Garde" w:hAnsi="ITC Avant Garde"/>
          <w:bCs/>
          <w:i/>
          <w:sz w:val="18"/>
          <w:szCs w:val="18"/>
        </w:rPr>
        <w:t>prestación de servicios en el sector de telecomunicaciones, por lo cual no se identifican riesgos al proceso de competencia económica y libre concurrencia.”</w:t>
      </w:r>
    </w:p>
    <w:p w14:paraId="7673D29B" w14:textId="61CCD9CD" w:rsidR="00010FB7" w:rsidRPr="006F1784" w:rsidRDefault="005717F6" w:rsidP="00882869">
      <w:pPr>
        <w:autoSpaceDE w:val="0"/>
        <w:autoSpaceDN w:val="0"/>
        <w:adjustRightInd w:val="0"/>
        <w:spacing w:after="240" w:line="240" w:lineRule="auto"/>
        <w:ind w:left="1134" w:right="612"/>
        <w:jc w:val="right"/>
        <w:rPr>
          <w:rFonts w:ascii="ITC Avant Garde" w:hAnsi="ITC Avant Garde"/>
          <w:bCs/>
          <w:sz w:val="18"/>
          <w:szCs w:val="18"/>
        </w:rPr>
      </w:pPr>
      <w:r w:rsidRPr="006F1784">
        <w:rPr>
          <w:rFonts w:ascii="ITC Avant Garde" w:hAnsi="ITC Avant Garde"/>
          <w:bCs/>
          <w:sz w:val="18"/>
          <w:szCs w:val="18"/>
        </w:rPr>
        <w:t>(Sic.)</w:t>
      </w:r>
    </w:p>
    <w:p w14:paraId="2DEBA363" w14:textId="77777777" w:rsidR="006F1784" w:rsidRDefault="006F1784" w:rsidP="00882869">
      <w:pPr>
        <w:autoSpaceDE w:val="0"/>
        <w:autoSpaceDN w:val="0"/>
        <w:adjustRightInd w:val="0"/>
        <w:spacing w:line="240" w:lineRule="auto"/>
        <w:jc w:val="both"/>
        <w:rPr>
          <w:rFonts w:ascii="ITC Avant Garde" w:hAnsi="ITC Avant Garde"/>
          <w:bCs/>
          <w:sz w:val="23"/>
          <w:szCs w:val="23"/>
        </w:rPr>
      </w:pPr>
    </w:p>
    <w:p w14:paraId="5F43765D" w14:textId="5245BDDD" w:rsidR="00655179" w:rsidRDefault="00655179" w:rsidP="00882869">
      <w:pPr>
        <w:autoSpaceDE w:val="0"/>
        <w:autoSpaceDN w:val="0"/>
        <w:adjustRightInd w:val="0"/>
        <w:spacing w:line="240" w:lineRule="auto"/>
        <w:jc w:val="both"/>
        <w:rPr>
          <w:rFonts w:ascii="ITC Avant Garde" w:hAnsi="ITC Avant Garde"/>
          <w:bCs/>
          <w:sz w:val="23"/>
          <w:szCs w:val="23"/>
        </w:rPr>
      </w:pPr>
      <w:r w:rsidRPr="00E859C2">
        <w:rPr>
          <w:rFonts w:ascii="ITC Avant Garde" w:hAnsi="ITC Avant Garde"/>
          <w:bCs/>
          <w:sz w:val="23"/>
          <w:szCs w:val="23"/>
        </w:rPr>
        <w:t xml:space="preserve">Por otra parte, </w:t>
      </w:r>
      <w:r w:rsidR="00702F7A" w:rsidRPr="000645F4">
        <w:rPr>
          <w:rFonts w:ascii="ITC Avant Garde" w:hAnsi="ITC Avant Garde"/>
          <w:bCs/>
          <w:sz w:val="23"/>
          <w:szCs w:val="23"/>
          <w:lang w:val="es-ES" w:eastAsia="es-ES"/>
        </w:rPr>
        <w:t>Orgtec, S.A.P.I. de C.V.</w:t>
      </w:r>
      <w:r w:rsidR="00E40139" w:rsidRPr="004C1528">
        <w:rPr>
          <w:rFonts w:ascii="ITC Avant Garde" w:hAnsi="ITC Avant Garde"/>
          <w:bCs/>
          <w:sz w:val="23"/>
          <w:szCs w:val="23"/>
        </w:rPr>
        <w:t>,</w:t>
      </w:r>
      <w:r w:rsidR="007961CB" w:rsidRPr="004C1528">
        <w:rPr>
          <w:rFonts w:ascii="ITC Avant Garde" w:hAnsi="ITC Avant Garde"/>
          <w:bCs/>
          <w:sz w:val="23"/>
          <w:szCs w:val="23"/>
        </w:rPr>
        <w:t xml:space="preserve"> </w:t>
      </w:r>
      <w:r w:rsidRPr="00E859C2">
        <w:rPr>
          <w:rFonts w:ascii="ITC Avant Garde" w:hAnsi="ITC Avant Garde"/>
          <w:bCs/>
          <w:sz w:val="23"/>
          <w:szCs w:val="23"/>
        </w:rPr>
        <w:t>presentó comprobante de pago de derechos por concepto de estudio por el cambio en la titularidad de acciones o partes sociales y de aportaciones de capital social de sociedades mercantiles, de conformidad con lo establecido en el artículo 97 fracci</w:t>
      </w:r>
      <w:r w:rsidR="00F02BD3">
        <w:rPr>
          <w:rFonts w:ascii="ITC Avant Garde" w:hAnsi="ITC Avant Garde"/>
          <w:bCs/>
          <w:sz w:val="23"/>
          <w:szCs w:val="23"/>
        </w:rPr>
        <w:t>ón</w:t>
      </w:r>
      <w:r w:rsidRPr="00E859C2">
        <w:rPr>
          <w:rFonts w:ascii="ITC Avant Garde" w:hAnsi="ITC Avant Garde"/>
          <w:bCs/>
          <w:sz w:val="23"/>
          <w:szCs w:val="23"/>
        </w:rPr>
        <w:t xml:space="preserve"> VIII inciso a)</w:t>
      </w:r>
      <w:r w:rsidR="00F02BD3">
        <w:rPr>
          <w:rFonts w:ascii="ITC Avant Garde" w:hAnsi="ITC Avant Garde"/>
          <w:bCs/>
          <w:sz w:val="23"/>
          <w:szCs w:val="23"/>
        </w:rPr>
        <w:t xml:space="preserve"> de la Ley Federal de Derechos</w:t>
      </w:r>
      <w:r w:rsidR="005717F6">
        <w:rPr>
          <w:rFonts w:ascii="ITC Avant Garde" w:hAnsi="ITC Avant Garde"/>
          <w:bCs/>
          <w:sz w:val="23"/>
          <w:szCs w:val="23"/>
        </w:rPr>
        <w:t xml:space="preserve"> vigente a ese momento</w:t>
      </w:r>
      <w:r w:rsidRPr="00E859C2">
        <w:rPr>
          <w:rFonts w:ascii="ITC Avant Garde" w:hAnsi="ITC Avant Garde"/>
          <w:bCs/>
          <w:sz w:val="23"/>
          <w:szCs w:val="23"/>
        </w:rPr>
        <w:t>.</w:t>
      </w:r>
    </w:p>
    <w:p w14:paraId="25D314B8" w14:textId="16439179" w:rsidR="00CB20DF" w:rsidRPr="00700FD3" w:rsidRDefault="00CB20DF" w:rsidP="00882869">
      <w:pPr>
        <w:autoSpaceDE w:val="0"/>
        <w:autoSpaceDN w:val="0"/>
        <w:adjustRightInd w:val="0"/>
        <w:spacing w:line="240" w:lineRule="auto"/>
        <w:jc w:val="both"/>
        <w:rPr>
          <w:rFonts w:ascii="ITC Avant Garde" w:hAnsi="ITC Avant Garde"/>
          <w:bCs/>
          <w:sz w:val="23"/>
          <w:szCs w:val="23"/>
        </w:rPr>
      </w:pPr>
      <w:r w:rsidRPr="00700FD3">
        <w:rPr>
          <w:rFonts w:ascii="ITC Avant Garde" w:hAnsi="ITC Avant Garde"/>
          <w:bCs/>
          <w:sz w:val="23"/>
          <w:szCs w:val="23"/>
        </w:rPr>
        <w:lastRenderedPageBreak/>
        <w:t>Ahora bien, en relación con el tercer requisito de procedencia este Instituto mediante oficio IFT/223/UCS/</w:t>
      </w:r>
      <w:r w:rsidR="0055304D">
        <w:rPr>
          <w:rFonts w:ascii="ITC Avant Garde" w:hAnsi="ITC Avant Garde"/>
          <w:bCs/>
          <w:sz w:val="23"/>
          <w:szCs w:val="23"/>
        </w:rPr>
        <w:t>2607</w:t>
      </w:r>
      <w:r w:rsidRPr="00700FD3">
        <w:rPr>
          <w:rFonts w:ascii="ITC Avant Garde" w:hAnsi="ITC Avant Garde"/>
          <w:bCs/>
          <w:sz w:val="23"/>
          <w:szCs w:val="23"/>
        </w:rPr>
        <w:t xml:space="preserve">/2015 notificado el </w:t>
      </w:r>
      <w:r w:rsidR="0055304D">
        <w:rPr>
          <w:rFonts w:ascii="ITC Avant Garde" w:hAnsi="ITC Avant Garde"/>
          <w:bCs/>
          <w:sz w:val="23"/>
          <w:szCs w:val="23"/>
        </w:rPr>
        <w:t>2</w:t>
      </w:r>
      <w:r w:rsidRPr="00700FD3">
        <w:rPr>
          <w:rFonts w:ascii="ITC Avant Garde" w:hAnsi="ITC Avant Garde"/>
          <w:bCs/>
          <w:sz w:val="23"/>
          <w:szCs w:val="23"/>
        </w:rPr>
        <w:t xml:space="preserve"> de </w:t>
      </w:r>
      <w:r w:rsidR="0055304D">
        <w:rPr>
          <w:rFonts w:ascii="ITC Avant Garde" w:hAnsi="ITC Avant Garde"/>
          <w:bCs/>
          <w:sz w:val="23"/>
          <w:szCs w:val="23"/>
        </w:rPr>
        <w:t>diciembre</w:t>
      </w:r>
      <w:r w:rsidRPr="00700FD3">
        <w:rPr>
          <w:rFonts w:ascii="ITC Avant Garde" w:hAnsi="ITC Avant Garde"/>
          <w:bCs/>
          <w:sz w:val="23"/>
          <w:szCs w:val="23"/>
        </w:rPr>
        <w:t xml:space="preserve"> de 2015, solicitó a la Secretaría la opinión técnica respecto de la Solicitud de Enajenación de Acciones.</w:t>
      </w:r>
    </w:p>
    <w:p w14:paraId="2DCE8FF1" w14:textId="526B61AD" w:rsidR="00CB20DF" w:rsidRDefault="00CB20DF" w:rsidP="00882869">
      <w:pPr>
        <w:autoSpaceDE w:val="0"/>
        <w:autoSpaceDN w:val="0"/>
        <w:adjustRightInd w:val="0"/>
        <w:spacing w:line="240" w:lineRule="auto"/>
        <w:jc w:val="both"/>
        <w:rPr>
          <w:rFonts w:ascii="ITC Avant Garde" w:hAnsi="ITC Avant Garde"/>
          <w:bCs/>
          <w:sz w:val="23"/>
          <w:szCs w:val="23"/>
        </w:rPr>
      </w:pPr>
      <w:r w:rsidRPr="00700FD3">
        <w:rPr>
          <w:rFonts w:ascii="ITC Avant Garde" w:hAnsi="ITC Avant Garde"/>
          <w:bCs/>
          <w:sz w:val="23"/>
          <w:szCs w:val="23"/>
        </w:rPr>
        <w:t>En relación con lo anterior, y una vez transcurrido el plazo de 30 (treinta) días establecido en el párrafo décimo séptimo del artículo 28 de la Constitución, la Secretaría no emitió pronunciamiento alguno respecto de la Solicitud de Enajenación de Acciones, por lo que este Instituto</w:t>
      </w:r>
      <w:r w:rsidR="00897FD3">
        <w:rPr>
          <w:rFonts w:ascii="ITC Avant Garde" w:hAnsi="ITC Avant Garde"/>
          <w:bCs/>
          <w:sz w:val="23"/>
          <w:szCs w:val="23"/>
        </w:rPr>
        <w:t xml:space="preserve"> puede continuar con el trámite respectivo</w:t>
      </w:r>
      <w:r w:rsidRPr="00700FD3">
        <w:rPr>
          <w:rFonts w:ascii="ITC Avant Garde" w:hAnsi="ITC Avant Garde"/>
          <w:bCs/>
          <w:sz w:val="23"/>
          <w:szCs w:val="23"/>
        </w:rPr>
        <w:t>.</w:t>
      </w:r>
    </w:p>
    <w:p w14:paraId="659B87A7" w14:textId="77777777" w:rsidR="009B170F" w:rsidRPr="00700FD3" w:rsidRDefault="009B170F" w:rsidP="006F1784">
      <w:pPr>
        <w:autoSpaceDE w:val="0"/>
        <w:autoSpaceDN w:val="0"/>
        <w:adjustRightInd w:val="0"/>
        <w:spacing w:after="0" w:line="240" w:lineRule="auto"/>
        <w:jc w:val="both"/>
        <w:rPr>
          <w:rFonts w:ascii="ITC Avant Garde" w:hAnsi="ITC Avant Garde"/>
          <w:bCs/>
          <w:sz w:val="23"/>
          <w:szCs w:val="23"/>
        </w:rPr>
      </w:pPr>
    </w:p>
    <w:p w14:paraId="7F929EEC" w14:textId="7C13273A" w:rsidR="00052CFA" w:rsidRDefault="00D04074" w:rsidP="00882869">
      <w:pPr>
        <w:autoSpaceDE w:val="0"/>
        <w:autoSpaceDN w:val="0"/>
        <w:adjustRightInd w:val="0"/>
        <w:spacing w:line="240" w:lineRule="auto"/>
        <w:jc w:val="both"/>
        <w:rPr>
          <w:rFonts w:ascii="ITC Avant Garde" w:hAnsi="ITC Avant Garde"/>
          <w:bCs/>
          <w:sz w:val="23"/>
          <w:szCs w:val="23"/>
        </w:rPr>
      </w:pPr>
      <w:r w:rsidRPr="00E859C2">
        <w:rPr>
          <w:rFonts w:ascii="ITC Avant Garde" w:hAnsi="ITC Avant Garde"/>
          <w:bCs/>
          <w:sz w:val="23"/>
          <w:szCs w:val="23"/>
        </w:rPr>
        <w:t xml:space="preserve">Por lo anteriormente señalado, y con fundamento en los artículos 28 </w:t>
      </w:r>
      <w:r w:rsidR="00311B0A" w:rsidRPr="00E859C2">
        <w:rPr>
          <w:rFonts w:ascii="ITC Avant Garde" w:hAnsi="ITC Avant Garde"/>
          <w:bCs/>
          <w:sz w:val="23"/>
          <w:szCs w:val="23"/>
        </w:rPr>
        <w:t>párrafo</w:t>
      </w:r>
      <w:r w:rsidR="00440EBB">
        <w:rPr>
          <w:rFonts w:ascii="ITC Avant Garde" w:hAnsi="ITC Avant Garde"/>
          <w:bCs/>
          <w:sz w:val="23"/>
          <w:szCs w:val="23"/>
        </w:rPr>
        <w:t>s</w:t>
      </w:r>
      <w:r w:rsidR="00311B0A" w:rsidRPr="00E859C2">
        <w:rPr>
          <w:rFonts w:ascii="ITC Avant Garde" w:hAnsi="ITC Avant Garde"/>
          <w:bCs/>
          <w:sz w:val="23"/>
          <w:szCs w:val="23"/>
        </w:rPr>
        <w:t xml:space="preserve"> </w:t>
      </w:r>
      <w:r w:rsidR="00CD7CD4" w:rsidRPr="00E859C2">
        <w:rPr>
          <w:rFonts w:ascii="ITC Avant Garde" w:hAnsi="ITC Avant Garde"/>
          <w:bCs/>
          <w:sz w:val="23"/>
          <w:szCs w:val="23"/>
        </w:rPr>
        <w:t xml:space="preserve">décimo </w:t>
      </w:r>
      <w:r w:rsidR="00440EBB">
        <w:rPr>
          <w:rFonts w:ascii="ITC Avant Garde" w:hAnsi="ITC Avant Garde"/>
          <w:bCs/>
          <w:sz w:val="23"/>
          <w:szCs w:val="23"/>
        </w:rPr>
        <w:t xml:space="preserve">sexto y décimo </w:t>
      </w:r>
      <w:r w:rsidR="00CD7CD4" w:rsidRPr="00E859C2">
        <w:rPr>
          <w:rFonts w:ascii="ITC Avant Garde" w:hAnsi="ITC Avant Garde"/>
          <w:bCs/>
          <w:sz w:val="23"/>
          <w:szCs w:val="23"/>
        </w:rPr>
        <w:t>séptimo</w:t>
      </w:r>
      <w:r w:rsidRPr="00E859C2">
        <w:rPr>
          <w:rFonts w:ascii="ITC Avant Garde" w:hAnsi="ITC Avant Garde"/>
          <w:bCs/>
          <w:sz w:val="23"/>
          <w:szCs w:val="23"/>
        </w:rPr>
        <w:t xml:space="preserve"> de la Constitución Política de los Estados Unidos Mexicanos; </w:t>
      </w:r>
      <w:r w:rsidR="00967B8E" w:rsidRPr="00E859C2">
        <w:rPr>
          <w:rFonts w:ascii="ITC Avant Garde" w:hAnsi="ITC Avant Garde"/>
          <w:bCs/>
          <w:sz w:val="23"/>
          <w:szCs w:val="23"/>
        </w:rPr>
        <w:t xml:space="preserve">6 fracción IV, </w:t>
      </w:r>
      <w:r w:rsidR="00EC7353" w:rsidRPr="00E859C2">
        <w:rPr>
          <w:rFonts w:ascii="ITC Avant Garde" w:hAnsi="ITC Avant Garde"/>
          <w:bCs/>
          <w:sz w:val="23"/>
          <w:szCs w:val="23"/>
        </w:rPr>
        <w:t>15 fracción IV</w:t>
      </w:r>
      <w:r w:rsidR="00BF6187" w:rsidRPr="00E859C2">
        <w:rPr>
          <w:rFonts w:ascii="ITC Avant Garde" w:hAnsi="ITC Avant Garde"/>
          <w:bCs/>
          <w:sz w:val="23"/>
          <w:szCs w:val="23"/>
        </w:rPr>
        <w:t>,</w:t>
      </w:r>
      <w:r w:rsidR="00EC7353" w:rsidRPr="00E859C2">
        <w:rPr>
          <w:rFonts w:ascii="ITC Avant Garde" w:hAnsi="ITC Avant Garde"/>
          <w:bCs/>
          <w:sz w:val="23"/>
          <w:szCs w:val="23"/>
        </w:rPr>
        <w:t xml:space="preserve"> 17 fracción I</w:t>
      </w:r>
      <w:r w:rsidRPr="00E859C2">
        <w:rPr>
          <w:rFonts w:ascii="ITC Avant Garde" w:hAnsi="ITC Avant Garde"/>
          <w:bCs/>
          <w:sz w:val="23"/>
          <w:szCs w:val="23"/>
        </w:rPr>
        <w:t xml:space="preserve"> </w:t>
      </w:r>
      <w:r w:rsidR="00BF6187" w:rsidRPr="00E859C2">
        <w:rPr>
          <w:rFonts w:ascii="ITC Avant Garde" w:hAnsi="ITC Avant Garde"/>
          <w:bCs/>
          <w:sz w:val="23"/>
          <w:szCs w:val="23"/>
        </w:rPr>
        <w:t xml:space="preserve">y 112 </w:t>
      </w:r>
      <w:r w:rsidR="009931CA" w:rsidRPr="00E859C2">
        <w:rPr>
          <w:rFonts w:ascii="ITC Avant Garde" w:hAnsi="ITC Avant Garde"/>
          <w:bCs/>
          <w:sz w:val="23"/>
          <w:szCs w:val="23"/>
        </w:rPr>
        <w:t>de la Ley Federal de Telecomunicaciones y Radiodifusión;</w:t>
      </w:r>
      <w:r w:rsidR="00311B0A" w:rsidRPr="004C1528">
        <w:rPr>
          <w:rFonts w:ascii="ITC Avant Garde" w:hAnsi="ITC Avant Garde"/>
          <w:bCs/>
          <w:sz w:val="23"/>
          <w:szCs w:val="23"/>
        </w:rPr>
        <w:t xml:space="preserve"> </w:t>
      </w:r>
      <w:r w:rsidR="00846937">
        <w:rPr>
          <w:rFonts w:ascii="ITC Avant Garde" w:hAnsi="ITC Avant Garde"/>
          <w:bCs/>
          <w:sz w:val="23"/>
          <w:szCs w:val="23"/>
        </w:rPr>
        <w:t xml:space="preserve">5 de la Ley Federal de Competencia Económica; 11 fracción II, </w:t>
      </w:r>
      <w:r w:rsidR="009E014B" w:rsidRPr="004C1528">
        <w:rPr>
          <w:rFonts w:ascii="ITC Avant Garde" w:hAnsi="ITC Avant Garde"/>
          <w:bCs/>
          <w:sz w:val="23"/>
          <w:szCs w:val="23"/>
        </w:rPr>
        <w:t>35</w:t>
      </w:r>
      <w:r w:rsidR="00967B8E" w:rsidRPr="004C1528">
        <w:rPr>
          <w:rFonts w:ascii="ITC Avant Garde" w:hAnsi="ITC Avant Garde"/>
          <w:bCs/>
          <w:sz w:val="23"/>
          <w:szCs w:val="23"/>
        </w:rPr>
        <w:t xml:space="preserve"> fracción I, 36, 38 y 39 de la Ley Federal de Procedimiento Administrativo; </w:t>
      </w:r>
      <w:r w:rsidR="0077468A" w:rsidRPr="004C1528">
        <w:rPr>
          <w:rFonts w:ascii="ITC Avant Garde" w:hAnsi="ITC Avant Garde"/>
          <w:bCs/>
          <w:sz w:val="23"/>
          <w:szCs w:val="23"/>
        </w:rPr>
        <w:t>97 fracción</w:t>
      </w:r>
      <w:r w:rsidR="00A029C5" w:rsidRPr="004C1528">
        <w:rPr>
          <w:rFonts w:ascii="ITC Avant Garde" w:hAnsi="ITC Avant Garde"/>
          <w:bCs/>
          <w:sz w:val="23"/>
          <w:szCs w:val="23"/>
        </w:rPr>
        <w:t xml:space="preserve"> VIII de la Ley Federal de Derechos</w:t>
      </w:r>
      <w:r w:rsidR="007E4613">
        <w:rPr>
          <w:rFonts w:ascii="ITC Avant Garde" w:hAnsi="ITC Avant Garde"/>
          <w:bCs/>
          <w:sz w:val="23"/>
          <w:szCs w:val="23"/>
        </w:rPr>
        <w:t xml:space="preserve"> vigente durante el año 2015</w:t>
      </w:r>
      <w:r w:rsidR="00311B0A" w:rsidRPr="004C1528">
        <w:rPr>
          <w:rFonts w:ascii="ITC Avant Garde" w:hAnsi="ITC Avant Garde"/>
          <w:bCs/>
          <w:sz w:val="23"/>
          <w:szCs w:val="23"/>
        </w:rPr>
        <w:t xml:space="preserve"> </w:t>
      </w:r>
      <w:r w:rsidR="002A5CD0" w:rsidRPr="004C1528">
        <w:rPr>
          <w:rFonts w:ascii="ITC Avant Garde" w:hAnsi="ITC Avant Garde"/>
          <w:bCs/>
          <w:sz w:val="23"/>
          <w:szCs w:val="23"/>
        </w:rPr>
        <w:t>y</w:t>
      </w:r>
      <w:r w:rsidRPr="00E859C2">
        <w:rPr>
          <w:rFonts w:ascii="ITC Avant Garde" w:hAnsi="ITC Avant Garde"/>
          <w:bCs/>
          <w:sz w:val="23"/>
          <w:szCs w:val="23"/>
        </w:rPr>
        <w:t xml:space="preserve"> 1, 6</w:t>
      </w:r>
      <w:r w:rsidR="00476447">
        <w:rPr>
          <w:rFonts w:ascii="ITC Avant Garde" w:hAnsi="ITC Avant Garde"/>
          <w:bCs/>
          <w:sz w:val="23"/>
          <w:szCs w:val="23"/>
        </w:rPr>
        <w:t>,</w:t>
      </w:r>
      <w:r w:rsidRPr="00E859C2">
        <w:rPr>
          <w:rFonts w:ascii="ITC Avant Garde" w:hAnsi="ITC Avant Garde"/>
          <w:bCs/>
          <w:sz w:val="23"/>
          <w:szCs w:val="23"/>
        </w:rPr>
        <w:t xml:space="preserve"> 32</w:t>
      </w:r>
      <w:r w:rsidR="00FD7602">
        <w:rPr>
          <w:rFonts w:ascii="ITC Avant Garde" w:hAnsi="ITC Avant Garde"/>
          <w:bCs/>
          <w:sz w:val="23"/>
          <w:szCs w:val="23"/>
        </w:rPr>
        <w:t>,</w:t>
      </w:r>
      <w:r w:rsidRPr="00E859C2">
        <w:rPr>
          <w:rFonts w:ascii="ITC Avant Garde" w:hAnsi="ITC Avant Garde"/>
          <w:bCs/>
          <w:sz w:val="23"/>
          <w:szCs w:val="23"/>
        </w:rPr>
        <w:t xml:space="preserve"> y 33 fracción </w:t>
      </w:r>
      <w:r w:rsidR="0073457C" w:rsidRPr="00E859C2">
        <w:rPr>
          <w:rFonts w:ascii="ITC Avant Garde" w:hAnsi="ITC Avant Garde"/>
          <w:bCs/>
          <w:sz w:val="23"/>
          <w:szCs w:val="23"/>
        </w:rPr>
        <w:t>IV</w:t>
      </w:r>
      <w:r w:rsidR="00A172BC">
        <w:rPr>
          <w:rFonts w:ascii="ITC Avant Garde" w:hAnsi="ITC Avant Garde"/>
          <w:bCs/>
          <w:sz w:val="23"/>
          <w:szCs w:val="23"/>
        </w:rPr>
        <w:t xml:space="preserve"> y 50 fracción XIII</w:t>
      </w:r>
      <w:r w:rsidRPr="00E859C2">
        <w:rPr>
          <w:rFonts w:ascii="ITC Avant Garde" w:hAnsi="ITC Avant Garde"/>
          <w:bCs/>
          <w:sz w:val="23"/>
          <w:szCs w:val="23"/>
        </w:rPr>
        <w:t xml:space="preserve"> del Estatuto Orgánico del Instituto Federal de Telecomunicaciones, este órgano autónomo emite los siguientes:</w:t>
      </w:r>
    </w:p>
    <w:p w14:paraId="1AAFF15B" w14:textId="77777777" w:rsidR="009B170F" w:rsidRDefault="009B170F" w:rsidP="009B170F">
      <w:pPr>
        <w:autoSpaceDE w:val="0"/>
        <w:autoSpaceDN w:val="0"/>
        <w:adjustRightInd w:val="0"/>
        <w:spacing w:after="0" w:line="240" w:lineRule="auto"/>
        <w:jc w:val="both"/>
        <w:rPr>
          <w:rFonts w:ascii="ITC Avant Garde" w:hAnsi="ITC Avant Garde"/>
          <w:bCs/>
          <w:sz w:val="23"/>
          <w:szCs w:val="23"/>
        </w:rPr>
      </w:pPr>
    </w:p>
    <w:p w14:paraId="36E7AD76" w14:textId="77777777" w:rsidR="000837C7" w:rsidRPr="00685413" w:rsidRDefault="00B048BA" w:rsidP="00051BC9">
      <w:pPr>
        <w:pStyle w:val="Ttulo2"/>
        <w:jc w:val="center"/>
        <w:rPr>
          <w:rFonts w:ascii="ITC Avant Garde" w:hAnsi="ITC Avant Garde"/>
          <w:b/>
          <w:i/>
          <w:color w:val="000000" w:themeColor="text1"/>
          <w:lang w:eastAsia="es-MX"/>
        </w:rPr>
      </w:pPr>
      <w:r w:rsidRPr="00051BC9">
        <w:rPr>
          <w:rFonts w:ascii="ITC Avant Garde" w:hAnsi="ITC Avant Garde"/>
          <w:b/>
          <w:color w:val="000000" w:themeColor="text1"/>
          <w:sz w:val="22"/>
          <w:szCs w:val="22"/>
        </w:rPr>
        <w:t>RESOLUTIVOS</w:t>
      </w:r>
    </w:p>
    <w:p w14:paraId="78EC6FA9" w14:textId="77777777" w:rsidR="006F1784" w:rsidRPr="00E859C2" w:rsidRDefault="006F1784" w:rsidP="00882869">
      <w:pPr>
        <w:spacing w:line="240" w:lineRule="auto"/>
        <w:jc w:val="center"/>
        <w:rPr>
          <w:rFonts w:ascii="ITC Avant Garde" w:hAnsi="ITC Avant Garde"/>
          <w:b/>
          <w:bCs/>
          <w:color w:val="000000"/>
          <w:sz w:val="23"/>
          <w:szCs w:val="23"/>
          <w:lang w:eastAsia="es-MX"/>
        </w:rPr>
      </w:pPr>
    </w:p>
    <w:p w14:paraId="37F9D80D" w14:textId="45D5E617" w:rsidR="000A62EA" w:rsidRDefault="00C630FF" w:rsidP="00882869">
      <w:pPr>
        <w:spacing w:after="0" w:line="240" w:lineRule="auto"/>
        <w:jc w:val="both"/>
        <w:rPr>
          <w:rFonts w:ascii="ITC Avant Garde" w:hAnsi="ITC Avant Garde"/>
          <w:bCs/>
          <w:sz w:val="23"/>
          <w:szCs w:val="23"/>
        </w:rPr>
      </w:pPr>
      <w:r w:rsidRPr="00E859C2">
        <w:rPr>
          <w:rFonts w:ascii="ITC Avant Garde" w:hAnsi="ITC Avant Garde"/>
          <w:b/>
          <w:bCs/>
          <w:sz w:val="23"/>
          <w:szCs w:val="23"/>
        </w:rPr>
        <w:t>PRIMERO</w:t>
      </w:r>
      <w:r w:rsidR="00B048BA" w:rsidRPr="00E859C2">
        <w:rPr>
          <w:rFonts w:ascii="ITC Avant Garde" w:hAnsi="ITC Avant Garde"/>
          <w:b/>
          <w:bCs/>
          <w:sz w:val="23"/>
          <w:szCs w:val="23"/>
        </w:rPr>
        <w:t>.-</w:t>
      </w:r>
      <w:r w:rsidR="008815FA" w:rsidRPr="00E859C2">
        <w:rPr>
          <w:rFonts w:ascii="ITC Avant Garde" w:hAnsi="ITC Avant Garde"/>
          <w:b/>
          <w:bCs/>
          <w:sz w:val="23"/>
          <w:szCs w:val="23"/>
        </w:rPr>
        <w:t xml:space="preserve"> </w:t>
      </w:r>
      <w:r w:rsidR="008810B4" w:rsidRPr="00E859C2">
        <w:rPr>
          <w:rFonts w:ascii="ITC Avant Garde" w:hAnsi="ITC Avant Garde"/>
          <w:bCs/>
          <w:sz w:val="23"/>
          <w:szCs w:val="23"/>
        </w:rPr>
        <w:t xml:space="preserve">Se </w:t>
      </w:r>
      <w:r w:rsidR="00416051" w:rsidRPr="00AB0900">
        <w:rPr>
          <w:rFonts w:ascii="ITC Avant Garde" w:hAnsi="ITC Avant Garde"/>
          <w:bCs/>
          <w:sz w:val="23"/>
          <w:szCs w:val="23"/>
        </w:rPr>
        <w:t>autoriza</w:t>
      </w:r>
      <w:r w:rsidR="00C4495D" w:rsidRPr="00E859C2">
        <w:rPr>
          <w:rFonts w:ascii="ITC Avant Garde" w:hAnsi="ITC Avant Garde"/>
          <w:bCs/>
          <w:sz w:val="23"/>
          <w:szCs w:val="23"/>
        </w:rPr>
        <w:t xml:space="preserve"> a</w:t>
      </w:r>
      <w:r w:rsidR="00416051" w:rsidRPr="00E859C2">
        <w:rPr>
          <w:rFonts w:ascii="ITC Avant Garde" w:hAnsi="ITC Avant Garde"/>
          <w:bCs/>
          <w:sz w:val="23"/>
          <w:szCs w:val="23"/>
        </w:rPr>
        <w:t xml:space="preserve"> la empresa </w:t>
      </w:r>
      <w:r w:rsidR="00E34303" w:rsidRPr="000645F4">
        <w:rPr>
          <w:rFonts w:ascii="ITC Avant Garde" w:hAnsi="ITC Avant Garde"/>
          <w:bCs/>
          <w:sz w:val="23"/>
          <w:szCs w:val="23"/>
          <w:lang w:val="es-ES" w:eastAsia="es-ES"/>
        </w:rPr>
        <w:t>Orgtec, S.A.P.I. de C.V.</w:t>
      </w:r>
      <w:r w:rsidR="00416051" w:rsidRPr="00E859C2">
        <w:rPr>
          <w:rFonts w:ascii="ITC Avant Garde" w:hAnsi="ITC Avant Garde"/>
          <w:bCs/>
          <w:sz w:val="23"/>
          <w:szCs w:val="23"/>
        </w:rPr>
        <w:t xml:space="preserve">, </w:t>
      </w:r>
      <w:r w:rsidR="00504F34" w:rsidRPr="00E859C2">
        <w:rPr>
          <w:rFonts w:ascii="ITC Avant Garde" w:hAnsi="ITC Avant Garde"/>
          <w:bCs/>
          <w:sz w:val="23"/>
          <w:szCs w:val="23"/>
        </w:rPr>
        <w:t xml:space="preserve">a llevar a cabo </w:t>
      </w:r>
      <w:r w:rsidR="009A5FC4" w:rsidRPr="00E859C2">
        <w:rPr>
          <w:rFonts w:ascii="ITC Avant Garde" w:hAnsi="ITC Avant Garde"/>
          <w:bCs/>
          <w:sz w:val="23"/>
          <w:szCs w:val="23"/>
        </w:rPr>
        <w:t xml:space="preserve">la </w:t>
      </w:r>
      <w:r w:rsidR="00504F34" w:rsidRPr="004C1528">
        <w:rPr>
          <w:rFonts w:ascii="ITC Avant Garde" w:hAnsi="ITC Avant Garde"/>
          <w:bCs/>
          <w:sz w:val="23"/>
          <w:szCs w:val="23"/>
        </w:rPr>
        <w:t xml:space="preserve">enajenación de acciones </w:t>
      </w:r>
      <w:r w:rsidR="00D72AA0" w:rsidRPr="004C1528">
        <w:rPr>
          <w:rFonts w:ascii="ITC Avant Garde" w:hAnsi="ITC Avant Garde"/>
          <w:bCs/>
          <w:sz w:val="23"/>
          <w:szCs w:val="23"/>
        </w:rPr>
        <w:t>solicitada</w:t>
      </w:r>
      <w:r w:rsidR="00504F34" w:rsidRPr="004C1528">
        <w:rPr>
          <w:rFonts w:ascii="ITC Avant Garde" w:hAnsi="ITC Avant Garde"/>
          <w:bCs/>
          <w:sz w:val="23"/>
          <w:szCs w:val="23"/>
        </w:rPr>
        <w:t xml:space="preserve">, </w:t>
      </w:r>
      <w:r w:rsidR="00416051" w:rsidRPr="00E859C2">
        <w:rPr>
          <w:rFonts w:ascii="ITC Avant Garde" w:hAnsi="ITC Avant Garde"/>
          <w:bCs/>
          <w:sz w:val="23"/>
          <w:szCs w:val="23"/>
        </w:rPr>
        <w:t xml:space="preserve">a efecto de que la estructura accionaria de dicha </w:t>
      </w:r>
      <w:r w:rsidR="00022B85" w:rsidRPr="00E859C2">
        <w:rPr>
          <w:rFonts w:ascii="ITC Avant Garde" w:hAnsi="ITC Avant Garde"/>
          <w:bCs/>
          <w:sz w:val="23"/>
          <w:szCs w:val="23"/>
        </w:rPr>
        <w:t>concesionaria</w:t>
      </w:r>
      <w:r w:rsidR="00416051" w:rsidRPr="00E859C2">
        <w:rPr>
          <w:rFonts w:ascii="ITC Avant Garde" w:hAnsi="ITC Avant Garde"/>
          <w:bCs/>
          <w:sz w:val="23"/>
          <w:szCs w:val="23"/>
        </w:rPr>
        <w:t xml:space="preserve"> quede de la siguiente manera:</w:t>
      </w:r>
    </w:p>
    <w:p w14:paraId="1033331A" w14:textId="77777777" w:rsidR="006F1784" w:rsidRDefault="006F1784" w:rsidP="00882869">
      <w:pPr>
        <w:spacing w:after="0" w:line="240" w:lineRule="auto"/>
        <w:jc w:val="both"/>
        <w:rPr>
          <w:rFonts w:ascii="ITC Avant Garde" w:hAnsi="ITC Avant Garde"/>
          <w:bCs/>
          <w:sz w:val="23"/>
          <w:szCs w:val="23"/>
        </w:rPr>
      </w:pPr>
    </w:p>
    <w:tbl>
      <w:tblPr>
        <w:tblStyle w:val="Tabladelista7concolores-nfasis5"/>
        <w:tblW w:w="6457" w:type="dxa"/>
        <w:jc w:val="center"/>
        <w:tblLayout w:type="fixed"/>
        <w:tblLook w:val="0000" w:firstRow="0" w:lastRow="0" w:firstColumn="0" w:lastColumn="0" w:noHBand="0" w:noVBand="0"/>
        <w:tblCaption w:val="Estructura accionaria de Orgtec, S.A.P.I. de C.V."/>
        <w:tblDescription w:val="RigNet de México, S. de R.L. de C.V. queda con 183,909,999 acciones que representan el 99.999% y RNSAT Servicios de México, S. de R.L. de C.V. con una (1) acción que representa el 0.001%, sumando un total de 183,910,000 acciones que representarían el 100%."/>
      </w:tblPr>
      <w:tblGrid>
        <w:gridCol w:w="2692"/>
        <w:gridCol w:w="1637"/>
        <w:gridCol w:w="2128"/>
      </w:tblGrid>
      <w:tr w:rsidR="00E34303" w:rsidRPr="005A1661" w14:paraId="2FEC3A5A" w14:textId="77777777" w:rsidTr="00051BC9">
        <w:trPr>
          <w:trHeight w:val="552"/>
          <w:tblHeader/>
          <w:jc w:val="center"/>
        </w:trPr>
        <w:tc>
          <w:tcPr>
            <w:cnfStyle w:val="000010000000" w:firstRow="0" w:lastRow="0" w:firstColumn="0" w:lastColumn="0" w:oddVBand="1" w:evenVBand="0" w:oddHBand="0" w:evenHBand="0" w:firstRowFirstColumn="0" w:firstRowLastColumn="0" w:lastRowFirstColumn="0" w:lastRowLastColumn="0"/>
            <w:tcW w:w="2626" w:type="dxa"/>
            <w:noWrap/>
          </w:tcPr>
          <w:p w14:paraId="04BF619D" w14:textId="77777777" w:rsidR="00E34303" w:rsidRPr="0053565F" w:rsidRDefault="00E34303" w:rsidP="00882869">
            <w:pPr>
              <w:autoSpaceDE w:val="0"/>
              <w:autoSpaceDN w:val="0"/>
              <w:adjustRightInd w:val="0"/>
              <w:spacing w:after="0" w:line="240" w:lineRule="auto"/>
              <w:jc w:val="center"/>
              <w:rPr>
                <w:rFonts w:ascii="ITC Avant Garde" w:hAnsi="ITC Avant Garde"/>
                <w:b/>
                <w:bCs/>
                <w:color w:val="000000"/>
                <w:sz w:val="14"/>
                <w:szCs w:val="20"/>
              </w:rPr>
            </w:pPr>
            <w:r w:rsidRPr="0053565F">
              <w:rPr>
                <w:rFonts w:ascii="ITC Avant Garde" w:hAnsi="ITC Avant Garde"/>
                <w:b/>
                <w:bCs/>
                <w:color w:val="000000"/>
                <w:sz w:val="14"/>
                <w:szCs w:val="20"/>
              </w:rPr>
              <w:t>ACCIONISTA</w:t>
            </w:r>
          </w:p>
        </w:tc>
        <w:tc>
          <w:tcPr>
            <w:tcW w:w="1596" w:type="dxa"/>
          </w:tcPr>
          <w:p w14:paraId="3D106C1F" w14:textId="77777777" w:rsidR="00E34303" w:rsidRPr="0053565F" w:rsidRDefault="00E34303" w:rsidP="00882869">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b/>
                <w:bCs/>
                <w:color w:val="000000"/>
                <w:sz w:val="14"/>
                <w:szCs w:val="20"/>
              </w:rPr>
            </w:pPr>
            <w:r w:rsidRPr="0053565F">
              <w:rPr>
                <w:rFonts w:ascii="ITC Avant Garde" w:hAnsi="ITC Avant Garde"/>
                <w:b/>
                <w:bCs/>
                <w:color w:val="000000"/>
                <w:sz w:val="14"/>
                <w:szCs w:val="20"/>
              </w:rPr>
              <w:t>ACCIONES</w:t>
            </w:r>
          </w:p>
        </w:tc>
        <w:tc>
          <w:tcPr>
            <w:cnfStyle w:val="000010000000" w:firstRow="0" w:lastRow="0" w:firstColumn="0" w:lastColumn="0" w:oddVBand="1" w:evenVBand="0" w:oddHBand="0" w:evenHBand="0" w:firstRowFirstColumn="0" w:firstRowLastColumn="0" w:lastRowFirstColumn="0" w:lastRowLastColumn="0"/>
            <w:tcW w:w="2075" w:type="dxa"/>
          </w:tcPr>
          <w:p w14:paraId="3A10C1EB" w14:textId="77777777" w:rsidR="00E34303" w:rsidRPr="0053565F" w:rsidRDefault="00E34303" w:rsidP="00882869">
            <w:pPr>
              <w:autoSpaceDE w:val="0"/>
              <w:autoSpaceDN w:val="0"/>
              <w:adjustRightInd w:val="0"/>
              <w:spacing w:after="0" w:line="240" w:lineRule="auto"/>
              <w:jc w:val="center"/>
              <w:rPr>
                <w:rFonts w:ascii="ITC Avant Garde" w:hAnsi="ITC Avant Garde"/>
                <w:b/>
                <w:bCs/>
                <w:color w:val="000000"/>
                <w:sz w:val="14"/>
                <w:szCs w:val="20"/>
              </w:rPr>
            </w:pPr>
            <w:r w:rsidRPr="0053565F">
              <w:rPr>
                <w:rFonts w:ascii="ITC Avant Garde" w:hAnsi="ITC Avant Garde"/>
                <w:b/>
                <w:bCs/>
                <w:color w:val="000000"/>
                <w:sz w:val="14"/>
                <w:szCs w:val="20"/>
              </w:rPr>
              <w:t>PORCENTAJE TOTAL DE PARTICIPACIÓN</w:t>
            </w:r>
          </w:p>
        </w:tc>
      </w:tr>
      <w:tr w:rsidR="00E34303" w:rsidRPr="005A1661" w14:paraId="6A460C8F" w14:textId="77777777" w:rsidTr="00051BC9">
        <w:trPr>
          <w:cnfStyle w:val="000000100000" w:firstRow="0" w:lastRow="0" w:firstColumn="0" w:lastColumn="0" w:oddVBand="0" w:evenVBand="0" w:oddHBand="1" w:evenHBand="0" w:firstRowFirstColumn="0" w:firstRowLastColumn="0" w:lastRowFirstColumn="0" w:lastRowLastColumn="0"/>
          <w:trHeight w:val="356"/>
          <w:jc w:val="center"/>
        </w:trPr>
        <w:tc>
          <w:tcPr>
            <w:cnfStyle w:val="000010000000" w:firstRow="0" w:lastRow="0" w:firstColumn="0" w:lastColumn="0" w:oddVBand="1" w:evenVBand="0" w:oddHBand="0" w:evenHBand="0" w:firstRowFirstColumn="0" w:firstRowLastColumn="0" w:lastRowFirstColumn="0" w:lastRowLastColumn="0"/>
            <w:tcW w:w="2626" w:type="dxa"/>
          </w:tcPr>
          <w:p w14:paraId="14874A57" w14:textId="77777777" w:rsidR="00E34303" w:rsidRPr="0053565F" w:rsidRDefault="00E34303" w:rsidP="00882869">
            <w:pPr>
              <w:autoSpaceDE w:val="0"/>
              <w:autoSpaceDN w:val="0"/>
              <w:adjustRightInd w:val="0"/>
              <w:spacing w:after="0" w:line="240" w:lineRule="auto"/>
              <w:rPr>
                <w:rFonts w:ascii="ITC Avant Garde" w:hAnsi="ITC Avant Garde"/>
                <w:bCs/>
                <w:color w:val="000000"/>
                <w:sz w:val="14"/>
                <w:szCs w:val="20"/>
              </w:rPr>
            </w:pPr>
            <w:proofErr w:type="spellStart"/>
            <w:r>
              <w:rPr>
                <w:rFonts w:ascii="ITC Avant Garde" w:hAnsi="ITC Avant Garde"/>
                <w:bCs/>
                <w:color w:val="000000"/>
                <w:sz w:val="14"/>
                <w:szCs w:val="20"/>
              </w:rPr>
              <w:t>RigNet</w:t>
            </w:r>
            <w:proofErr w:type="spellEnd"/>
            <w:r>
              <w:rPr>
                <w:rFonts w:ascii="ITC Avant Garde" w:hAnsi="ITC Avant Garde"/>
                <w:bCs/>
                <w:color w:val="000000"/>
                <w:sz w:val="14"/>
                <w:szCs w:val="20"/>
              </w:rPr>
              <w:t xml:space="preserve"> de México, S. de R.L. de C.V.</w:t>
            </w:r>
          </w:p>
        </w:tc>
        <w:tc>
          <w:tcPr>
            <w:tcW w:w="1596" w:type="dxa"/>
          </w:tcPr>
          <w:p w14:paraId="253BB590" w14:textId="77777777" w:rsidR="00E34303" w:rsidRPr="0053565F" w:rsidRDefault="00E34303" w:rsidP="00882869">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bCs/>
                <w:color w:val="000000"/>
                <w:sz w:val="14"/>
                <w:szCs w:val="20"/>
              </w:rPr>
            </w:pPr>
            <w:r>
              <w:rPr>
                <w:rFonts w:ascii="ITC Avant Garde" w:hAnsi="ITC Avant Garde"/>
                <w:bCs/>
                <w:color w:val="000000"/>
                <w:sz w:val="14"/>
                <w:szCs w:val="20"/>
              </w:rPr>
              <w:t>183,909,999</w:t>
            </w:r>
          </w:p>
        </w:tc>
        <w:tc>
          <w:tcPr>
            <w:cnfStyle w:val="000010000000" w:firstRow="0" w:lastRow="0" w:firstColumn="0" w:lastColumn="0" w:oddVBand="1" w:evenVBand="0" w:oddHBand="0" w:evenHBand="0" w:firstRowFirstColumn="0" w:firstRowLastColumn="0" w:lastRowFirstColumn="0" w:lastRowLastColumn="0"/>
            <w:tcW w:w="2075" w:type="dxa"/>
          </w:tcPr>
          <w:p w14:paraId="7EB11380" w14:textId="77777777" w:rsidR="00E34303" w:rsidRPr="0053565F" w:rsidRDefault="00E34303" w:rsidP="00882869">
            <w:pPr>
              <w:autoSpaceDE w:val="0"/>
              <w:autoSpaceDN w:val="0"/>
              <w:adjustRightInd w:val="0"/>
              <w:spacing w:after="0" w:line="240" w:lineRule="auto"/>
              <w:jc w:val="center"/>
              <w:rPr>
                <w:rFonts w:ascii="ITC Avant Garde" w:hAnsi="ITC Avant Garde"/>
                <w:bCs/>
                <w:color w:val="000000"/>
                <w:sz w:val="14"/>
                <w:szCs w:val="20"/>
              </w:rPr>
            </w:pPr>
            <w:r w:rsidRPr="0053565F">
              <w:rPr>
                <w:rFonts w:ascii="ITC Avant Garde" w:hAnsi="ITC Avant Garde"/>
                <w:bCs/>
                <w:color w:val="000000"/>
                <w:sz w:val="14"/>
                <w:szCs w:val="20"/>
              </w:rPr>
              <w:t>99</w:t>
            </w:r>
            <w:r>
              <w:rPr>
                <w:rFonts w:ascii="ITC Avant Garde" w:hAnsi="ITC Avant Garde"/>
                <w:bCs/>
                <w:color w:val="000000"/>
                <w:sz w:val="14"/>
                <w:szCs w:val="20"/>
              </w:rPr>
              <w:t>.999</w:t>
            </w:r>
            <w:r w:rsidRPr="0053565F">
              <w:rPr>
                <w:rFonts w:ascii="ITC Avant Garde" w:hAnsi="ITC Avant Garde"/>
                <w:bCs/>
                <w:color w:val="000000"/>
                <w:sz w:val="14"/>
                <w:szCs w:val="20"/>
              </w:rPr>
              <w:t>%</w:t>
            </w:r>
          </w:p>
        </w:tc>
      </w:tr>
      <w:tr w:rsidR="00E34303" w:rsidRPr="005A1661" w14:paraId="616D1FD6" w14:textId="77777777" w:rsidTr="00051BC9">
        <w:trPr>
          <w:trHeight w:val="356"/>
          <w:jc w:val="center"/>
        </w:trPr>
        <w:tc>
          <w:tcPr>
            <w:cnfStyle w:val="000010000000" w:firstRow="0" w:lastRow="0" w:firstColumn="0" w:lastColumn="0" w:oddVBand="1" w:evenVBand="0" w:oddHBand="0" w:evenHBand="0" w:firstRowFirstColumn="0" w:firstRowLastColumn="0" w:lastRowFirstColumn="0" w:lastRowLastColumn="0"/>
            <w:tcW w:w="2626" w:type="dxa"/>
          </w:tcPr>
          <w:p w14:paraId="1C5CBBEB" w14:textId="77777777" w:rsidR="00E34303" w:rsidRPr="0053565F" w:rsidRDefault="00E34303" w:rsidP="00882869">
            <w:pPr>
              <w:autoSpaceDE w:val="0"/>
              <w:autoSpaceDN w:val="0"/>
              <w:adjustRightInd w:val="0"/>
              <w:spacing w:after="0" w:line="240" w:lineRule="auto"/>
              <w:rPr>
                <w:rFonts w:ascii="ITC Avant Garde" w:hAnsi="ITC Avant Garde"/>
                <w:bCs/>
                <w:color w:val="000000"/>
                <w:sz w:val="14"/>
                <w:szCs w:val="20"/>
              </w:rPr>
            </w:pPr>
            <w:r>
              <w:rPr>
                <w:rFonts w:ascii="ITC Avant Garde" w:hAnsi="ITC Avant Garde"/>
                <w:bCs/>
                <w:color w:val="000000"/>
                <w:sz w:val="14"/>
                <w:szCs w:val="20"/>
              </w:rPr>
              <w:t>RNSAT Servicios de México, S. de R.L. de C.V.</w:t>
            </w:r>
          </w:p>
        </w:tc>
        <w:tc>
          <w:tcPr>
            <w:tcW w:w="1596" w:type="dxa"/>
          </w:tcPr>
          <w:p w14:paraId="2CA1E46A" w14:textId="77777777" w:rsidR="00E34303" w:rsidRPr="0053565F" w:rsidRDefault="00E34303" w:rsidP="00882869">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ITC Avant Garde" w:hAnsi="ITC Avant Garde"/>
                <w:bCs/>
                <w:color w:val="000000"/>
                <w:sz w:val="14"/>
                <w:szCs w:val="20"/>
              </w:rPr>
            </w:pPr>
            <w:r>
              <w:rPr>
                <w:rFonts w:ascii="ITC Avant Garde" w:hAnsi="ITC Avant Garde"/>
                <w:bCs/>
                <w:color w:val="000000"/>
                <w:sz w:val="14"/>
                <w:szCs w:val="20"/>
              </w:rPr>
              <w:t>1</w:t>
            </w:r>
          </w:p>
        </w:tc>
        <w:tc>
          <w:tcPr>
            <w:cnfStyle w:val="000010000000" w:firstRow="0" w:lastRow="0" w:firstColumn="0" w:lastColumn="0" w:oddVBand="1" w:evenVBand="0" w:oddHBand="0" w:evenHBand="0" w:firstRowFirstColumn="0" w:firstRowLastColumn="0" w:lastRowFirstColumn="0" w:lastRowLastColumn="0"/>
            <w:tcW w:w="2075" w:type="dxa"/>
          </w:tcPr>
          <w:p w14:paraId="59C47945" w14:textId="77777777" w:rsidR="00E34303" w:rsidRPr="0053565F" w:rsidRDefault="00E34303" w:rsidP="00882869">
            <w:pPr>
              <w:autoSpaceDE w:val="0"/>
              <w:autoSpaceDN w:val="0"/>
              <w:adjustRightInd w:val="0"/>
              <w:spacing w:after="0" w:line="240" w:lineRule="auto"/>
              <w:jc w:val="center"/>
              <w:rPr>
                <w:rFonts w:ascii="ITC Avant Garde" w:hAnsi="ITC Avant Garde"/>
                <w:bCs/>
                <w:color w:val="000000"/>
                <w:sz w:val="14"/>
                <w:szCs w:val="20"/>
              </w:rPr>
            </w:pPr>
            <w:r>
              <w:rPr>
                <w:rFonts w:ascii="ITC Avant Garde" w:hAnsi="ITC Avant Garde"/>
                <w:bCs/>
                <w:color w:val="000000"/>
                <w:sz w:val="14"/>
                <w:szCs w:val="20"/>
              </w:rPr>
              <w:t>0.00</w:t>
            </w:r>
            <w:r w:rsidRPr="0053565F">
              <w:rPr>
                <w:rFonts w:ascii="ITC Avant Garde" w:hAnsi="ITC Avant Garde"/>
                <w:bCs/>
                <w:color w:val="000000"/>
                <w:sz w:val="14"/>
                <w:szCs w:val="20"/>
              </w:rPr>
              <w:t>1%</w:t>
            </w:r>
          </w:p>
        </w:tc>
      </w:tr>
      <w:tr w:rsidR="00E34303" w:rsidRPr="005A1661" w14:paraId="6CCC7437" w14:textId="77777777" w:rsidTr="00051BC9">
        <w:trPr>
          <w:cnfStyle w:val="000000100000" w:firstRow="0" w:lastRow="0" w:firstColumn="0" w:lastColumn="0" w:oddVBand="0" w:evenVBand="0" w:oddHBand="1" w:evenHBand="0" w:firstRowFirstColumn="0" w:firstRowLastColumn="0" w:lastRowFirstColumn="0" w:lastRowLastColumn="0"/>
          <w:trHeight w:val="291"/>
          <w:jc w:val="center"/>
        </w:trPr>
        <w:tc>
          <w:tcPr>
            <w:cnfStyle w:val="000010000000" w:firstRow="0" w:lastRow="0" w:firstColumn="0" w:lastColumn="0" w:oddVBand="1" w:evenVBand="0" w:oddHBand="0" w:evenHBand="0" w:firstRowFirstColumn="0" w:firstRowLastColumn="0" w:lastRowFirstColumn="0" w:lastRowLastColumn="0"/>
            <w:tcW w:w="2626" w:type="dxa"/>
          </w:tcPr>
          <w:p w14:paraId="326B316E" w14:textId="77777777" w:rsidR="00E34303" w:rsidRPr="0053565F" w:rsidRDefault="00E34303" w:rsidP="00882869">
            <w:pPr>
              <w:autoSpaceDE w:val="0"/>
              <w:autoSpaceDN w:val="0"/>
              <w:adjustRightInd w:val="0"/>
              <w:spacing w:after="0" w:line="240" w:lineRule="auto"/>
              <w:jc w:val="center"/>
              <w:rPr>
                <w:rFonts w:ascii="ITC Avant Garde" w:hAnsi="ITC Avant Garde"/>
                <w:b/>
                <w:bCs/>
                <w:color w:val="000000"/>
                <w:sz w:val="14"/>
                <w:szCs w:val="20"/>
              </w:rPr>
            </w:pPr>
            <w:r w:rsidRPr="0053565F">
              <w:rPr>
                <w:rFonts w:ascii="ITC Avant Garde" w:hAnsi="ITC Avant Garde"/>
                <w:b/>
                <w:bCs/>
                <w:color w:val="000000"/>
                <w:sz w:val="14"/>
                <w:szCs w:val="20"/>
              </w:rPr>
              <w:t>Total</w:t>
            </w:r>
          </w:p>
        </w:tc>
        <w:tc>
          <w:tcPr>
            <w:tcW w:w="1596" w:type="dxa"/>
          </w:tcPr>
          <w:p w14:paraId="555416E3" w14:textId="3B71D812" w:rsidR="00E34303" w:rsidRPr="0053565F" w:rsidRDefault="00E34303" w:rsidP="00A6065A">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ITC Avant Garde" w:hAnsi="ITC Avant Garde"/>
                <w:b/>
                <w:bCs/>
                <w:color w:val="000000"/>
                <w:sz w:val="14"/>
                <w:szCs w:val="20"/>
              </w:rPr>
            </w:pPr>
            <w:r>
              <w:rPr>
                <w:rFonts w:ascii="ITC Avant Garde" w:hAnsi="ITC Avant Garde"/>
                <w:b/>
                <w:bCs/>
                <w:color w:val="000000"/>
                <w:sz w:val="14"/>
                <w:szCs w:val="20"/>
              </w:rPr>
              <w:t>183,910</w:t>
            </w:r>
            <w:r w:rsidR="00A6065A">
              <w:rPr>
                <w:rFonts w:ascii="ITC Avant Garde" w:hAnsi="ITC Avant Garde"/>
                <w:b/>
                <w:bCs/>
                <w:color w:val="000000"/>
                <w:sz w:val="14"/>
                <w:szCs w:val="20"/>
              </w:rPr>
              <w:t>,</w:t>
            </w:r>
            <w:r>
              <w:rPr>
                <w:rFonts w:ascii="ITC Avant Garde" w:hAnsi="ITC Avant Garde"/>
                <w:b/>
                <w:bCs/>
                <w:color w:val="000000"/>
                <w:sz w:val="14"/>
                <w:szCs w:val="20"/>
              </w:rPr>
              <w:t>000</w:t>
            </w:r>
          </w:p>
        </w:tc>
        <w:tc>
          <w:tcPr>
            <w:cnfStyle w:val="000010000000" w:firstRow="0" w:lastRow="0" w:firstColumn="0" w:lastColumn="0" w:oddVBand="1" w:evenVBand="0" w:oddHBand="0" w:evenHBand="0" w:firstRowFirstColumn="0" w:firstRowLastColumn="0" w:lastRowFirstColumn="0" w:lastRowLastColumn="0"/>
            <w:tcW w:w="2075" w:type="dxa"/>
          </w:tcPr>
          <w:p w14:paraId="15FED8B6" w14:textId="77777777" w:rsidR="00E34303" w:rsidRPr="0053565F" w:rsidRDefault="00E34303" w:rsidP="00882869">
            <w:pPr>
              <w:autoSpaceDE w:val="0"/>
              <w:autoSpaceDN w:val="0"/>
              <w:adjustRightInd w:val="0"/>
              <w:spacing w:after="0" w:line="240" w:lineRule="auto"/>
              <w:jc w:val="center"/>
              <w:rPr>
                <w:rFonts w:ascii="ITC Avant Garde" w:hAnsi="ITC Avant Garde"/>
                <w:b/>
                <w:bCs/>
                <w:color w:val="000000"/>
                <w:sz w:val="14"/>
                <w:szCs w:val="20"/>
              </w:rPr>
            </w:pPr>
            <w:r w:rsidRPr="0053565F">
              <w:rPr>
                <w:rFonts w:ascii="ITC Avant Garde" w:hAnsi="ITC Avant Garde"/>
                <w:b/>
                <w:bCs/>
                <w:color w:val="000000"/>
                <w:sz w:val="14"/>
                <w:szCs w:val="20"/>
              </w:rPr>
              <w:t>100%</w:t>
            </w:r>
          </w:p>
        </w:tc>
      </w:tr>
    </w:tbl>
    <w:p w14:paraId="173C1B0E" w14:textId="77777777" w:rsidR="006F1784" w:rsidRDefault="006F1784" w:rsidP="006F1784">
      <w:pPr>
        <w:autoSpaceDE w:val="0"/>
        <w:autoSpaceDN w:val="0"/>
        <w:adjustRightInd w:val="0"/>
        <w:spacing w:after="0" w:line="240" w:lineRule="auto"/>
        <w:jc w:val="both"/>
        <w:rPr>
          <w:rFonts w:ascii="ITC Avant Garde" w:hAnsi="ITC Avant Garde"/>
          <w:b/>
          <w:bCs/>
          <w:sz w:val="23"/>
          <w:szCs w:val="23"/>
        </w:rPr>
      </w:pPr>
    </w:p>
    <w:p w14:paraId="70529067" w14:textId="5D59D94B" w:rsidR="00F77F3F" w:rsidRDefault="00872B46" w:rsidP="00882869">
      <w:pPr>
        <w:autoSpaceDE w:val="0"/>
        <w:autoSpaceDN w:val="0"/>
        <w:adjustRightInd w:val="0"/>
        <w:spacing w:line="240" w:lineRule="auto"/>
        <w:jc w:val="both"/>
        <w:rPr>
          <w:rFonts w:ascii="ITC Avant Garde" w:hAnsi="ITC Avant Garde"/>
          <w:bCs/>
          <w:sz w:val="23"/>
          <w:szCs w:val="23"/>
        </w:rPr>
      </w:pPr>
      <w:r w:rsidRPr="00E859C2">
        <w:rPr>
          <w:rFonts w:ascii="ITC Avant Garde" w:hAnsi="ITC Avant Garde"/>
          <w:b/>
          <w:bCs/>
          <w:sz w:val="23"/>
          <w:szCs w:val="23"/>
        </w:rPr>
        <w:t>SEGUND</w:t>
      </w:r>
      <w:r w:rsidR="00F77F3F" w:rsidRPr="00E859C2">
        <w:rPr>
          <w:rFonts w:ascii="ITC Avant Garde" w:hAnsi="ITC Avant Garde"/>
          <w:b/>
          <w:bCs/>
          <w:sz w:val="23"/>
          <w:szCs w:val="23"/>
        </w:rPr>
        <w:t>O.-</w:t>
      </w:r>
      <w:r w:rsidR="00F77F3F" w:rsidRPr="00E859C2">
        <w:rPr>
          <w:rFonts w:ascii="ITC Avant Garde" w:hAnsi="ITC Avant Garde"/>
          <w:bCs/>
          <w:sz w:val="23"/>
          <w:szCs w:val="23"/>
        </w:rPr>
        <w:t xml:space="preserve"> </w:t>
      </w:r>
      <w:r w:rsidR="00F77F3F" w:rsidRPr="00C04B40">
        <w:rPr>
          <w:rFonts w:ascii="ITC Avant Garde" w:hAnsi="ITC Avant Garde"/>
          <w:bCs/>
          <w:sz w:val="23"/>
          <w:szCs w:val="23"/>
        </w:rPr>
        <w:t xml:space="preserve">Se instruye a la Unidad de Concesiones y Servicios a notificar </w:t>
      </w:r>
      <w:r w:rsidR="00967B8E" w:rsidRPr="00C04B40">
        <w:rPr>
          <w:rFonts w:ascii="ITC Avant Garde" w:hAnsi="ITC Avant Garde"/>
          <w:bCs/>
          <w:sz w:val="23"/>
          <w:szCs w:val="23"/>
        </w:rPr>
        <w:t xml:space="preserve">personalmente al representante legal de </w:t>
      </w:r>
      <w:r w:rsidR="001154FD" w:rsidRPr="000645F4">
        <w:rPr>
          <w:rFonts w:ascii="ITC Avant Garde" w:hAnsi="ITC Avant Garde"/>
          <w:bCs/>
          <w:sz w:val="23"/>
          <w:szCs w:val="23"/>
          <w:lang w:val="es-ES" w:eastAsia="es-ES"/>
        </w:rPr>
        <w:t>Orgtec, S.A.P.I. de C.V.</w:t>
      </w:r>
      <w:r w:rsidR="00D450A9" w:rsidRPr="00C04B40">
        <w:rPr>
          <w:rFonts w:ascii="ITC Avant Garde" w:hAnsi="ITC Avant Garde"/>
          <w:bCs/>
          <w:sz w:val="23"/>
          <w:szCs w:val="23"/>
        </w:rPr>
        <w:t>,</w:t>
      </w:r>
      <w:r w:rsidR="00F77F3F" w:rsidRPr="00C04B40">
        <w:rPr>
          <w:rFonts w:ascii="ITC Avant Garde" w:hAnsi="ITC Avant Garde"/>
          <w:bCs/>
          <w:sz w:val="23"/>
          <w:szCs w:val="23"/>
        </w:rPr>
        <w:t xml:space="preserve"> </w:t>
      </w:r>
      <w:r w:rsidR="007E4613">
        <w:rPr>
          <w:rFonts w:ascii="ITC Avant Garde" w:hAnsi="ITC Avant Garde"/>
          <w:bCs/>
          <w:sz w:val="23"/>
          <w:szCs w:val="23"/>
        </w:rPr>
        <w:t>el contenido de la presente Resolución.</w:t>
      </w:r>
    </w:p>
    <w:p w14:paraId="300F7DCC" w14:textId="77777777" w:rsidR="007E4613" w:rsidRPr="00E859C2" w:rsidRDefault="007E4613" w:rsidP="00882869">
      <w:pPr>
        <w:autoSpaceDE w:val="0"/>
        <w:autoSpaceDN w:val="0"/>
        <w:adjustRightInd w:val="0"/>
        <w:spacing w:line="240" w:lineRule="auto"/>
        <w:jc w:val="both"/>
        <w:rPr>
          <w:rFonts w:ascii="ITC Avant Garde" w:hAnsi="ITC Avant Garde"/>
          <w:bCs/>
          <w:sz w:val="23"/>
          <w:szCs w:val="23"/>
        </w:rPr>
      </w:pPr>
    </w:p>
    <w:p w14:paraId="59D1646E" w14:textId="77777777" w:rsidR="00846937" w:rsidRDefault="00846937" w:rsidP="00882869">
      <w:pPr>
        <w:autoSpaceDE w:val="0"/>
        <w:autoSpaceDN w:val="0"/>
        <w:adjustRightInd w:val="0"/>
        <w:spacing w:line="240" w:lineRule="auto"/>
        <w:jc w:val="both"/>
        <w:rPr>
          <w:rFonts w:ascii="ITC Avant Garde" w:hAnsi="ITC Avant Garde"/>
          <w:bCs/>
          <w:sz w:val="23"/>
          <w:szCs w:val="23"/>
        </w:rPr>
      </w:pPr>
      <w:r>
        <w:rPr>
          <w:rFonts w:ascii="ITC Avant Garde" w:hAnsi="ITC Avant Garde"/>
          <w:b/>
          <w:bCs/>
          <w:sz w:val="23"/>
          <w:szCs w:val="23"/>
        </w:rPr>
        <w:t>TERCERO.-</w:t>
      </w:r>
      <w:r>
        <w:rPr>
          <w:rFonts w:ascii="ITC Avant Garde" w:hAnsi="ITC Avant Garde"/>
          <w:bCs/>
          <w:sz w:val="23"/>
          <w:szCs w:val="23"/>
        </w:rPr>
        <w:t xml:space="preserve"> La presente autorización tendrá una vigencia de 60 (sesenta) días naturales, contados a partir de aquel en que hubiere surtido efectos la notificación de la misma. </w:t>
      </w:r>
    </w:p>
    <w:p w14:paraId="2184A64D" w14:textId="77777777" w:rsidR="006F1784" w:rsidRDefault="006F1784" w:rsidP="00882869">
      <w:pPr>
        <w:autoSpaceDE w:val="0"/>
        <w:autoSpaceDN w:val="0"/>
        <w:adjustRightInd w:val="0"/>
        <w:spacing w:line="240" w:lineRule="auto"/>
        <w:jc w:val="both"/>
        <w:rPr>
          <w:rFonts w:ascii="ITC Avant Garde" w:hAnsi="ITC Avant Garde"/>
          <w:bCs/>
          <w:sz w:val="23"/>
          <w:szCs w:val="23"/>
        </w:rPr>
      </w:pPr>
    </w:p>
    <w:p w14:paraId="5106B6D6" w14:textId="0D0CD75C" w:rsidR="00846937" w:rsidRDefault="00846937" w:rsidP="00882869">
      <w:pPr>
        <w:autoSpaceDE w:val="0"/>
        <w:autoSpaceDN w:val="0"/>
        <w:adjustRightInd w:val="0"/>
        <w:spacing w:line="240" w:lineRule="auto"/>
        <w:jc w:val="both"/>
        <w:rPr>
          <w:rFonts w:ascii="ITC Avant Garde" w:hAnsi="ITC Avant Garde"/>
          <w:bCs/>
          <w:sz w:val="23"/>
          <w:szCs w:val="23"/>
        </w:rPr>
      </w:pPr>
      <w:r>
        <w:rPr>
          <w:rFonts w:ascii="ITC Avant Garde" w:hAnsi="ITC Avant Garde"/>
          <w:bCs/>
          <w:sz w:val="23"/>
          <w:szCs w:val="23"/>
        </w:rPr>
        <w:lastRenderedPageBreak/>
        <w:t xml:space="preserve">Dentro de ese plazo de vigencia, </w:t>
      </w:r>
      <w:r w:rsidR="002C3EAE" w:rsidRPr="000645F4">
        <w:rPr>
          <w:rFonts w:ascii="ITC Avant Garde" w:hAnsi="ITC Avant Garde"/>
          <w:bCs/>
          <w:sz w:val="23"/>
          <w:szCs w:val="23"/>
          <w:lang w:val="es-ES" w:eastAsia="es-ES"/>
        </w:rPr>
        <w:t>Orgtec, S.A.P.I. de C.V.</w:t>
      </w:r>
      <w:r>
        <w:rPr>
          <w:rFonts w:ascii="ITC Avant Garde" w:hAnsi="ITC Avant Garde"/>
          <w:bCs/>
          <w:sz w:val="23"/>
          <w:szCs w:val="23"/>
        </w:rPr>
        <w:t>, deberá presentar para su inscripción en el Registro Público de Concesiones, copia certificada del instrumento donde conste que se llevaron a cabo los movimientos a que se refiere el Resolutivo Primero, en los términos planteados.</w:t>
      </w:r>
    </w:p>
    <w:p w14:paraId="09A118A5" w14:textId="34380F1F" w:rsidR="00846937" w:rsidRDefault="00846937" w:rsidP="00882869">
      <w:pPr>
        <w:autoSpaceDE w:val="0"/>
        <w:autoSpaceDN w:val="0"/>
        <w:adjustRightInd w:val="0"/>
        <w:spacing w:after="0" w:line="240" w:lineRule="auto"/>
        <w:jc w:val="both"/>
        <w:rPr>
          <w:rFonts w:ascii="ITC Avant Garde" w:hAnsi="ITC Avant Garde"/>
          <w:bCs/>
          <w:sz w:val="23"/>
          <w:szCs w:val="23"/>
        </w:rPr>
      </w:pPr>
      <w:r>
        <w:rPr>
          <w:rFonts w:ascii="ITC Avant Garde" w:hAnsi="ITC Avant Garde"/>
          <w:bCs/>
          <w:sz w:val="23"/>
          <w:szCs w:val="23"/>
        </w:rPr>
        <w:t xml:space="preserve">Concluido dicho plazo, sin que se hubiere dado cumplimiento al presente Resolutivo, </w:t>
      </w:r>
      <w:r w:rsidR="00844F9C" w:rsidRPr="000645F4">
        <w:rPr>
          <w:rFonts w:ascii="ITC Avant Garde" w:hAnsi="ITC Avant Garde"/>
          <w:bCs/>
          <w:sz w:val="23"/>
          <w:szCs w:val="23"/>
          <w:lang w:val="es-ES" w:eastAsia="es-ES"/>
        </w:rPr>
        <w:t>Orgtec, S.A.P.I. de C.V.</w:t>
      </w:r>
      <w:r>
        <w:rPr>
          <w:rFonts w:ascii="ITC Avant Garde" w:hAnsi="ITC Avant Garde"/>
          <w:bCs/>
          <w:sz w:val="23"/>
          <w:szCs w:val="23"/>
        </w:rPr>
        <w:t xml:space="preserve"> deberá solicitar una nueva autorización.</w:t>
      </w:r>
    </w:p>
    <w:p w14:paraId="6DCC37E2" w14:textId="77777777" w:rsidR="00846937" w:rsidRDefault="00846937" w:rsidP="00882869">
      <w:pPr>
        <w:autoSpaceDE w:val="0"/>
        <w:autoSpaceDN w:val="0"/>
        <w:adjustRightInd w:val="0"/>
        <w:spacing w:line="240" w:lineRule="auto"/>
        <w:jc w:val="both"/>
        <w:rPr>
          <w:rFonts w:ascii="ITC Avant Garde" w:hAnsi="ITC Avant Garde"/>
          <w:bCs/>
          <w:sz w:val="23"/>
          <w:szCs w:val="23"/>
        </w:rPr>
      </w:pPr>
      <w:r>
        <w:rPr>
          <w:rFonts w:ascii="ITC Avant Garde" w:hAnsi="ITC Avant Garde"/>
          <w:b/>
          <w:bCs/>
          <w:sz w:val="23"/>
          <w:szCs w:val="23"/>
        </w:rPr>
        <w:t xml:space="preserve">CUARTO.- </w:t>
      </w:r>
      <w:r w:rsidRPr="00C43FD7">
        <w:rPr>
          <w:rFonts w:ascii="ITC Avant Garde" w:hAnsi="ITC Avant Garde"/>
          <w:bCs/>
          <w:sz w:val="23"/>
          <w:szCs w:val="23"/>
        </w:rPr>
        <w:t>La presente Resolución se emite en el ámbito de aplicación del artículo 112 de la Ley Federal de Telecomunicaciones y Radiodifusión y no prejuzga sobre las atribuciones que corresponda ejercer al Instituto Federal de Telecomunicaciones en materia de competencia económica.</w:t>
      </w:r>
    </w:p>
    <w:p w14:paraId="1C993F44" w14:textId="77777777" w:rsidR="009B170F" w:rsidRDefault="009B170F" w:rsidP="00882869">
      <w:pPr>
        <w:autoSpaceDE w:val="0"/>
        <w:autoSpaceDN w:val="0"/>
        <w:adjustRightInd w:val="0"/>
        <w:spacing w:line="240" w:lineRule="auto"/>
        <w:jc w:val="both"/>
        <w:rPr>
          <w:rFonts w:ascii="ITC Avant Garde" w:hAnsi="ITC Avant Garde"/>
          <w:bCs/>
          <w:sz w:val="23"/>
          <w:szCs w:val="23"/>
        </w:rPr>
      </w:pPr>
    </w:p>
    <w:p w14:paraId="03A15D40" w14:textId="60A26B3D" w:rsidR="00685413" w:rsidRDefault="00B51B1E" w:rsidP="00685413">
      <w:pPr>
        <w:spacing w:after="0" w:line="240" w:lineRule="auto"/>
        <w:jc w:val="both"/>
      </w:pPr>
      <w:r w:rsidRPr="00B51B1E">
        <w:rPr>
          <w:rFonts w:ascii="ITC Avant Garde" w:hAnsi="ITC Avant Garde"/>
          <w:sz w:val="16"/>
        </w:rPr>
        <w:t>La presente Resolución fue aprobada por el Pleno del Instituto Federal de Telecomunicaciones en su II Sesión Ordinaria celebrada el 27 de enero de 2016, por unanimidad de votos de los Comisionados presentes Gabriel Oswaldo Contreras Saldívar, Luis Fernando Borjón Figueroa,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P/IFT/270116/15.</w:t>
      </w:r>
    </w:p>
    <w:sectPr w:rsidR="00685413" w:rsidSect="006F1784">
      <w:headerReference w:type="even" r:id="rId8"/>
      <w:footerReference w:type="default" r:id="rId9"/>
      <w:headerReference w:type="first" r:id="rId10"/>
      <w:pgSz w:w="12240" w:h="15840"/>
      <w:pgMar w:top="1985" w:right="1418" w:bottom="1134" w:left="1418" w:header="709" w:footer="84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A1E11" w14:textId="77777777" w:rsidR="00223346" w:rsidRDefault="00223346" w:rsidP="00072BC8">
      <w:pPr>
        <w:spacing w:after="0" w:line="240" w:lineRule="auto"/>
      </w:pPr>
      <w:r>
        <w:separator/>
      </w:r>
    </w:p>
  </w:endnote>
  <w:endnote w:type="continuationSeparator" w:id="0">
    <w:p w14:paraId="32402F7A" w14:textId="77777777" w:rsidR="00223346" w:rsidRDefault="00223346"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8515296"/>
      <w:docPartObj>
        <w:docPartGallery w:val="Page Numbers (Bottom of Page)"/>
        <w:docPartUnique/>
      </w:docPartObj>
    </w:sdtPr>
    <w:sdtEndPr>
      <w:rPr>
        <w:rFonts w:ascii="ITC Avant Garde" w:hAnsi="ITC Avant Garde"/>
        <w:sz w:val="20"/>
        <w:szCs w:val="20"/>
      </w:rPr>
    </w:sdtEndPr>
    <w:sdtContent>
      <w:p w14:paraId="646F6579" w14:textId="068733D0" w:rsidR="006F1784" w:rsidRPr="006F1784" w:rsidRDefault="006F1784">
        <w:pPr>
          <w:pStyle w:val="Piedepgina"/>
          <w:jc w:val="right"/>
          <w:rPr>
            <w:rFonts w:ascii="ITC Avant Garde" w:hAnsi="ITC Avant Garde"/>
            <w:sz w:val="20"/>
            <w:szCs w:val="20"/>
          </w:rPr>
        </w:pPr>
        <w:r w:rsidRPr="006F1784">
          <w:rPr>
            <w:rFonts w:ascii="ITC Avant Garde" w:hAnsi="ITC Avant Garde"/>
            <w:sz w:val="20"/>
            <w:szCs w:val="20"/>
          </w:rPr>
          <w:fldChar w:fldCharType="begin"/>
        </w:r>
        <w:r w:rsidRPr="006F1784">
          <w:rPr>
            <w:rFonts w:ascii="ITC Avant Garde" w:hAnsi="ITC Avant Garde"/>
            <w:sz w:val="20"/>
            <w:szCs w:val="20"/>
          </w:rPr>
          <w:instrText>PAGE   \* MERGEFORMAT</w:instrText>
        </w:r>
        <w:r w:rsidRPr="006F1784">
          <w:rPr>
            <w:rFonts w:ascii="ITC Avant Garde" w:hAnsi="ITC Avant Garde"/>
            <w:sz w:val="20"/>
            <w:szCs w:val="20"/>
          </w:rPr>
          <w:fldChar w:fldCharType="separate"/>
        </w:r>
        <w:r w:rsidR="00051BC9" w:rsidRPr="00051BC9">
          <w:rPr>
            <w:rFonts w:ascii="ITC Avant Garde" w:hAnsi="ITC Avant Garde"/>
            <w:noProof/>
            <w:sz w:val="20"/>
            <w:szCs w:val="20"/>
            <w:lang w:val="es-ES"/>
          </w:rPr>
          <w:t>1</w:t>
        </w:r>
        <w:r w:rsidRPr="006F1784">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21909" w14:textId="77777777" w:rsidR="00223346" w:rsidRDefault="00223346" w:rsidP="00072BC8">
      <w:pPr>
        <w:spacing w:after="0" w:line="240" w:lineRule="auto"/>
      </w:pPr>
      <w:r>
        <w:separator/>
      </w:r>
    </w:p>
  </w:footnote>
  <w:footnote w:type="continuationSeparator" w:id="0">
    <w:p w14:paraId="0A2FEFBA" w14:textId="77777777" w:rsidR="00223346" w:rsidRDefault="00223346"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1940E" w14:textId="77777777" w:rsidR="006F5467" w:rsidRDefault="00223346">
    <w:pPr>
      <w:pStyle w:val="Encabezado"/>
    </w:pPr>
    <w:r>
      <w:rPr>
        <w:noProof/>
        <w:lang w:eastAsia="es-MX"/>
      </w:rPr>
      <w:pict w14:anchorId="45558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1556B" w14:textId="77777777" w:rsidR="006F5467" w:rsidRPr="000F5E4B" w:rsidRDefault="00223346">
    <w:pPr>
      <w:pStyle w:val="Encabezado"/>
      <w:rPr>
        <w:b/>
      </w:rPr>
    </w:pPr>
    <w:r>
      <w:rPr>
        <w:b/>
        <w:noProof/>
        <w:lang w:eastAsia="es-MX"/>
      </w:rPr>
      <w:pict w14:anchorId="403C8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77D59"/>
    <w:multiLevelType w:val="hybridMultilevel"/>
    <w:tmpl w:val="32207050"/>
    <w:lvl w:ilvl="0" w:tplc="080A001B">
      <w:start w:val="1"/>
      <w:numFmt w:val="low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1EA95FBC"/>
    <w:multiLevelType w:val="hybridMultilevel"/>
    <w:tmpl w:val="084A7944"/>
    <w:lvl w:ilvl="0" w:tplc="4EEE5C3E">
      <w:start w:val="1"/>
      <w:numFmt w:val="upperRoman"/>
      <w:lvlText w:val="%1."/>
      <w:lvlJc w:val="left"/>
      <w:pPr>
        <w:ind w:left="2148" w:hanging="720"/>
      </w:pPr>
      <w:rPr>
        <w:rFonts w:hint="default"/>
      </w:rPr>
    </w:lvl>
    <w:lvl w:ilvl="1" w:tplc="080A0019" w:tentative="1">
      <w:start w:val="1"/>
      <w:numFmt w:val="lowerLetter"/>
      <w:lvlText w:val="%2."/>
      <w:lvlJc w:val="left"/>
      <w:pPr>
        <w:ind w:left="2508" w:hanging="360"/>
      </w:pPr>
    </w:lvl>
    <w:lvl w:ilvl="2" w:tplc="080A001B" w:tentative="1">
      <w:start w:val="1"/>
      <w:numFmt w:val="lowerRoman"/>
      <w:lvlText w:val="%3."/>
      <w:lvlJc w:val="right"/>
      <w:pPr>
        <w:ind w:left="3228" w:hanging="180"/>
      </w:pPr>
    </w:lvl>
    <w:lvl w:ilvl="3" w:tplc="080A000F" w:tentative="1">
      <w:start w:val="1"/>
      <w:numFmt w:val="decimal"/>
      <w:lvlText w:val="%4."/>
      <w:lvlJc w:val="left"/>
      <w:pPr>
        <w:ind w:left="3948" w:hanging="360"/>
      </w:pPr>
    </w:lvl>
    <w:lvl w:ilvl="4" w:tplc="080A0019" w:tentative="1">
      <w:start w:val="1"/>
      <w:numFmt w:val="lowerLetter"/>
      <w:lvlText w:val="%5."/>
      <w:lvlJc w:val="left"/>
      <w:pPr>
        <w:ind w:left="4668" w:hanging="360"/>
      </w:pPr>
    </w:lvl>
    <w:lvl w:ilvl="5" w:tplc="080A001B" w:tentative="1">
      <w:start w:val="1"/>
      <w:numFmt w:val="lowerRoman"/>
      <w:lvlText w:val="%6."/>
      <w:lvlJc w:val="right"/>
      <w:pPr>
        <w:ind w:left="5388" w:hanging="180"/>
      </w:pPr>
    </w:lvl>
    <w:lvl w:ilvl="6" w:tplc="080A000F" w:tentative="1">
      <w:start w:val="1"/>
      <w:numFmt w:val="decimal"/>
      <w:lvlText w:val="%7."/>
      <w:lvlJc w:val="left"/>
      <w:pPr>
        <w:ind w:left="6108" w:hanging="360"/>
      </w:pPr>
    </w:lvl>
    <w:lvl w:ilvl="7" w:tplc="080A0019" w:tentative="1">
      <w:start w:val="1"/>
      <w:numFmt w:val="lowerLetter"/>
      <w:lvlText w:val="%8."/>
      <w:lvlJc w:val="left"/>
      <w:pPr>
        <w:ind w:left="6828" w:hanging="360"/>
      </w:pPr>
    </w:lvl>
    <w:lvl w:ilvl="8" w:tplc="080A001B" w:tentative="1">
      <w:start w:val="1"/>
      <w:numFmt w:val="lowerRoman"/>
      <w:lvlText w:val="%9."/>
      <w:lvlJc w:val="right"/>
      <w:pPr>
        <w:ind w:left="7548" w:hanging="180"/>
      </w:pPr>
    </w:lvl>
  </w:abstractNum>
  <w:abstractNum w:abstractNumId="2"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3" w15:restartNumberingAfterBreak="0">
    <w:nsid w:val="25F72AD6"/>
    <w:multiLevelType w:val="hybridMultilevel"/>
    <w:tmpl w:val="37BCB11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45EE7362"/>
    <w:multiLevelType w:val="hybridMultilevel"/>
    <w:tmpl w:val="157CAD04"/>
    <w:lvl w:ilvl="0" w:tplc="1D4A2414">
      <w:start w:val="1"/>
      <w:numFmt w:val="upperRoman"/>
      <w:lvlText w:val="%1."/>
      <w:lvlJc w:val="left"/>
      <w:pPr>
        <w:ind w:left="1080" w:hanging="720"/>
      </w:pPr>
      <w:rPr>
        <w:rFonts w:ascii="ITC Avant Garde" w:eastAsia="Calibri" w:hAnsi="ITC Avant Garde" w:cs="Times New Roman" w:hint="default"/>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BA67DE5"/>
    <w:multiLevelType w:val="hybridMultilevel"/>
    <w:tmpl w:val="74EAA874"/>
    <w:lvl w:ilvl="0" w:tplc="DE1EA58C">
      <w:start w:val="3"/>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DB8712D"/>
    <w:multiLevelType w:val="hybridMultilevel"/>
    <w:tmpl w:val="11A2B2C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97668DA"/>
    <w:multiLevelType w:val="hybridMultilevel"/>
    <w:tmpl w:val="07CA34CA"/>
    <w:lvl w:ilvl="0" w:tplc="3028E522">
      <w:start w:val="20"/>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FA65F3B"/>
    <w:multiLevelType w:val="hybridMultilevel"/>
    <w:tmpl w:val="67EE6C9A"/>
    <w:lvl w:ilvl="0" w:tplc="7A349674">
      <w:start w:val="20"/>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5"/>
  </w:num>
  <w:num w:numId="2">
    <w:abstractNumId w:val="8"/>
  </w:num>
  <w:num w:numId="3">
    <w:abstractNumId w:val="4"/>
  </w:num>
  <w:num w:numId="4">
    <w:abstractNumId w:val="6"/>
  </w:num>
  <w:num w:numId="5">
    <w:abstractNumId w:val="7"/>
  </w:num>
  <w:num w:numId="6">
    <w:abstractNumId w:val="10"/>
  </w:num>
  <w:num w:numId="7">
    <w:abstractNumId w:val="0"/>
  </w:num>
  <w:num w:numId="8">
    <w:abstractNumId w:val="1"/>
  </w:num>
  <w:num w:numId="9">
    <w:abstractNumId w:val="3"/>
  </w:num>
  <w:num w:numId="10">
    <w:abstractNumId w:val="9"/>
  </w:num>
  <w:num w:numId="11">
    <w:abstractNumId w:val="2"/>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0AF6"/>
    <w:rsid w:val="000013E4"/>
    <w:rsid w:val="0000341D"/>
    <w:rsid w:val="00004279"/>
    <w:rsid w:val="00010FB7"/>
    <w:rsid w:val="000116D0"/>
    <w:rsid w:val="00011FCA"/>
    <w:rsid w:val="00014EFF"/>
    <w:rsid w:val="000154B0"/>
    <w:rsid w:val="00016AC9"/>
    <w:rsid w:val="000173C1"/>
    <w:rsid w:val="00020418"/>
    <w:rsid w:val="00022A13"/>
    <w:rsid w:val="00022B85"/>
    <w:rsid w:val="00023EF7"/>
    <w:rsid w:val="00024F70"/>
    <w:rsid w:val="0002568E"/>
    <w:rsid w:val="00037344"/>
    <w:rsid w:val="00037D31"/>
    <w:rsid w:val="000448E7"/>
    <w:rsid w:val="0004564C"/>
    <w:rsid w:val="000500D9"/>
    <w:rsid w:val="00051BC9"/>
    <w:rsid w:val="00052CFA"/>
    <w:rsid w:val="0005470B"/>
    <w:rsid w:val="000611AD"/>
    <w:rsid w:val="00062C40"/>
    <w:rsid w:val="000645F4"/>
    <w:rsid w:val="00066E53"/>
    <w:rsid w:val="00071026"/>
    <w:rsid w:val="00072221"/>
    <w:rsid w:val="00072BC8"/>
    <w:rsid w:val="00072D11"/>
    <w:rsid w:val="00074BE0"/>
    <w:rsid w:val="00074C09"/>
    <w:rsid w:val="00075254"/>
    <w:rsid w:val="000775ED"/>
    <w:rsid w:val="00082D03"/>
    <w:rsid w:val="000837C7"/>
    <w:rsid w:val="00085181"/>
    <w:rsid w:val="000851CE"/>
    <w:rsid w:val="00090D4C"/>
    <w:rsid w:val="00096CC8"/>
    <w:rsid w:val="000A1861"/>
    <w:rsid w:val="000A1E6A"/>
    <w:rsid w:val="000A22CB"/>
    <w:rsid w:val="000A277D"/>
    <w:rsid w:val="000A3E65"/>
    <w:rsid w:val="000A3F27"/>
    <w:rsid w:val="000A62EA"/>
    <w:rsid w:val="000B109B"/>
    <w:rsid w:val="000B1B50"/>
    <w:rsid w:val="000B1DF8"/>
    <w:rsid w:val="000B5E58"/>
    <w:rsid w:val="000B7FD1"/>
    <w:rsid w:val="000C1A62"/>
    <w:rsid w:val="000C474A"/>
    <w:rsid w:val="000C4C55"/>
    <w:rsid w:val="000D31F4"/>
    <w:rsid w:val="000E3F73"/>
    <w:rsid w:val="000F17CF"/>
    <w:rsid w:val="000F28E3"/>
    <w:rsid w:val="000F4D94"/>
    <w:rsid w:val="000F5AC1"/>
    <w:rsid w:val="000F5E4B"/>
    <w:rsid w:val="00100DE3"/>
    <w:rsid w:val="00106523"/>
    <w:rsid w:val="001074E7"/>
    <w:rsid w:val="001114B5"/>
    <w:rsid w:val="00112C0E"/>
    <w:rsid w:val="00113076"/>
    <w:rsid w:val="00114E54"/>
    <w:rsid w:val="001154FD"/>
    <w:rsid w:val="001168E5"/>
    <w:rsid w:val="00116E48"/>
    <w:rsid w:val="0012257F"/>
    <w:rsid w:val="001246FE"/>
    <w:rsid w:val="00126DEC"/>
    <w:rsid w:val="00127F83"/>
    <w:rsid w:val="00136C0E"/>
    <w:rsid w:val="00137407"/>
    <w:rsid w:val="00137A66"/>
    <w:rsid w:val="00141FE7"/>
    <w:rsid w:val="001425EA"/>
    <w:rsid w:val="00144765"/>
    <w:rsid w:val="0014549E"/>
    <w:rsid w:val="0014766B"/>
    <w:rsid w:val="00147884"/>
    <w:rsid w:val="001503CA"/>
    <w:rsid w:val="00150EFA"/>
    <w:rsid w:val="00151C5F"/>
    <w:rsid w:val="001523E6"/>
    <w:rsid w:val="00153356"/>
    <w:rsid w:val="0016161E"/>
    <w:rsid w:val="00163FD3"/>
    <w:rsid w:val="00164246"/>
    <w:rsid w:val="0016577A"/>
    <w:rsid w:val="0017406A"/>
    <w:rsid w:val="00175D28"/>
    <w:rsid w:val="00176654"/>
    <w:rsid w:val="00177FB0"/>
    <w:rsid w:val="001801FE"/>
    <w:rsid w:val="00180454"/>
    <w:rsid w:val="00180C08"/>
    <w:rsid w:val="00181018"/>
    <w:rsid w:val="0018572D"/>
    <w:rsid w:val="001871CF"/>
    <w:rsid w:val="00190FBB"/>
    <w:rsid w:val="00193FA8"/>
    <w:rsid w:val="001A2A96"/>
    <w:rsid w:val="001A3049"/>
    <w:rsid w:val="001A58D7"/>
    <w:rsid w:val="001A62B7"/>
    <w:rsid w:val="001A64C7"/>
    <w:rsid w:val="001A6B6F"/>
    <w:rsid w:val="001B12B0"/>
    <w:rsid w:val="001B58A1"/>
    <w:rsid w:val="001B6D97"/>
    <w:rsid w:val="001B7748"/>
    <w:rsid w:val="001C15FF"/>
    <w:rsid w:val="001C71A8"/>
    <w:rsid w:val="001D0F10"/>
    <w:rsid w:val="001D4B81"/>
    <w:rsid w:val="001D7AC9"/>
    <w:rsid w:val="001D7B26"/>
    <w:rsid w:val="001E285C"/>
    <w:rsid w:val="001E3808"/>
    <w:rsid w:val="001E5C52"/>
    <w:rsid w:val="001E7493"/>
    <w:rsid w:val="001E7950"/>
    <w:rsid w:val="001F198E"/>
    <w:rsid w:val="001F631A"/>
    <w:rsid w:val="001F666E"/>
    <w:rsid w:val="001F68A3"/>
    <w:rsid w:val="001F70DB"/>
    <w:rsid w:val="001F7833"/>
    <w:rsid w:val="00202E7B"/>
    <w:rsid w:val="002052C0"/>
    <w:rsid w:val="0021629B"/>
    <w:rsid w:val="00216D6B"/>
    <w:rsid w:val="00221568"/>
    <w:rsid w:val="00221CD0"/>
    <w:rsid w:val="00223346"/>
    <w:rsid w:val="00223483"/>
    <w:rsid w:val="00223FEF"/>
    <w:rsid w:val="00224AFA"/>
    <w:rsid w:val="00225232"/>
    <w:rsid w:val="00225323"/>
    <w:rsid w:val="00226F42"/>
    <w:rsid w:val="0022735C"/>
    <w:rsid w:val="0022796A"/>
    <w:rsid w:val="002315C3"/>
    <w:rsid w:val="00235B48"/>
    <w:rsid w:val="0023752B"/>
    <w:rsid w:val="002407D9"/>
    <w:rsid w:val="002512DD"/>
    <w:rsid w:val="002518F4"/>
    <w:rsid w:val="00253E0D"/>
    <w:rsid w:val="00254051"/>
    <w:rsid w:val="00262345"/>
    <w:rsid w:val="002656A1"/>
    <w:rsid w:val="00267C6A"/>
    <w:rsid w:val="002731B7"/>
    <w:rsid w:val="00274C72"/>
    <w:rsid w:val="002760D7"/>
    <w:rsid w:val="00276D2C"/>
    <w:rsid w:val="00276FC3"/>
    <w:rsid w:val="002779D1"/>
    <w:rsid w:val="00277BFB"/>
    <w:rsid w:val="00281886"/>
    <w:rsid w:val="00281968"/>
    <w:rsid w:val="00286D88"/>
    <w:rsid w:val="0028770F"/>
    <w:rsid w:val="002901D8"/>
    <w:rsid w:val="002915DF"/>
    <w:rsid w:val="0029348C"/>
    <w:rsid w:val="002937F4"/>
    <w:rsid w:val="002A489F"/>
    <w:rsid w:val="002A5CD0"/>
    <w:rsid w:val="002B00D1"/>
    <w:rsid w:val="002B35AD"/>
    <w:rsid w:val="002B5CCD"/>
    <w:rsid w:val="002B794C"/>
    <w:rsid w:val="002C2F8D"/>
    <w:rsid w:val="002C324A"/>
    <w:rsid w:val="002C3B54"/>
    <w:rsid w:val="002C3EAE"/>
    <w:rsid w:val="002C5612"/>
    <w:rsid w:val="002C5AE0"/>
    <w:rsid w:val="002D08D4"/>
    <w:rsid w:val="002D0F52"/>
    <w:rsid w:val="002D287C"/>
    <w:rsid w:val="002D52BD"/>
    <w:rsid w:val="002E1806"/>
    <w:rsid w:val="002E4A09"/>
    <w:rsid w:val="002E4C83"/>
    <w:rsid w:val="002E6CEC"/>
    <w:rsid w:val="002E6D11"/>
    <w:rsid w:val="002E772F"/>
    <w:rsid w:val="002F047E"/>
    <w:rsid w:val="002F19A3"/>
    <w:rsid w:val="002F42D9"/>
    <w:rsid w:val="0030086B"/>
    <w:rsid w:val="003043AE"/>
    <w:rsid w:val="003050F2"/>
    <w:rsid w:val="0030593F"/>
    <w:rsid w:val="00306582"/>
    <w:rsid w:val="00306A37"/>
    <w:rsid w:val="00306B89"/>
    <w:rsid w:val="00311B0A"/>
    <w:rsid w:val="003120FF"/>
    <w:rsid w:val="003139D2"/>
    <w:rsid w:val="00315BCE"/>
    <w:rsid w:val="00317244"/>
    <w:rsid w:val="003172FD"/>
    <w:rsid w:val="00317E61"/>
    <w:rsid w:val="00320141"/>
    <w:rsid w:val="0032128F"/>
    <w:rsid w:val="00322C94"/>
    <w:rsid w:val="00331BF9"/>
    <w:rsid w:val="003335A6"/>
    <w:rsid w:val="003349D8"/>
    <w:rsid w:val="00334D4F"/>
    <w:rsid w:val="00335F51"/>
    <w:rsid w:val="00336651"/>
    <w:rsid w:val="00341067"/>
    <w:rsid w:val="00342F03"/>
    <w:rsid w:val="003453A2"/>
    <w:rsid w:val="00345EE1"/>
    <w:rsid w:val="00347BAD"/>
    <w:rsid w:val="003501A4"/>
    <w:rsid w:val="00350911"/>
    <w:rsid w:val="00351D52"/>
    <w:rsid w:val="00353CD8"/>
    <w:rsid w:val="003546A7"/>
    <w:rsid w:val="003555E9"/>
    <w:rsid w:val="00363D3F"/>
    <w:rsid w:val="00367EE9"/>
    <w:rsid w:val="00371021"/>
    <w:rsid w:val="003733A5"/>
    <w:rsid w:val="003753BE"/>
    <w:rsid w:val="003753ED"/>
    <w:rsid w:val="00377637"/>
    <w:rsid w:val="00380710"/>
    <w:rsid w:val="003818A7"/>
    <w:rsid w:val="00385C0C"/>
    <w:rsid w:val="00387BAB"/>
    <w:rsid w:val="00390C9D"/>
    <w:rsid w:val="003919D8"/>
    <w:rsid w:val="00395231"/>
    <w:rsid w:val="003A19FB"/>
    <w:rsid w:val="003A1B0D"/>
    <w:rsid w:val="003A59B8"/>
    <w:rsid w:val="003B0784"/>
    <w:rsid w:val="003B22D6"/>
    <w:rsid w:val="003B2407"/>
    <w:rsid w:val="003B4299"/>
    <w:rsid w:val="003B440E"/>
    <w:rsid w:val="003B51E6"/>
    <w:rsid w:val="003B589E"/>
    <w:rsid w:val="003B6BAC"/>
    <w:rsid w:val="003C29D1"/>
    <w:rsid w:val="003D2D2F"/>
    <w:rsid w:val="003D549F"/>
    <w:rsid w:val="003D6094"/>
    <w:rsid w:val="003E1E59"/>
    <w:rsid w:val="003E3F7C"/>
    <w:rsid w:val="003E4054"/>
    <w:rsid w:val="003E4F3A"/>
    <w:rsid w:val="003E5B75"/>
    <w:rsid w:val="003F3B5A"/>
    <w:rsid w:val="003F5EA8"/>
    <w:rsid w:val="003F6566"/>
    <w:rsid w:val="003F6DC0"/>
    <w:rsid w:val="00404708"/>
    <w:rsid w:val="004125E6"/>
    <w:rsid w:val="00412F3A"/>
    <w:rsid w:val="00415E0A"/>
    <w:rsid w:val="00416051"/>
    <w:rsid w:val="00420FA3"/>
    <w:rsid w:val="00427278"/>
    <w:rsid w:val="00427C38"/>
    <w:rsid w:val="00431BC9"/>
    <w:rsid w:val="00440EBB"/>
    <w:rsid w:val="00441755"/>
    <w:rsid w:val="004424A1"/>
    <w:rsid w:val="00446858"/>
    <w:rsid w:val="00450A26"/>
    <w:rsid w:val="004518C5"/>
    <w:rsid w:val="00452045"/>
    <w:rsid w:val="00453E39"/>
    <w:rsid w:val="00454A27"/>
    <w:rsid w:val="00460657"/>
    <w:rsid w:val="00460750"/>
    <w:rsid w:val="00461DE8"/>
    <w:rsid w:val="00463AC8"/>
    <w:rsid w:val="00473665"/>
    <w:rsid w:val="00476447"/>
    <w:rsid w:val="00483994"/>
    <w:rsid w:val="004848FF"/>
    <w:rsid w:val="00485093"/>
    <w:rsid w:val="00490B25"/>
    <w:rsid w:val="004964D7"/>
    <w:rsid w:val="004A1C34"/>
    <w:rsid w:val="004A37DE"/>
    <w:rsid w:val="004A5250"/>
    <w:rsid w:val="004A58E3"/>
    <w:rsid w:val="004A71B3"/>
    <w:rsid w:val="004B08AA"/>
    <w:rsid w:val="004B12EE"/>
    <w:rsid w:val="004B323F"/>
    <w:rsid w:val="004B56B1"/>
    <w:rsid w:val="004B5A48"/>
    <w:rsid w:val="004C00EE"/>
    <w:rsid w:val="004C0BCC"/>
    <w:rsid w:val="004C0E44"/>
    <w:rsid w:val="004C1528"/>
    <w:rsid w:val="004C249C"/>
    <w:rsid w:val="004C3ABA"/>
    <w:rsid w:val="004D1AAD"/>
    <w:rsid w:val="004D3822"/>
    <w:rsid w:val="004D43D6"/>
    <w:rsid w:val="004D71E7"/>
    <w:rsid w:val="004D7684"/>
    <w:rsid w:val="004E15EF"/>
    <w:rsid w:val="004E2743"/>
    <w:rsid w:val="004E775E"/>
    <w:rsid w:val="004F1332"/>
    <w:rsid w:val="004F4E8E"/>
    <w:rsid w:val="004F5813"/>
    <w:rsid w:val="004F6E26"/>
    <w:rsid w:val="005005BE"/>
    <w:rsid w:val="0050163C"/>
    <w:rsid w:val="00502BE6"/>
    <w:rsid w:val="00504F34"/>
    <w:rsid w:val="00504FF0"/>
    <w:rsid w:val="00505436"/>
    <w:rsid w:val="005062A1"/>
    <w:rsid w:val="00510452"/>
    <w:rsid w:val="00511A1F"/>
    <w:rsid w:val="0051488F"/>
    <w:rsid w:val="005161E4"/>
    <w:rsid w:val="00524115"/>
    <w:rsid w:val="00525EB2"/>
    <w:rsid w:val="00530F3C"/>
    <w:rsid w:val="00531675"/>
    <w:rsid w:val="00531726"/>
    <w:rsid w:val="00531873"/>
    <w:rsid w:val="00532AFB"/>
    <w:rsid w:val="005331CC"/>
    <w:rsid w:val="0053565F"/>
    <w:rsid w:val="00537226"/>
    <w:rsid w:val="005375DB"/>
    <w:rsid w:val="00542B97"/>
    <w:rsid w:val="00543990"/>
    <w:rsid w:val="00543F7C"/>
    <w:rsid w:val="0055304D"/>
    <w:rsid w:val="00553828"/>
    <w:rsid w:val="0055497B"/>
    <w:rsid w:val="00554FF3"/>
    <w:rsid w:val="00560794"/>
    <w:rsid w:val="005616D6"/>
    <w:rsid w:val="0056245E"/>
    <w:rsid w:val="00563E87"/>
    <w:rsid w:val="005717F6"/>
    <w:rsid w:val="00572775"/>
    <w:rsid w:val="00575941"/>
    <w:rsid w:val="00577A20"/>
    <w:rsid w:val="00581FDE"/>
    <w:rsid w:val="005840B5"/>
    <w:rsid w:val="00584E1B"/>
    <w:rsid w:val="00585535"/>
    <w:rsid w:val="00585784"/>
    <w:rsid w:val="0058647F"/>
    <w:rsid w:val="005866C9"/>
    <w:rsid w:val="005903DD"/>
    <w:rsid w:val="00594B56"/>
    <w:rsid w:val="005A1056"/>
    <w:rsid w:val="005A1FD9"/>
    <w:rsid w:val="005A4FB1"/>
    <w:rsid w:val="005A5075"/>
    <w:rsid w:val="005B0C52"/>
    <w:rsid w:val="005B782D"/>
    <w:rsid w:val="005B7D0F"/>
    <w:rsid w:val="005C086D"/>
    <w:rsid w:val="005C6080"/>
    <w:rsid w:val="005C6CB9"/>
    <w:rsid w:val="005D16B2"/>
    <w:rsid w:val="005D4A72"/>
    <w:rsid w:val="005D5063"/>
    <w:rsid w:val="005D58F5"/>
    <w:rsid w:val="005D6385"/>
    <w:rsid w:val="005D7D7C"/>
    <w:rsid w:val="005E0907"/>
    <w:rsid w:val="005E164A"/>
    <w:rsid w:val="005E37DE"/>
    <w:rsid w:val="005E4149"/>
    <w:rsid w:val="005E462B"/>
    <w:rsid w:val="005F2A3E"/>
    <w:rsid w:val="005F5B4B"/>
    <w:rsid w:val="005F60D7"/>
    <w:rsid w:val="005F6492"/>
    <w:rsid w:val="005F64A1"/>
    <w:rsid w:val="00612D3D"/>
    <w:rsid w:val="0062270B"/>
    <w:rsid w:val="00622ABA"/>
    <w:rsid w:val="00622E34"/>
    <w:rsid w:val="00623B3E"/>
    <w:rsid w:val="00625CA5"/>
    <w:rsid w:val="00626EF3"/>
    <w:rsid w:val="006277D4"/>
    <w:rsid w:val="00632357"/>
    <w:rsid w:val="006376CC"/>
    <w:rsid w:val="00642EC8"/>
    <w:rsid w:val="00644702"/>
    <w:rsid w:val="00644755"/>
    <w:rsid w:val="00644F4E"/>
    <w:rsid w:val="0064694C"/>
    <w:rsid w:val="006527CB"/>
    <w:rsid w:val="00654467"/>
    <w:rsid w:val="00655179"/>
    <w:rsid w:val="0065585C"/>
    <w:rsid w:val="006621D6"/>
    <w:rsid w:val="006649DC"/>
    <w:rsid w:val="00664C11"/>
    <w:rsid w:val="006651D2"/>
    <w:rsid w:val="00667D04"/>
    <w:rsid w:val="00670C4E"/>
    <w:rsid w:val="0067199F"/>
    <w:rsid w:val="0067323D"/>
    <w:rsid w:val="00674E5F"/>
    <w:rsid w:val="0067717E"/>
    <w:rsid w:val="0068412C"/>
    <w:rsid w:val="00685413"/>
    <w:rsid w:val="006902A6"/>
    <w:rsid w:val="00692585"/>
    <w:rsid w:val="00693930"/>
    <w:rsid w:val="00695C99"/>
    <w:rsid w:val="00697F26"/>
    <w:rsid w:val="006A095E"/>
    <w:rsid w:val="006A26FC"/>
    <w:rsid w:val="006A38C6"/>
    <w:rsid w:val="006A4E88"/>
    <w:rsid w:val="006A53AA"/>
    <w:rsid w:val="006A65F2"/>
    <w:rsid w:val="006B191F"/>
    <w:rsid w:val="006B2C48"/>
    <w:rsid w:val="006B4376"/>
    <w:rsid w:val="006B6504"/>
    <w:rsid w:val="006B72B8"/>
    <w:rsid w:val="006C37D1"/>
    <w:rsid w:val="006D1E43"/>
    <w:rsid w:val="006D21C8"/>
    <w:rsid w:val="006D59CB"/>
    <w:rsid w:val="006E1D6B"/>
    <w:rsid w:val="006E2D8C"/>
    <w:rsid w:val="006F0187"/>
    <w:rsid w:val="006F1784"/>
    <w:rsid w:val="006F18DD"/>
    <w:rsid w:val="006F257F"/>
    <w:rsid w:val="006F4F25"/>
    <w:rsid w:val="006F5467"/>
    <w:rsid w:val="006F59FB"/>
    <w:rsid w:val="00700FD3"/>
    <w:rsid w:val="00701B8C"/>
    <w:rsid w:val="00702F7A"/>
    <w:rsid w:val="0070679A"/>
    <w:rsid w:val="0071059B"/>
    <w:rsid w:val="00711548"/>
    <w:rsid w:val="0071165B"/>
    <w:rsid w:val="00714FBE"/>
    <w:rsid w:val="0072029C"/>
    <w:rsid w:val="0072207F"/>
    <w:rsid w:val="00724197"/>
    <w:rsid w:val="0072686B"/>
    <w:rsid w:val="00726BA0"/>
    <w:rsid w:val="0073223B"/>
    <w:rsid w:val="0073345E"/>
    <w:rsid w:val="0073457C"/>
    <w:rsid w:val="007350D4"/>
    <w:rsid w:val="00737250"/>
    <w:rsid w:val="007422FB"/>
    <w:rsid w:val="0074689A"/>
    <w:rsid w:val="007504EE"/>
    <w:rsid w:val="00750D1B"/>
    <w:rsid w:val="00751110"/>
    <w:rsid w:val="00754CAE"/>
    <w:rsid w:val="00760528"/>
    <w:rsid w:val="007619AB"/>
    <w:rsid w:val="00761C83"/>
    <w:rsid w:val="007631AF"/>
    <w:rsid w:val="00763340"/>
    <w:rsid w:val="007660E8"/>
    <w:rsid w:val="00771541"/>
    <w:rsid w:val="007716C4"/>
    <w:rsid w:val="0077468A"/>
    <w:rsid w:val="007775B6"/>
    <w:rsid w:val="00777666"/>
    <w:rsid w:val="00777877"/>
    <w:rsid w:val="00780B84"/>
    <w:rsid w:val="0078216C"/>
    <w:rsid w:val="0078578F"/>
    <w:rsid w:val="00785FF6"/>
    <w:rsid w:val="00787EFC"/>
    <w:rsid w:val="0079033D"/>
    <w:rsid w:val="007942D6"/>
    <w:rsid w:val="00795C0A"/>
    <w:rsid w:val="007961CB"/>
    <w:rsid w:val="007A1D0E"/>
    <w:rsid w:val="007A3687"/>
    <w:rsid w:val="007A6F80"/>
    <w:rsid w:val="007B1149"/>
    <w:rsid w:val="007B2E7C"/>
    <w:rsid w:val="007B67A2"/>
    <w:rsid w:val="007B75EF"/>
    <w:rsid w:val="007B7D80"/>
    <w:rsid w:val="007C0890"/>
    <w:rsid w:val="007C20C8"/>
    <w:rsid w:val="007C255C"/>
    <w:rsid w:val="007C5464"/>
    <w:rsid w:val="007D3BBA"/>
    <w:rsid w:val="007D71AF"/>
    <w:rsid w:val="007E0B84"/>
    <w:rsid w:val="007E1CCE"/>
    <w:rsid w:val="007E4613"/>
    <w:rsid w:val="007E4EFA"/>
    <w:rsid w:val="007E5CEC"/>
    <w:rsid w:val="007E5E60"/>
    <w:rsid w:val="007E6022"/>
    <w:rsid w:val="007E6235"/>
    <w:rsid w:val="007F0799"/>
    <w:rsid w:val="007F237A"/>
    <w:rsid w:val="007F33CB"/>
    <w:rsid w:val="007F47D5"/>
    <w:rsid w:val="007F695A"/>
    <w:rsid w:val="00800A0D"/>
    <w:rsid w:val="00800D47"/>
    <w:rsid w:val="00801488"/>
    <w:rsid w:val="00801866"/>
    <w:rsid w:val="00801C10"/>
    <w:rsid w:val="0080212D"/>
    <w:rsid w:val="00804013"/>
    <w:rsid w:val="00807FBE"/>
    <w:rsid w:val="00812122"/>
    <w:rsid w:val="00813D1F"/>
    <w:rsid w:val="008147F1"/>
    <w:rsid w:val="00815766"/>
    <w:rsid w:val="008166E8"/>
    <w:rsid w:val="00817BEA"/>
    <w:rsid w:val="00824E5F"/>
    <w:rsid w:val="00836972"/>
    <w:rsid w:val="008423FC"/>
    <w:rsid w:val="0084259E"/>
    <w:rsid w:val="00844F9C"/>
    <w:rsid w:val="008451E9"/>
    <w:rsid w:val="00845762"/>
    <w:rsid w:val="00846937"/>
    <w:rsid w:val="00846A5F"/>
    <w:rsid w:val="00847626"/>
    <w:rsid w:val="00847E64"/>
    <w:rsid w:val="00852A0A"/>
    <w:rsid w:val="00852C0D"/>
    <w:rsid w:val="00854371"/>
    <w:rsid w:val="00855F4D"/>
    <w:rsid w:val="00856778"/>
    <w:rsid w:val="008606E6"/>
    <w:rsid w:val="00860B94"/>
    <w:rsid w:val="00861247"/>
    <w:rsid w:val="00862533"/>
    <w:rsid w:val="00862D8E"/>
    <w:rsid w:val="00863B4A"/>
    <w:rsid w:val="00864E1F"/>
    <w:rsid w:val="008678C2"/>
    <w:rsid w:val="00872B46"/>
    <w:rsid w:val="00875F59"/>
    <w:rsid w:val="008810B4"/>
    <w:rsid w:val="008815FA"/>
    <w:rsid w:val="00881C9B"/>
    <w:rsid w:val="00882869"/>
    <w:rsid w:val="00890752"/>
    <w:rsid w:val="0089190F"/>
    <w:rsid w:val="00893CB1"/>
    <w:rsid w:val="008964DE"/>
    <w:rsid w:val="00896FD7"/>
    <w:rsid w:val="00897FD3"/>
    <w:rsid w:val="008A363B"/>
    <w:rsid w:val="008A622F"/>
    <w:rsid w:val="008B04E6"/>
    <w:rsid w:val="008B2DEB"/>
    <w:rsid w:val="008B3B05"/>
    <w:rsid w:val="008B3C2A"/>
    <w:rsid w:val="008B6A26"/>
    <w:rsid w:val="008B6B2A"/>
    <w:rsid w:val="008B75EA"/>
    <w:rsid w:val="008C1C90"/>
    <w:rsid w:val="008C66F1"/>
    <w:rsid w:val="008C754C"/>
    <w:rsid w:val="008D0688"/>
    <w:rsid w:val="008D22DC"/>
    <w:rsid w:val="008D4107"/>
    <w:rsid w:val="008D4681"/>
    <w:rsid w:val="008E1B1A"/>
    <w:rsid w:val="008E25B3"/>
    <w:rsid w:val="008E2F50"/>
    <w:rsid w:val="008E405B"/>
    <w:rsid w:val="008E46F0"/>
    <w:rsid w:val="008E5282"/>
    <w:rsid w:val="008E7D10"/>
    <w:rsid w:val="008F318F"/>
    <w:rsid w:val="008F5111"/>
    <w:rsid w:val="008F516F"/>
    <w:rsid w:val="008F5FE1"/>
    <w:rsid w:val="008F6219"/>
    <w:rsid w:val="0090537E"/>
    <w:rsid w:val="009061F9"/>
    <w:rsid w:val="00906442"/>
    <w:rsid w:val="00906D98"/>
    <w:rsid w:val="00906DAA"/>
    <w:rsid w:val="009075F1"/>
    <w:rsid w:val="00911BFF"/>
    <w:rsid w:val="00912184"/>
    <w:rsid w:val="00912C6D"/>
    <w:rsid w:val="009133DA"/>
    <w:rsid w:val="00913964"/>
    <w:rsid w:val="00913A3C"/>
    <w:rsid w:val="00916A7E"/>
    <w:rsid w:val="00920E19"/>
    <w:rsid w:val="009216A5"/>
    <w:rsid w:val="00922A37"/>
    <w:rsid w:val="009246C3"/>
    <w:rsid w:val="009249E3"/>
    <w:rsid w:val="00925378"/>
    <w:rsid w:val="0092587C"/>
    <w:rsid w:val="00927D2D"/>
    <w:rsid w:val="00930132"/>
    <w:rsid w:val="00930A17"/>
    <w:rsid w:val="00933E4F"/>
    <w:rsid w:val="00934AE3"/>
    <w:rsid w:val="00936CD8"/>
    <w:rsid w:val="00937A48"/>
    <w:rsid w:val="009403A5"/>
    <w:rsid w:val="00943829"/>
    <w:rsid w:val="0094499A"/>
    <w:rsid w:val="00945BBC"/>
    <w:rsid w:val="00947586"/>
    <w:rsid w:val="00950A84"/>
    <w:rsid w:val="00950DE2"/>
    <w:rsid w:val="00952086"/>
    <w:rsid w:val="009554C2"/>
    <w:rsid w:val="00956773"/>
    <w:rsid w:val="00957776"/>
    <w:rsid w:val="00960A0F"/>
    <w:rsid w:val="00965DA9"/>
    <w:rsid w:val="0096750B"/>
    <w:rsid w:val="00967B8E"/>
    <w:rsid w:val="00972ED0"/>
    <w:rsid w:val="00973BF1"/>
    <w:rsid w:val="00981429"/>
    <w:rsid w:val="009815E2"/>
    <w:rsid w:val="009909E8"/>
    <w:rsid w:val="00990AD9"/>
    <w:rsid w:val="009931CA"/>
    <w:rsid w:val="00996ED5"/>
    <w:rsid w:val="009A16BE"/>
    <w:rsid w:val="009A2AB2"/>
    <w:rsid w:val="009A5FC4"/>
    <w:rsid w:val="009A6296"/>
    <w:rsid w:val="009B170F"/>
    <w:rsid w:val="009B3BA1"/>
    <w:rsid w:val="009B5408"/>
    <w:rsid w:val="009B6ADB"/>
    <w:rsid w:val="009B7ADF"/>
    <w:rsid w:val="009C2967"/>
    <w:rsid w:val="009C2D6B"/>
    <w:rsid w:val="009C3C32"/>
    <w:rsid w:val="009C3F87"/>
    <w:rsid w:val="009C4586"/>
    <w:rsid w:val="009D2F6F"/>
    <w:rsid w:val="009D3C28"/>
    <w:rsid w:val="009D568B"/>
    <w:rsid w:val="009D6D37"/>
    <w:rsid w:val="009D6E1C"/>
    <w:rsid w:val="009D6F4E"/>
    <w:rsid w:val="009E014B"/>
    <w:rsid w:val="009E0304"/>
    <w:rsid w:val="009E05BC"/>
    <w:rsid w:val="009F0BF7"/>
    <w:rsid w:val="009F0F46"/>
    <w:rsid w:val="009F31DD"/>
    <w:rsid w:val="009F3718"/>
    <w:rsid w:val="009F520D"/>
    <w:rsid w:val="009F685F"/>
    <w:rsid w:val="009F74AB"/>
    <w:rsid w:val="009F74E8"/>
    <w:rsid w:val="009F78F5"/>
    <w:rsid w:val="00A0116B"/>
    <w:rsid w:val="00A0248E"/>
    <w:rsid w:val="00A029C5"/>
    <w:rsid w:val="00A13BBB"/>
    <w:rsid w:val="00A14782"/>
    <w:rsid w:val="00A15E3B"/>
    <w:rsid w:val="00A172BC"/>
    <w:rsid w:val="00A2130F"/>
    <w:rsid w:val="00A226B5"/>
    <w:rsid w:val="00A24A56"/>
    <w:rsid w:val="00A252C8"/>
    <w:rsid w:val="00A25303"/>
    <w:rsid w:val="00A271AD"/>
    <w:rsid w:val="00A27AFC"/>
    <w:rsid w:val="00A27CEE"/>
    <w:rsid w:val="00A341D1"/>
    <w:rsid w:val="00A3626C"/>
    <w:rsid w:val="00A3726E"/>
    <w:rsid w:val="00A37CD4"/>
    <w:rsid w:val="00A37ECA"/>
    <w:rsid w:val="00A407D2"/>
    <w:rsid w:val="00A50730"/>
    <w:rsid w:val="00A5087D"/>
    <w:rsid w:val="00A522BC"/>
    <w:rsid w:val="00A6065A"/>
    <w:rsid w:val="00A607E8"/>
    <w:rsid w:val="00A62937"/>
    <w:rsid w:val="00A62AEA"/>
    <w:rsid w:val="00A63774"/>
    <w:rsid w:val="00A647C3"/>
    <w:rsid w:val="00A6521D"/>
    <w:rsid w:val="00A65FC0"/>
    <w:rsid w:val="00A706AA"/>
    <w:rsid w:val="00A716E1"/>
    <w:rsid w:val="00A7290B"/>
    <w:rsid w:val="00A771B4"/>
    <w:rsid w:val="00A83A95"/>
    <w:rsid w:val="00A870C4"/>
    <w:rsid w:val="00A87756"/>
    <w:rsid w:val="00A92FBE"/>
    <w:rsid w:val="00A94A91"/>
    <w:rsid w:val="00AA140D"/>
    <w:rsid w:val="00AA27C4"/>
    <w:rsid w:val="00AA3823"/>
    <w:rsid w:val="00AA5AA5"/>
    <w:rsid w:val="00AB0900"/>
    <w:rsid w:val="00AB1D22"/>
    <w:rsid w:val="00AB2118"/>
    <w:rsid w:val="00AB351B"/>
    <w:rsid w:val="00AC27C4"/>
    <w:rsid w:val="00AC415C"/>
    <w:rsid w:val="00AC4669"/>
    <w:rsid w:val="00AD4541"/>
    <w:rsid w:val="00AD4C88"/>
    <w:rsid w:val="00AD5109"/>
    <w:rsid w:val="00AD79E7"/>
    <w:rsid w:val="00AE0C3C"/>
    <w:rsid w:val="00AE131B"/>
    <w:rsid w:val="00AE1A21"/>
    <w:rsid w:val="00AE27F2"/>
    <w:rsid w:val="00AE2828"/>
    <w:rsid w:val="00AE4A92"/>
    <w:rsid w:val="00AF2F11"/>
    <w:rsid w:val="00AF3BF0"/>
    <w:rsid w:val="00B03E6F"/>
    <w:rsid w:val="00B048B6"/>
    <w:rsid w:val="00B048BA"/>
    <w:rsid w:val="00B05770"/>
    <w:rsid w:val="00B06B4F"/>
    <w:rsid w:val="00B12BB1"/>
    <w:rsid w:val="00B14326"/>
    <w:rsid w:val="00B16238"/>
    <w:rsid w:val="00B21DA6"/>
    <w:rsid w:val="00B22A79"/>
    <w:rsid w:val="00B24C85"/>
    <w:rsid w:val="00B26762"/>
    <w:rsid w:val="00B27CA4"/>
    <w:rsid w:val="00B30542"/>
    <w:rsid w:val="00B30AED"/>
    <w:rsid w:val="00B32A54"/>
    <w:rsid w:val="00B41491"/>
    <w:rsid w:val="00B419FA"/>
    <w:rsid w:val="00B435F6"/>
    <w:rsid w:val="00B440BF"/>
    <w:rsid w:val="00B46328"/>
    <w:rsid w:val="00B51993"/>
    <w:rsid w:val="00B51B1E"/>
    <w:rsid w:val="00B5247B"/>
    <w:rsid w:val="00B53CB0"/>
    <w:rsid w:val="00B60429"/>
    <w:rsid w:val="00B645CC"/>
    <w:rsid w:val="00B650EF"/>
    <w:rsid w:val="00B651C4"/>
    <w:rsid w:val="00B71CE0"/>
    <w:rsid w:val="00B72064"/>
    <w:rsid w:val="00B722A7"/>
    <w:rsid w:val="00B7554F"/>
    <w:rsid w:val="00B75A2B"/>
    <w:rsid w:val="00B76E10"/>
    <w:rsid w:val="00B80209"/>
    <w:rsid w:val="00B81A8F"/>
    <w:rsid w:val="00B8388F"/>
    <w:rsid w:val="00B85598"/>
    <w:rsid w:val="00B922C6"/>
    <w:rsid w:val="00B94A8A"/>
    <w:rsid w:val="00B950D9"/>
    <w:rsid w:val="00B95C13"/>
    <w:rsid w:val="00B969C1"/>
    <w:rsid w:val="00BA28CD"/>
    <w:rsid w:val="00BA5A10"/>
    <w:rsid w:val="00BB1A4D"/>
    <w:rsid w:val="00BB22C6"/>
    <w:rsid w:val="00BB2383"/>
    <w:rsid w:val="00BB44E2"/>
    <w:rsid w:val="00BB5951"/>
    <w:rsid w:val="00BB740D"/>
    <w:rsid w:val="00BC0ACF"/>
    <w:rsid w:val="00BC2CF2"/>
    <w:rsid w:val="00BC5E18"/>
    <w:rsid w:val="00BC6C0F"/>
    <w:rsid w:val="00BC73E5"/>
    <w:rsid w:val="00BD0CA8"/>
    <w:rsid w:val="00BD0E6B"/>
    <w:rsid w:val="00BD1400"/>
    <w:rsid w:val="00BD2EB2"/>
    <w:rsid w:val="00BD3EE4"/>
    <w:rsid w:val="00BE3074"/>
    <w:rsid w:val="00BE4DCD"/>
    <w:rsid w:val="00BE54B3"/>
    <w:rsid w:val="00BE6098"/>
    <w:rsid w:val="00BE7466"/>
    <w:rsid w:val="00BF0E90"/>
    <w:rsid w:val="00BF502E"/>
    <w:rsid w:val="00BF6187"/>
    <w:rsid w:val="00BF6AA7"/>
    <w:rsid w:val="00BF6C2B"/>
    <w:rsid w:val="00C00AAD"/>
    <w:rsid w:val="00C032E2"/>
    <w:rsid w:val="00C04B40"/>
    <w:rsid w:val="00C053CB"/>
    <w:rsid w:val="00C06E77"/>
    <w:rsid w:val="00C115DC"/>
    <w:rsid w:val="00C139DF"/>
    <w:rsid w:val="00C14F51"/>
    <w:rsid w:val="00C176C7"/>
    <w:rsid w:val="00C2123B"/>
    <w:rsid w:val="00C22BDF"/>
    <w:rsid w:val="00C2694C"/>
    <w:rsid w:val="00C32B0E"/>
    <w:rsid w:val="00C3629A"/>
    <w:rsid w:val="00C37DA2"/>
    <w:rsid w:val="00C41FBD"/>
    <w:rsid w:val="00C42BF5"/>
    <w:rsid w:val="00C43AD2"/>
    <w:rsid w:val="00C43FD7"/>
    <w:rsid w:val="00C44634"/>
    <w:rsid w:val="00C4495D"/>
    <w:rsid w:val="00C45346"/>
    <w:rsid w:val="00C456FC"/>
    <w:rsid w:val="00C474CC"/>
    <w:rsid w:val="00C50175"/>
    <w:rsid w:val="00C517B5"/>
    <w:rsid w:val="00C57751"/>
    <w:rsid w:val="00C60855"/>
    <w:rsid w:val="00C630FF"/>
    <w:rsid w:val="00C7098A"/>
    <w:rsid w:val="00C7171B"/>
    <w:rsid w:val="00C72985"/>
    <w:rsid w:val="00C73945"/>
    <w:rsid w:val="00C775CE"/>
    <w:rsid w:val="00C80515"/>
    <w:rsid w:val="00C844A5"/>
    <w:rsid w:val="00C8772A"/>
    <w:rsid w:val="00C87BB0"/>
    <w:rsid w:val="00CA0857"/>
    <w:rsid w:val="00CA13A7"/>
    <w:rsid w:val="00CA41DB"/>
    <w:rsid w:val="00CA62D2"/>
    <w:rsid w:val="00CA6C2F"/>
    <w:rsid w:val="00CB14AE"/>
    <w:rsid w:val="00CB20DF"/>
    <w:rsid w:val="00CB22FF"/>
    <w:rsid w:val="00CB232A"/>
    <w:rsid w:val="00CB4DA2"/>
    <w:rsid w:val="00CB53BD"/>
    <w:rsid w:val="00CB7E82"/>
    <w:rsid w:val="00CC499F"/>
    <w:rsid w:val="00CC4CB6"/>
    <w:rsid w:val="00CC7478"/>
    <w:rsid w:val="00CC78F8"/>
    <w:rsid w:val="00CD037D"/>
    <w:rsid w:val="00CD4E89"/>
    <w:rsid w:val="00CD5C57"/>
    <w:rsid w:val="00CD723F"/>
    <w:rsid w:val="00CD7CD4"/>
    <w:rsid w:val="00CE0F87"/>
    <w:rsid w:val="00CE44C6"/>
    <w:rsid w:val="00CE61C7"/>
    <w:rsid w:val="00CF20DB"/>
    <w:rsid w:val="00CF3686"/>
    <w:rsid w:val="00CF3E99"/>
    <w:rsid w:val="00CF5CA1"/>
    <w:rsid w:val="00D0256F"/>
    <w:rsid w:val="00D04074"/>
    <w:rsid w:val="00D04638"/>
    <w:rsid w:val="00D0491D"/>
    <w:rsid w:val="00D0520B"/>
    <w:rsid w:val="00D06882"/>
    <w:rsid w:val="00D07248"/>
    <w:rsid w:val="00D07B84"/>
    <w:rsid w:val="00D11BA4"/>
    <w:rsid w:val="00D11EA4"/>
    <w:rsid w:val="00D1306C"/>
    <w:rsid w:val="00D14256"/>
    <w:rsid w:val="00D16ECF"/>
    <w:rsid w:val="00D20C54"/>
    <w:rsid w:val="00D2148B"/>
    <w:rsid w:val="00D2209D"/>
    <w:rsid w:val="00D314A2"/>
    <w:rsid w:val="00D31D58"/>
    <w:rsid w:val="00D32A51"/>
    <w:rsid w:val="00D34890"/>
    <w:rsid w:val="00D353F2"/>
    <w:rsid w:val="00D4008B"/>
    <w:rsid w:val="00D4016B"/>
    <w:rsid w:val="00D41514"/>
    <w:rsid w:val="00D41E4B"/>
    <w:rsid w:val="00D42CA3"/>
    <w:rsid w:val="00D450A9"/>
    <w:rsid w:val="00D4606F"/>
    <w:rsid w:val="00D46B1F"/>
    <w:rsid w:val="00D46D14"/>
    <w:rsid w:val="00D4753F"/>
    <w:rsid w:val="00D50A2F"/>
    <w:rsid w:val="00D50FCD"/>
    <w:rsid w:val="00D51916"/>
    <w:rsid w:val="00D523E5"/>
    <w:rsid w:val="00D52D39"/>
    <w:rsid w:val="00D52E34"/>
    <w:rsid w:val="00D544FF"/>
    <w:rsid w:val="00D57D47"/>
    <w:rsid w:val="00D6466A"/>
    <w:rsid w:val="00D64817"/>
    <w:rsid w:val="00D7060F"/>
    <w:rsid w:val="00D72549"/>
    <w:rsid w:val="00D72AA0"/>
    <w:rsid w:val="00D74D09"/>
    <w:rsid w:val="00D764EB"/>
    <w:rsid w:val="00D8318B"/>
    <w:rsid w:val="00D83D42"/>
    <w:rsid w:val="00D85CF7"/>
    <w:rsid w:val="00D866A9"/>
    <w:rsid w:val="00D86EFA"/>
    <w:rsid w:val="00D946FD"/>
    <w:rsid w:val="00D9688C"/>
    <w:rsid w:val="00DA00E5"/>
    <w:rsid w:val="00DA024C"/>
    <w:rsid w:val="00DA25E1"/>
    <w:rsid w:val="00DA2AAD"/>
    <w:rsid w:val="00DA6169"/>
    <w:rsid w:val="00DA773E"/>
    <w:rsid w:val="00DB0279"/>
    <w:rsid w:val="00DB0D6F"/>
    <w:rsid w:val="00DB17AE"/>
    <w:rsid w:val="00DB22BB"/>
    <w:rsid w:val="00DB2586"/>
    <w:rsid w:val="00DB2FDA"/>
    <w:rsid w:val="00DB4D97"/>
    <w:rsid w:val="00DB5631"/>
    <w:rsid w:val="00DC0BB9"/>
    <w:rsid w:val="00DC1E54"/>
    <w:rsid w:val="00DC3990"/>
    <w:rsid w:val="00DC5D03"/>
    <w:rsid w:val="00DC6F45"/>
    <w:rsid w:val="00DC7C50"/>
    <w:rsid w:val="00DC7E98"/>
    <w:rsid w:val="00DD3C1E"/>
    <w:rsid w:val="00DD5383"/>
    <w:rsid w:val="00DE5741"/>
    <w:rsid w:val="00DE628B"/>
    <w:rsid w:val="00DE77AB"/>
    <w:rsid w:val="00DF183C"/>
    <w:rsid w:val="00DF1A0D"/>
    <w:rsid w:val="00DF2B18"/>
    <w:rsid w:val="00DF3049"/>
    <w:rsid w:val="00E004A1"/>
    <w:rsid w:val="00E02B8F"/>
    <w:rsid w:val="00E044CE"/>
    <w:rsid w:val="00E051FB"/>
    <w:rsid w:val="00E05784"/>
    <w:rsid w:val="00E0578F"/>
    <w:rsid w:val="00E10D2B"/>
    <w:rsid w:val="00E127C0"/>
    <w:rsid w:val="00E12FB7"/>
    <w:rsid w:val="00E13581"/>
    <w:rsid w:val="00E151E1"/>
    <w:rsid w:val="00E161A3"/>
    <w:rsid w:val="00E166F5"/>
    <w:rsid w:val="00E17EBE"/>
    <w:rsid w:val="00E204A3"/>
    <w:rsid w:val="00E2673D"/>
    <w:rsid w:val="00E31360"/>
    <w:rsid w:val="00E333FF"/>
    <w:rsid w:val="00E34303"/>
    <w:rsid w:val="00E3789C"/>
    <w:rsid w:val="00E40139"/>
    <w:rsid w:val="00E4364C"/>
    <w:rsid w:val="00E43829"/>
    <w:rsid w:val="00E46E60"/>
    <w:rsid w:val="00E4756F"/>
    <w:rsid w:val="00E53E92"/>
    <w:rsid w:val="00E56D7B"/>
    <w:rsid w:val="00E5733A"/>
    <w:rsid w:val="00E631F5"/>
    <w:rsid w:val="00E6350E"/>
    <w:rsid w:val="00E67F87"/>
    <w:rsid w:val="00E711C9"/>
    <w:rsid w:val="00E74419"/>
    <w:rsid w:val="00E80ABC"/>
    <w:rsid w:val="00E82D3D"/>
    <w:rsid w:val="00E83F3C"/>
    <w:rsid w:val="00E859C2"/>
    <w:rsid w:val="00E90189"/>
    <w:rsid w:val="00E95A06"/>
    <w:rsid w:val="00EA32ED"/>
    <w:rsid w:val="00EA344E"/>
    <w:rsid w:val="00EA63A8"/>
    <w:rsid w:val="00EA6872"/>
    <w:rsid w:val="00EB2EA7"/>
    <w:rsid w:val="00EB3806"/>
    <w:rsid w:val="00EB38E4"/>
    <w:rsid w:val="00EB4D56"/>
    <w:rsid w:val="00EB5293"/>
    <w:rsid w:val="00EB5335"/>
    <w:rsid w:val="00EB6286"/>
    <w:rsid w:val="00EC30A8"/>
    <w:rsid w:val="00EC4DFE"/>
    <w:rsid w:val="00EC7353"/>
    <w:rsid w:val="00ED1D21"/>
    <w:rsid w:val="00ED28A5"/>
    <w:rsid w:val="00ED371C"/>
    <w:rsid w:val="00ED674B"/>
    <w:rsid w:val="00EE0F6C"/>
    <w:rsid w:val="00EE19CD"/>
    <w:rsid w:val="00EE35AC"/>
    <w:rsid w:val="00EE7C64"/>
    <w:rsid w:val="00EF47A4"/>
    <w:rsid w:val="00EF4D94"/>
    <w:rsid w:val="00EF52DB"/>
    <w:rsid w:val="00EF6EB7"/>
    <w:rsid w:val="00F00632"/>
    <w:rsid w:val="00F00C9E"/>
    <w:rsid w:val="00F02247"/>
    <w:rsid w:val="00F02BD3"/>
    <w:rsid w:val="00F04757"/>
    <w:rsid w:val="00F05098"/>
    <w:rsid w:val="00F057B5"/>
    <w:rsid w:val="00F06169"/>
    <w:rsid w:val="00F06C7F"/>
    <w:rsid w:val="00F1023B"/>
    <w:rsid w:val="00F13DD3"/>
    <w:rsid w:val="00F15683"/>
    <w:rsid w:val="00F16161"/>
    <w:rsid w:val="00F16D23"/>
    <w:rsid w:val="00F17554"/>
    <w:rsid w:val="00F21ABD"/>
    <w:rsid w:val="00F21F6A"/>
    <w:rsid w:val="00F2216C"/>
    <w:rsid w:val="00F24198"/>
    <w:rsid w:val="00F25B09"/>
    <w:rsid w:val="00F26B2D"/>
    <w:rsid w:val="00F31839"/>
    <w:rsid w:val="00F31D76"/>
    <w:rsid w:val="00F32A5D"/>
    <w:rsid w:val="00F348AF"/>
    <w:rsid w:val="00F35FF0"/>
    <w:rsid w:val="00F360D2"/>
    <w:rsid w:val="00F44A31"/>
    <w:rsid w:val="00F4692B"/>
    <w:rsid w:val="00F46F29"/>
    <w:rsid w:val="00F47C55"/>
    <w:rsid w:val="00F50FB0"/>
    <w:rsid w:val="00F520A3"/>
    <w:rsid w:val="00F54187"/>
    <w:rsid w:val="00F56B35"/>
    <w:rsid w:val="00F571C6"/>
    <w:rsid w:val="00F60C40"/>
    <w:rsid w:val="00F66D46"/>
    <w:rsid w:val="00F67F8E"/>
    <w:rsid w:val="00F7266D"/>
    <w:rsid w:val="00F74059"/>
    <w:rsid w:val="00F74896"/>
    <w:rsid w:val="00F770A4"/>
    <w:rsid w:val="00F774D4"/>
    <w:rsid w:val="00F7772A"/>
    <w:rsid w:val="00F77F3F"/>
    <w:rsid w:val="00F77FE9"/>
    <w:rsid w:val="00F800B2"/>
    <w:rsid w:val="00F80AFD"/>
    <w:rsid w:val="00F81544"/>
    <w:rsid w:val="00F86B70"/>
    <w:rsid w:val="00F873EC"/>
    <w:rsid w:val="00F916B6"/>
    <w:rsid w:val="00F924DF"/>
    <w:rsid w:val="00F94130"/>
    <w:rsid w:val="00FA19A7"/>
    <w:rsid w:val="00FA1BA8"/>
    <w:rsid w:val="00FA26DC"/>
    <w:rsid w:val="00FA65E8"/>
    <w:rsid w:val="00FA6CBF"/>
    <w:rsid w:val="00FB6099"/>
    <w:rsid w:val="00FB6C4A"/>
    <w:rsid w:val="00FB72ED"/>
    <w:rsid w:val="00FC0A1C"/>
    <w:rsid w:val="00FC31C7"/>
    <w:rsid w:val="00FC3298"/>
    <w:rsid w:val="00FC37B5"/>
    <w:rsid w:val="00FC3EBC"/>
    <w:rsid w:val="00FC69A6"/>
    <w:rsid w:val="00FC6E17"/>
    <w:rsid w:val="00FD7279"/>
    <w:rsid w:val="00FD750B"/>
    <w:rsid w:val="00FD7602"/>
    <w:rsid w:val="00FD7685"/>
    <w:rsid w:val="00FE15DC"/>
    <w:rsid w:val="00FE374B"/>
    <w:rsid w:val="00FE483C"/>
    <w:rsid w:val="00FE7975"/>
    <w:rsid w:val="00FF123D"/>
    <w:rsid w:val="00FF15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418B050D"/>
  <w15:docId w15:val="{5CF33E24-E1A4-4079-8789-3DB5B86C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413"/>
    <w:pPr>
      <w:spacing w:after="200" w:line="276" w:lineRule="auto"/>
    </w:pPr>
    <w:rPr>
      <w:sz w:val="22"/>
      <w:szCs w:val="22"/>
      <w:lang w:eastAsia="en-US"/>
    </w:rPr>
  </w:style>
  <w:style w:type="paragraph" w:styleId="Ttulo1">
    <w:name w:val="heading 1"/>
    <w:basedOn w:val="Normal"/>
    <w:next w:val="Normal"/>
    <w:link w:val="Ttulo1Car"/>
    <w:uiPriority w:val="9"/>
    <w:qFormat/>
    <w:rsid w:val="006854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854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6854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68541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D04074"/>
  </w:style>
  <w:style w:type="character" w:styleId="Refdecomentario">
    <w:name w:val="annotation reference"/>
    <w:basedOn w:val="Fuentedeprrafopredeter"/>
    <w:uiPriority w:val="99"/>
    <w:semiHidden/>
    <w:unhideWhenUsed/>
    <w:rsid w:val="004C0BCC"/>
    <w:rPr>
      <w:sz w:val="16"/>
      <w:szCs w:val="16"/>
    </w:rPr>
  </w:style>
  <w:style w:type="paragraph" w:styleId="Textocomentario">
    <w:name w:val="annotation text"/>
    <w:basedOn w:val="Normal"/>
    <w:link w:val="TextocomentarioCar"/>
    <w:uiPriority w:val="99"/>
    <w:semiHidden/>
    <w:unhideWhenUsed/>
    <w:rsid w:val="004C0BC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0BCC"/>
    <w:rPr>
      <w:lang w:eastAsia="en-US"/>
    </w:rPr>
  </w:style>
  <w:style w:type="paragraph" w:styleId="Asuntodelcomentario">
    <w:name w:val="annotation subject"/>
    <w:basedOn w:val="Textocomentario"/>
    <w:next w:val="Textocomentario"/>
    <w:link w:val="AsuntodelcomentarioCar"/>
    <w:uiPriority w:val="99"/>
    <w:semiHidden/>
    <w:unhideWhenUsed/>
    <w:rsid w:val="004C0BCC"/>
    <w:rPr>
      <w:b/>
      <w:bCs/>
    </w:rPr>
  </w:style>
  <w:style w:type="character" w:customStyle="1" w:styleId="AsuntodelcomentarioCar">
    <w:name w:val="Asunto del comentario Car"/>
    <w:basedOn w:val="TextocomentarioCar"/>
    <w:link w:val="Asuntodelcomentario"/>
    <w:uiPriority w:val="99"/>
    <w:semiHidden/>
    <w:rsid w:val="004C0BCC"/>
    <w:rPr>
      <w:b/>
      <w:bCs/>
      <w:lang w:eastAsia="en-US"/>
    </w:rPr>
  </w:style>
  <w:style w:type="character" w:customStyle="1" w:styleId="PrrafodelistaCar">
    <w:name w:val="Párrafo de lista Car"/>
    <w:link w:val="Prrafodelista"/>
    <w:uiPriority w:val="34"/>
    <w:rsid w:val="008E25B3"/>
    <w:rPr>
      <w:rFonts w:ascii="Arial" w:eastAsia="Times New Roman" w:hAnsi="Arial"/>
      <w:sz w:val="24"/>
      <w:lang w:val="es-ES" w:eastAsia="es-ES"/>
    </w:rPr>
  </w:style>
  <w:style w:type="paragraph" w:styleId="Textoindependiente">
    <w:name w:val="Body Text"/>
    <w:basedOn w:val="Normal"/>
    <w:link w:val="TextoindependienteCar"/>
    <w:rsid w:val="009B170F"/>
    <w:pPr>
      <w:spacing w:after="120"/>
    </w:pPr>
  </w:style>
  <w:style w:type="character" w:customStyle="1" w:styleId="TextoindependienteCar">
    <w:name w:val="Texto independiente Car"/>
    <w:basedOn w:val="Fuentedeprrafopredeter"/>
    <w:link w:val="Textoindependiente"/>
    <w:rsid w:val="009B170F"/>
    <w:rPr>
      <w:sz w:val="22"/>
      <w:szCs w:val="22"/>
      <w:lang w:eastAsia="en-US"/>
    </w:rPr>
  </w:style>
  <w:style w:type="character" w:customStyle="1" w:styleId="Ttulo1Car">
    <w:name w:val="Título 1 Car"/>
    <w:basedOn w:val="Fuentedeprrafopredeter"/>
    <w:link w:val="Ttulo1"/>
    <w:uiPriority w:val="9"/>
    <w:rsid w:val="00685413"/>
    <w:rPr>
      <w:rFonts w:asciiTheme="majorHAnsi" w:eastAsiaTheme="majorEastAsia" w:hAnsiTheme="majorHAnsi" w:cstheme="majorBidi"/>
      <w:color w:val="365F91" w:themeColor="accent1" w:themeShade="BF"/>
      <w:sz w:val="32"/>
      <w:szCs w:val="32"/>
      <w:lang w:eastAsia="en-US"/>
    </w:rPr>
  </w:style>
  <w:style w:type="paragraph" w:styleId="Subttulo">
    <w:name w:val="Subtitle"/>
    <w:basedOn w:val="Normal"/>
    <w:next w:val="Normal"/>
    <w:link w:val="SubttuloCar"/>
    <w:uiPriority w:val="11"/>
    <w:qFormat/>
    <w:rsid w:val="0068541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685413"/>
    <w:rPr>
      <w:rFonts w:asciiTheme="minorHAnsi" w:eastAsiaTheme="minorEastAsia" w:hAnsiTheme="minorHAnsi" w:cstheme="minorBidi"/>
      <w:color w:val="5A5A5A" w:themeColor="text1" w:themeTint="A5"/>
      <w:spacing w:val="15"/>
      <w:sz w:val="22"/>
      <w:szCs w:val="22"/>
      <w:lang w:eastAsia="en-US"/>
    </w:rPr>
  </w:style>
  <w:style w:type="character" w:customStyle="1" w:styleId="Ttulo2Car">
    <w:name w:val="Título 2 Car"/>
    <w:basedOn w:val="Fuentedeprrafopredeter"/>
    <w:link w:val="Ttulo2"/>
    <w:uiPriority w:val="9"/>
    <w:rsid w:val="00685413"/>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685413"/>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basedOn w:val="Fuentedeprrafopredeter"/>
    <w:link w:val="Ttulo4"/>
    <w:uiPriority w:val="9"/>
    <w:rsid w:val="00685413"/>
    <w:rPr>
      <w:rFonts w:asciiTheme="majorHAnsi" w:eastAsiaTheme="majorEastAsia" w:hAnsiTheme="majorHAnsi" w:cstheme="majorBidi"/>
      <w:i/>
      <w:iCs/>
      <w:color w:val="365F91" w:themeColor="accent1" w:themeShade="BF"/>
      <w:sz w:val="22"/>
      <w:szCs w:val="22"/>
      <w:lang w:eastAsia="en-US"/>
    </w:rPr>
  </w:style>
  <w:style w:type="table" w:styleId="Tabladelista7concolores-nfasis5">
    <w:name w:val="List Table 7 Colorful Accent 5"/>
    <w:basedOn w:val="Tablanormal"/>
    <w:uiPriority w:val="52"/>
    <w:rsid w:val="00051BC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nfasis5">
    <w:name w:val="Grid Table 1 Light Accent 5"/>
    <w:basedOn w:val="Tablanormal"/>
    <w:uiPriority w:val="46"/>
    <w:rsid w:val="00051BC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lista7concolores-nfasis6">
    <w:name w:val="List Table 7 Colorful Accent 6"/>
    <w:basedOn w:val="Tablanormal"/>
    <w:uiPriority w:val="52"/>
    <w:rsid w:val="00051BC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6concolores-nfasis5">
    <w:name w:val="List Table 6 Colorful Accent 5"/>
    <w:basedOn w:val="Tablanormal"/>
    <w:uiPriority w:val="51"/>
    <w:rsid w:val="00051BC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6concolores">
    <w:name w:val="List Table 6 Colorful"/>
    <w:basedOn w:val="Tablanormal"/>
    <w:uiPriority w:val="51"/>
    <w:rsid w:val="00051BC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1clara-nfasis3">
    <w:name w:val="Grid Table 1 Light Accent 3"/>
    <w:basedOn w:val="Tablanormal"/>
    <w:uiPriority w:val="46"/>
    <w:rsid w:val="00051BC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051BC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1">
    <w:name w:val="Grid Table 1 Light Accent 1"/>
    <w:basedOn w:val="Tablanormal"/>
    <w:uiPriority w:val="46"/>
    <w:rsid w:val="00051BC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051BC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59"/>
    <w:rsid w:val="00051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828361">
      <w:bodyDiv w:val="1"/>
      <w:marLeft w:val="0"/>
      <w:marRight w:val="0"/>
      <w:marTop w:val="0"/>
      <w:marBottom w:val="0"/>
      <w:divBdr>
        <w:top w:val="none" w:sz="0" w:space="0" w:color="auto"/>
        <w:left w:val="none" w:sz="0" w:space="0" w:color="auto"/>
        <w:bottom w:val="none" w:sz="0" w:space="0" w:color="auto"/>
        <w:right w:val="none" w:sz="0" w:space="0" w:color="auto"/>
      </w:divBdr>
    </w:div>
    <w:div w:id="666789632">
      <w:bodyDiv w:val="1"/>
      <w:marLeft w:val="0"/>
      <w:marRight w:val="0"/>
      <w:marTop w:val="0"/>
      <w:marBottom w:val="0"/>
      <w:divBdr>
        <w:top w:val="none" w:sz="0" w:space="0" w:color="auto"/>
        <w:left w:val="none" w:sz="0" w:space="0" w:color="auto"/>
        <w:bottom w:val="none" w:sz="0" w:space="0" w:color="auto"/>
        <w:right w:val="none" w:sz="0" w:space="0" w:color="auto"/>
      </w:divBdr>
    </w:div>
    <w:div w:id="1377319793">
      <w:bodyDiv w:val="1"/>
      <w:marLeft w:val="0"/>
      <w:marRight w:val="0"/>
      <w:marTop w:val="0"/>
      <w:marBottom w:val="0"/>
      <w:divBdr>
        <w:top w:val="none" w:sz="0" w:space="0" w:color="auto"/>
        <w:left w:val="none" w:sz="0" w:space="0" w:color="auto"/>
        <w:bottom w:val="none" w:sz="0" w:space="0" w:color="auto"/>
        <w:right w:val="none" w:sz="0" w:space="0" w:color="auto"/>
      </w:divBdr>
    </w:div>
    <w:div w:id="171148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3EC97-9F07-4E58-811C-047475F83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3989</Words>
  <Characters>21944</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 Alejandro Patiño Ascencio</dc:creator>
  <cp:lastModifiedBy>Maria del Consuelo Gonzalez Moreno</cp:lastModifiedBy>
  <cp:revision>10</cp:revision>
  <cp:lastPrinted>2016-01-12T15:19:00Z</cp:lastPrinted>
  <dcterms:created xsi:type="dcterms:W3CDTF">2016-02-03T18:17:00Z</dcterms:created>
  <dcterms:modified xsi:type="dcterms:W3CDTF">2016-05-18T23:42:00Z</dcterms:modified>
</cp:coreProperties>
</file>