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FC499" w14:textId="6A4DC88D" w:rsidR="004C3681" w:rsidRPr="00657D7B" w:rsidRDefault="00B34581" w:rsidP="00657D7B">
      <w:pPr>
        <w:pStyle w:val="Ttulo3"/>
        <w:jc w:val="both"/>
        <w:rPr>
          <w:rFonts w:ascii="ITC Avant Garde" w:hAnsi="ITC Avant Garde"/>
          <w:b/>
          <w:color w:val="auto"/>
          <w:sz w:val="22"/>
          <w:szCs w:val="22"/>
          <w:lang w:eastAsia="es-MX"/>
        </w:rPr>
      </w:pPr>
      <w:r w:rsidRPr="00657D7B">
        <w:rPr>
          <w:rFonts w:ascii="ITC Avant Garde" w:hAnsi="ITC Avant Garde"/>
          <w:b/>
          <w:color w:val="auto"/>
          <w:sz w:val="22"/>
          <w:szCs w:val="22"/>
          <w:lang w:eastAsia="es-MX"/>
        </w:rPr>
        <w:t xml:space="preserve">RESOLUCIÓN MEDIANTE LA CUAL EL PLENO DEL INSTITUTO FEDERAL DE TELECOMUNICACIONES </w:t>
      </w:r>
      <w:r w:rsidR="004C3681" w:rsidRPr="00657D7B">
        <w:rPr>
          <w:rFonts w:ascii="ITC Avant Garde" w:hAnsi="ITC Avant Garde"/>
          <w:b/>
          <w:color w:val="auto"/>
          <w:sz w:val="22"/>
          <w:szCs w:val="22"/>
          <w:lang w:eastAsia="es-MX"/>
        </w:rPr>
        <w:t>PRO</w:t>
      </w:r>
      <w:r w:rsidRPr="00657D7B">
        <w:rPr>
          <w:rFonts w:ascii="ITC Avant Garde" w:hAnsi="ITC Avant Garde"/>
          <w:b/>
          <w:color w:val="auto"/>
          <w:sz w:val="22"/>
          <w:szCs w:val="22"/>
          <w:lang w:eastAsia="es-MX"/>
        </w:rPr>
        <w:t xml:space="preserve">RROGA </w:t>
      </w:r>
      <w:r w:rsidR="004C3681" w:rsidRPr="00657D7B">
        <w:rPr>
          <w:rFonts w:ascii="ITC Avant Garde" w:hAnsi="ITC Avant Garde"/>
          <w:b/>
          <w:color w:val="auto"/>
          <w:sz w:val="22"/>
          <w:szCs w:val="22"/>
          <w:lang w:eastAsia="es-MX"/>
        </w:rPr>
        <w:t xml:space="preserve">LA </w:t>
      </w:r>
      <w:r w:rsidRPr="00657D7B">
        <w:rPr>
          <w:rFonts w:ascii="ITC Avant Garde" w:hAnsi="ITC Avant Garde"/>
          <w:b/>
          <w:color w:val="auto"/>
          <w:sz w:val="22"/>
          <w:szCs w:val="22"/>
          <w:lang w:eastAsia="es-MX"/>
        </w:rPr>
        <w:t>CONCESIÓN PARA INSTALAR, OPERAR Y EXPLOTAR UNA RED PÚBLICA DEL SERVICIO MÓVIL DE RADIOCOMUNICACIÓN ESPECIALIZADA DE FLOTILLAS</w:t>
      </w:r>
      <w:r w:rsidR="000048C9" w:rsidRPr="00657D7B">
        <w:rPr>
          <w:rFonts w:ascii="ITC Avant Garde" w:hAnsi="ITC Avant Garde"/>
          <w:b/>
          <w:color w:val="auto"/>
          <w:sz w:val="22"/>
          <w:szCs w:val="22"/>
          <w:lang w:eastAsia="es-MX"/>
        </w:rPr>
        <w:t>,</w:t>
      </w:r>
      <w:r w:rsidRPr="00657D7B">
        <w:rPr>
          <w:rFonts w:ascii="ITC Avant Garde" w:hAnsi="ITC Avant Garde"/>
          <w:b/>
          <w:color w:val="auto"/>
          <w:sz w:val="22"/>
          <w:szCs w:val="22"/>
          <w:lang w:eastAsia="es-MX"/>
        </w:rPr>
        <w:t xml:space="preserve"> </w:t>
      </w:r>
      <w:r w:rsidR="000048C9" w:rsidRPr="00657D7B">
        <w:rPr>
          <w:rFonts w:ascii="ITC Avant Garde" w:hAnsi="ITC Avant Garde"/>
          <w:b/>
          <w:color w:val="auto"/>
          <w:sz w:val="22"/>
          <w:szCs w:val="22"/>
          <w:lang w:eastAsia="es-MX"/>
        </w:rPr>
        <w:t xml:space="preserve">OTORGADO </w:t>
      </w:r>
      <w:r w:rsidR="004C3681" w:rsidRPr="00657D7B">
        <w:rPr>
          <w:rFonts w:ascii="ITC Avant Garde" w:hAnsi="ITC Avant Garde"/>
          <w:b/>
          <w:color w:val="auto"/>
          <w:sz w:val="22"/>
          <w:szCs w:val="22"/>
          <w:lang w:eastAsia="es-MX"/>
        </w:rPr>
        <w:t>A FAVOR DE TRONCATEL, S.A. DE C.V. EL 24 DE NOVIEMBRE DE 1994.</w:t>
      </w:r>
    </w:p>
    <w:p w14:paraId="3F992752" w14:textId="77777777" w:rsidR="00452AF7" w:rsidRPr="00525DB6" w:rsidRDefault="00452AF7" w:rsidP="007A2645">
      <w:pPr>
        <w:jc w:val="both"/>
        <w:rPr>
          <w:rFonts w:ascii="ITC Avant Garde" w:eastAsia="Calibri" w:hAnsi="ITC Avant Garde"/>
          <w:bCs/>
          <w:color w:val="000000"/>
          <w:sz w:val="22"/>
          <w:szCs w:val="22"/>
          <w:lang w:eastAsia="es-MX"/>
        </w:rPr>
      </w:pPr>
    </w:p>
    <w:p w14:paraId="3FCBBC50" w14:textId="77777777" w:rsidR="0097328C" w:rsidRPr="00FE3CB4" w:rsidRDefault="0097328C" w:rsidP="007256CF">
      <w:pPr>
        <w:pStyle w:val="Ttulo4"/>
        <w:jc w:val="center"/>
        <w:rPr>
          <w:rFonts w:ascii="ITC Avant Garde" w:eastAsia="Calibri" w:hAnsi="ITC Avant Garde"/>
          <w:b/>
          <w:bCs/>
          <w:color w:val="auto"/>
          <w:sz w:val="22"/>
          <w:szCs w:val="22"/>
          <w:lang w:eastAsia="es-MX"/>
        </w:rPr>
      </w:pPr>
      <w:r w:rsidRPr="00FE3CB4">
        <w:rPr>
          <w:rStyle w:val="Ttulo3Car"/>
          <w:rFonts w:ascii="ITC Avant Garde" w:hAnsi="ITC Avant Garde"/>
          <w:b/>
          <w:color w:val="auto"/>
          <w:sz w:val="22"/>
          <w:szCs w:val="22"/>
        </w:rPr>
        <w:t>ANTECEDENTE</w:t>
      </w:r>
      <w:r w:rsidRPr="00FE3CB4">
        <w:rPr>
          <w:rFonts w:ascii="ITC Avant Garde" w:eastAsia="Calibri" w:hAnsi="ITC Avant Garde"/>
          <w:b/>
          <w:bCs/>
          <w:color w:val="auto"/>
          <w:sz w:val="22"/>
          <w:szCs w:val="22"/>
          <w:lang w:eastAsia="es-MX"/>
        </w:rPr>
        <w:t>S</w:t>
      </w:r>
    </w:p>
    <w:p w14:paraId="3B140ECC" w14:textId="77777777" w:rsidR="00FE3CB4" w:rsidRPr="00FE3CB4" w:rsidRDefault="00FE3CB4" w:rsidP="00FE3CB4">
      <w:pPr>
        <w:ind w:left="567"/>
        <w:jc w:val="both"/>
        <w:rPr>
          <w:rFonts w:ascii="ITC Avant Garde" w:eastAsia="Calibri" w:hAnsi="ITC Avant Garde"/>
          <w:bCs/>
          <w:color w:val="000000"/>
          <w:sz w:val="22"/>
          <w:szCs w:val="22"/>
          <w:lang w:eastAsia="es-MX"/>
        </w:rPr>
      </w:pPr>
    </w:p>
    <w:p w14:paraId="66B3557C" w14:textId="502057D6" w:rsidR="006A43ED" w:rsidRPr="00525DB6" w:rsidRDefault="005C7795" w:rsidP="007A2645">
      <w:pPr>
        <w:numPr>
          <w:ilvl w:val="0"/>
          <w:numId w:val="1"/>
        </w:numPr>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Otorgamiento de la Concesión.</w:t>
      </w:r>
      <w:r w:rsidRPr="00525DB6">
        <w:rPr>
          <w:rFonts w:ascii="ITC Avant Garde" w:eastAsia="Calibri" w:hAnsi="ITC Avant Garde"/>
          <w:bCs/>
          <w:color w:val="000000"/>
          <w:sz w:val="22"/>
          <w:szCs w:val="22"/>
          <w:lang w:eastAsia="es-MX"/>
        </w:rPr>
        <w:t xml:space="preserve"> El </w:t>
      </w:r>
      <w:r w:rsidR="00EB19D9" w:rsidRPr="00525DB6">
        <w:rPr>
          <w:rFonts w:ascii="ITC Avant Garde" w:eastAsia="Calibri" w:hAnsi="ITC Avant Garde"/>
          <w:bCs/>
          <w:color w:val="000000"/>
          <w:sz w:val="22"/>
          <w:szCs w:val="22"/>
          <w:lang w:eastAsia="es-MX"/>
        </w:rPr>
        <w:t>24</w:t>
      </w:r>
      <w:r w:rsidRPr="00525DB6">
        <w:rPr>
          <w:rFonts w:ascii="ITC Avant Garde" w:eastAsia="Calibri" w:hAnsi="ITC Avant Garde"/>
          <w:bCs/>
          <w:color w:val="000000"/>
          <w:sz w:val="22"/>
          <w:szCs w:val="22"/>
          <w:lang w:eastAsia="es-MX"/>
        </w:rPr>
        <w:t xml:space="preserve"> de </w:t>
      </w:r>
      <w:r w:rsidR="0034378E" w:rsidRPr="00525DB6">
        <w:rPr>
          <w:rFonts w:ascii="ITC Avant Garde" w:eastAsia="Calibri" w:hAnsi="ITC Avant Garde"/>
          <w:bCs/>
          <w:color w:val="000000"/>
          <w:sz w:val="22"/>
          <w:szCs w:val="22"/>
          <w:lang w:eastAsia="es-MX"/>
        </w:rPr>
        <w:t>noviembre</w:t>
      </w:r>
      <w:r w:rsidR="007C2A72" w:rsidRPr="00525DB6">
        <w:rPr>
          <w:rFonts w:ascii="ITC Avant Garde" w:eastAsia="Calibri" w:hAnsi="ITC Avant Garde"/>
          <w:bCs/>
          <w:color w:val="000000"/>
          <w:sz w:val="22"/>
          <w:szCs w:val="22"/>
          <w:lang w:eastAsia="es-MX"/>
        </w:rPr>
        <w:t xml:space="preserve"> </w:t>
      </w:r>
      <w:r w:rsidRPr="00525DB6">
        <w:rPr>
          <w:rFonts w:ascii="ITC Avant Garde" w:eastAsia="Calibri" w:hAnsi="ITC Avant Garde"/>
          <w:bCs/>
          <w:color w:val="000000"/>
          <w:sz w:val="22"/>
          <w:szCs w:val="22"/>
          <w:lang w:eastAsia="es-MX"/>
        </w:rPr>
        <w:t>de 199</w:t>
      </w:r>
      <w:r w:rsidR="0034378E" w:rsidRPr="00525DB6">
        <w:rPr>
          <w:rFonts w:ascii="ITC Avant Garde" w:eastAsia="Calibri" w:hAnsi="ITC Avant Garde"/>
          <w:bCs/>
          <w:color w:val="000000"/>
          <w:sz w:val="22"/>
          <w:szCs w:val="22"/>
          <w:lang w:eastAsia="es-MX"/>
        </w:rPr>
        <w:t>4</w:t>
      </w:r>
      <w:r w:rsidRPr="00525DB6">
        <w:rPr>
          <w:rFonts w:ascii="ITC Avant Garde" w:eastAsia="Calibri" w:hAnsi="ITC Avant Garde"/>
          <w:bCs/>
          <w:color w:val="000000"/>
          <w:sz w:val="22"/>
          <w:szCs w:val="22"/>
          <w:lang w:eastAsia="es-MX"/>
        </w:rPr>
        <w:t>, la Secretaría de Comunicaciones y Transportes (la “Secretaría”), otorgó a favor de</w:t>
      </w:r>
      <w:r w:rsidR="00DD6739" w:rsidRPr="00525DB6">
        <w:rPr>
          <w:rFonts w:ascii="ITC Avant Garde" w:eastAsia="Calibri" w:hAnsi="ITC Avant Garde"/>
          <w:bCs/>
          <w:color w:val="000000"/>
          <w:sz w:val="22"/>
          <w:szCs w:val="22"/>
          <w:lang w:eastAsia="es-MX"/>
        </w:rPr>
        <w:t>l</w:t>
      </w:r>
      <w:r w:rsidRPr="00525DB6">
        <w:rPr>
          <w:rFonts w:ascii="ITC Avant Garde" w:eastAsia="Calibri" w:hAnsi="ITC Avant Garde"/>
          <w:bCs/>
          <w:color w:val="000000"/>
          <w:sz w:val="22"/>
          <w:szCs w:val="22"/>
          <w:lang w:eastAsia="es-MX"/>
        </w:rPr>
        <w:t xml:space="preserve"> </w:t>
      </w:r>
      <w:r w:rsidR="00DD6739" w:rsidRPr="00525DB6">
        <w:rPr>
          <w:rFonts w:ascii="ITC Avant Garde" w:eastAsia="Calibri" w:hAnsi="ITC Avant Garde"/>
          <w:bCs/>
          <w:color w:val="000000"/>
          <w:sz w:val="22"/>
          <w:szCs w:val="22"/>
          <w:lang w:eastAsia="es-MX"/>
        </w:rPr>
        <w:t xml:space="preserve">C. </w:t>
      </w:r>
      <w:proofErr w:type="spellStart"/>
      <w:r w:rsidR="004C0E72" w:rsidRPr="00525DB6">
        <w:rPr>
          <w:rFonts w:ascii="ITC Avant Garde" w:eastAsia="Calibri" w:hAnsi="ITC Avant Garde"/>
          <w:bCs/>
          <w:color w:val="000000"/>
          <w:sz w:val="22"/>
          <w:szCs w:val="22"/>
          <w:lang w:eastAsia="es-MX"/>
        </w:rPr>
        <w:t>Gumer</w:t>
      </w:r>
      <w:r w:rsidR="004C3681" w:rsidRPr="00525DB6">
        <w:rPr>
          <w:rFonts w:ascii="ITC Avant Garde" w:eastAsia="Calibri" w:hAnsi="ITC Avant Garde"/>
          <w:bCs/>
          <w:color w:val="000000"/>
          <w:sz w:val="22"/>
          <w:szCs w:val="22"/>
          <w:lang w:eastAsia="es-MX"/>
        </w:rPr>
        <w:t>c</w:t>
      </w:r>
      <w:r w:rsidR="004C0E72" w:rsidRPr="00525DB6">
        <w:rPr>
          <w:rFonts w:ascii="ITC Avant Garde" w:eastAsia="Calibri" w:hAnsi="ITC Avant Garde"/>
          <w:bCs/>
          <w:color w:val="000000"/>
          <w:sz w:val="22"/>
          <w:szCs w:val="22"/>
          <w:lang w:eastAsia="es-MX"/>
        </w:rPr>
        <w:t>indo</w:t>
      </w:r>
      <w:proofErr w:type="spellEnd"/>
      <w:r w:rsidR="00DD6739" w:rsidRPr="00525DB6">
        <w:rPr>
          <w:rFonts w:ascii="ITC Avant Garde" w:eastAsia="Calibri" w:hAnsi="ITC Avant Garde"/>
          <w:bCs/>
          <w:color w:val="000000"/>
          <w:sz w:val="22"/>
          <w:szCs w:val="22"/>
          <w:lang w:eastAsia="es-MX"/>
        </w:rPr>
        <w:t xml:space="preserve"> Jiménez Higuera</w:t>
      </w:r>
      <w:r w:rsidR="00273746" w:rsidRPr="00525DB6">
        <w:rPr>
          <w:rFonts w:ascii="ITC Avant Garde" w:eastAsia="Calibri" w:hAnsi="ITC Avant Garde"/>
          <w:bCs/>
          <w:color w:val="000000"/>
          <w:sz w:val="22"/>
          <w:szCs w:val="22"/>
          <w:lang w:eastAsia="es-MX"/>
        </w:rPr>
        <w:t xml:space="preserve"> un título de concesión para instalar, operar y explotar por un periodo de 15 (quince) años, una red pública del servicio móvil de radiocomunicación especializada de flotillas en la ruta </w:t>
      </w:r>
      <w:r w:rsidR="00DD6739" w:rsidRPr="00525DB6">
        <w:rPr>
          <w:rFonts w:ascii="ITC Avant Garde" w:eastAsia="Calibri" w:hAnsi="ITC Avant Garde"/>
          <w:bCs/>
          <w:color w:val="000000"/>
          <w:sz w:val="22"/>
          <w:szCs w:val="22"/>
          <w:lang w:eastAsia="es-MX"/>
        </w:rPr>
        <w:t>Ensenada</w:t>
      </w:r>
      <w:r w:rsidR="00161A14" w:rsidRPr="00525DB6">
        <w:rPr>
          <w:rFonts w:ascii="ITC Avant Garde" w:eastAsia="Calibri" w:hAnsi="ITC Avant Garde"/>
          <w:bCs/>
          <w:color w:val="000000"/>
          <w:sz w:val="22"/>
          <w:szCs w:val="22"/>
          <w:lang w:eastAsia="es-MX"/>
        </w:rPr>
        <w:t xml:space="preserve"> B.C.- San Luis Río Colorado, Son., sobre las troncales carre</w:t>
      </w:r>
      <w:r w:rsidR="004C3681" w:rsidRPr="00525DB6">
        <w:rPr>
          <w:rFonts w:ascii="ITC Avant Garde" w:eastAsia="Calibri" w:hAnsi="ITC Avant Garde"/>
          <w:bCs/>
          <w:color w:val="000000"/>
          <w:sz w:val="22"/>
          <w:szCs w:val="22"/>
          <w:lang w:eastAsia="es-MX"/>
        </w:rPr>
        <w:t>teras que comunica</w:t>
      </w:r>
      <w:r w:rsidR="00161A14" w:rsidRPr="00525DB6">
        <w:rPr>
          <w:rFonts w:ascii="ITC Avant Garde" w:eastAsia="Calibri" w:hAnsi="ITC Avant Garde"/>
          <w:bCs/>
          <w:color w:val="000000"/>
          <w:sz w:val="22"/>
          <w:szCs w:val="22"/>
          <w:lang w:eastAsia="es-MX"/>
        </w:rPr>
        <w:t xml:space="preserve"> las siguientes ciudades: Ensenada</w:t>
      </w:r>
      <w:r w:rsidR="00DD6739" w:rsidRPr="00525DB6">
        <w:rPr>
          <w:rFonts w:ascii="ITC Avant Garde" w:eastAsia="Calibri" w:hAnsi="ITC Avant Garde"/>
          <w:bCs/>
          <w:color w:val="000000"/>
          <w:sz w:val="22"/>
          <w:szCs w:val="22"/>
          <w:lang w:eastAsia="es-MX"/>
        </w:rPr>
        <w:t xml:space="preserve"> – Tijuana (1), Tijuana – Mexicali – San Luis Río Colorado (2),</w:t>
      </w:r>
      <w:r w:rsidR="006E5253" w:rsidRPr="00525DB6">
        <w:rPr>
          <w:rFonts w:ascii="ITC Avant Garde" w:eastAsia="Calibri" w:hAnsi="ITC Avant Garde"/>
          <w:bCs/>
          <w:color w:val="000000"/>
          <w:sz w:val="22"/>
          <w:szCs w:val="22"/>
          <w:lang w:eastAsia="es-MX"/>
        </w:rPr>
        <w:t xml:space="preserve"> pudiendo comunicar áreas rurales, pequeños núcleos de población, así como regiones urbanas y suburbanas a lo largo de las troncales carreteras referidas</w:t>
      </w:r>
      <w:r w:rsidR="00273746" w:rsidRPr="00525DB6">
        <w:rPr>
          <w:rFonts w:ascii="ITC Avant Garde" w:eastAsia="Calibri" w:hAnsi="ITC Avant Garde"/>
          <w:bCs/>
          <w:color w:val="000000"/>
          <w:sz w:val="22"/>
          <w:szCs w:val="22"/>
          <w:lang w:eastAsia="es-MX"/>
        </w:rPr>
        <w:t xml:space="preserve"> </w:t>
      </w:r>
      <w:r w:rsidRPr="00525DB6">
        <w:rPr>
          <w:rFonts w:ascii="ITC Avant Garde" w:eastAsia="Calibri" w:hAnsi="ITC Avant Garde"/>
          <w:bCs/>
          <w:color w:val="000000"/>
          <w:sz w:val="22"/>
          <w:szCs w:val="22"/>
          <w:lang w:eastAsia="es-MX"/>
        </w:rPr>
        <w:t>(la “Concesión”)</w:t>
      </w:r>
      <w:r w:rsidR="004C4C37" w:rsidRPr="00525DB6">
        <w:rPr>
          <w:rFonts w:ascii="ITC Avant Garde" w:eastAsia="Calibri" w:hAnsi="ITC Avant Garde"/>
          <w:bCs/>
          <w:color w:val="000000"/>
          <w:sz w:val="22"/>
          <w:szCs w:val="22"/>
          <w:lang w:eastAsia="es-MX"/>
        </w:rPr>
        <w:t xml:space="preserve">, </w:t>
      </w:r>
      <w:r w:rsidR="00832117" w:rsidRPr="00525DB6">
        <w:rPr>
          <w:rFonts w:ascii="ITC Avant Garde" w:eastAsia="Calibri" w:hAnsi="ITC Avant Garde"/>
          <w:bCs/>
          <w:color w:val="000000"/>
          <w:sz w:val="22"/>
          <w:szCs w:val="22"/>
          <w:lang w:eastAsia="es-MX"/>
        </w:rPr>
        <w:t>utiliz</w:t>
      </w:r>
      <w:r w:rsidR="006A457E" w:rsidRPr="00525DB6">
        <w:rPr>
          <w:rFonts w:ascii="ITC Avant Garde" w:eastAsia="Calibri" w:hAnsi="ITC Avant Garde"/>
          <w:bCs/>
          <w:color w:val="000000"/>
          <w:sz w:val="22"/>
          <w:szCs w:val="22"/>
          <w:lang w:eastAsia="es-MX"/>
        </w:rPr>
        <w:t>ando las siguientes frecuencias:</w:t>
      </w:r>
    </w:p>
    <w:p w14:paraId="5E72EBFB" w14:textId="77777777" w:rsidR="008A0491" w:rsidRPr="00525DB6" w:rsidRDefault="008A0491" w:rsidP="008A0491">
      <w:pPr>
        <w:ind w:left="567"/>
        <w:jc w:val="both"/>
        <w:rPr>
          <w:rFonts w:ascii="ITC Avant Garde" w:eastAsia="Calibri" w:hAnsi="ITC Avant Garde"/>
          <w:bCs/>
          <w:color w:val="000000"/>
          <w:sz w:val="22"/>
          <w:szCs w:val="22"/>
          <w:lang w:eastAsia="es-MX"/>
        </w:rPr>
      </w:pPr>
    </w:p>
    <w:p w14:paraId="14048972" w14:textId="4DAFFEBB" w:rsidR="00161A14" w:rsidRPr="00525DB6" w:rsidRDefault="00161A14" w:rsidP="007A2645">
      <w:pPr>
        <w:ind w:left="567"/>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Ubicación de los repetidores:</w:t>
      </w:r>
    </w:p>
    <w:p w14:paraId="0AF77CCE" w14:textId="77777777" w:rsidR="008A0491" w:rsidRPr="00525DB6" w:rsidRDefault="008A0491" w:rsidP="007A2645">
      <w:pPr>
        <w:ind w:left="567"/>
        <w:jc w:val="both"/>
        <w:rPr>
          <w:rFonts w:ascii="ITC Avant Garde" w:eastAsia="Calibri" w:hAnsi="ITC Avant Garde"/>
          <w:bCs/>
          <w:color w:val="000000"/>
          <w:sz w:val="22"/>
          <w:szCs w:val="22"/>
          <w:lang w:eastAsia="es-MX"/>
        </w:rPr>
      </w:pPr>
    </w:p>
    <w:p w14:paraId="7864BA07" w14:textId="6778A139" w:rsidR="00BB137A" w:rsidRPr="00525DB6" w:rsidRDefault="00BB137A" w:rsidP="007A2645">
      <w:pPr>
        <w:ind w:left="567"/>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San Luis Río Colorado</w:t>
      </w:r>
      <w:r w:rsidR="00BC6214" w:rsidRPr="00525DB6">
        <w:rPr>
          <w:rFonts w:ascii="ITC Avant Garde" w:eastAsia="Calibri" w:hAnsi="ITC Avant Garde"/>
          <w:bCs/>
          <w:color w:val="000000"/>
          <w:sz w:val="22"/>
          <w:szCs w:val="22"/>
          <w:lang w:eastAsia="es-MX"/>
        </w:rPr>
        <w:t xml:space="preserve">, </w:t>
      </w:r>
      <w:r w:rsidR="004C3681" w:rsidRPr="00525DB6">
        <w:rPr>
          <w:rFonts w:ascii="ITC Avant Garde" w:eastAsia="Calibri" w:hAnsi="ITC Avant Garde"/>
          <w:bCs/>
          <w:color w:val="000000"/>
          <w:sz w:val="22"/>
          <w:szCs w:val="22"/>
          <w:lang w:eastAsia="es-MX"/>
        </w:rPr>
        <w:t>Sonora</w:t>
      </w:r>
      <w:r w:rsidRPr="00525DB6">
        <w:rPr>
          <w:rFonts w:ascii="ITC Avant Garde" w:eastAsia="Calibri" w:hAnsi="ITC Avant Garde"/>
          <w:bCs/>
          <w:color w:val="000000"/>
          <w:sz w:val="22"/>
          <w:szCs w:val="22"/>
          <w:lang w:eastAsia="es-MX"/>
        </w:rPr>
        <w:t xml:space="preserve"> Zona Centro</w:t>
      </w:r>
      <w:r w:rsidR="00C87FE2">
        <w:rPr>
          <w:rFonts w:ascii="ITC Avant Garde" w:eastAsia="Calibri" w:hAnsi="ITC Avant Garde"/>
          <w:bCs/>
          <w:color w:val="000000"/>
          <w:sz w:val="22"/>
          <w:szCs w:val="22"/>
          <w:lang w:eastAsia="es-MX"/>
        </w:rPr>
        <w:t xml:space="preserve">: </w:t>
      </w:r>
      <w:r w:rsidRPr="00525DB6">
        <w:rPr>
          <w:rFonts w:ascii="ITC Avant Garde" w:eastAsia="Calibri" w:hAnsi="ITC Avant Garde"/>
          <w:bCs/>
          <w:color w:val="000000"/>
          <w:sz w:val="22"/>
          <w:szCs w:val="22"/>
          <w:lang w:eastAsia="es-MX"/>
        </w:rPr>
        <w:t>LN 32°27’59’’ LW 114°46’45’’</w:t>
      </w:r>
    </w:p>
    <w:p w14:paraId="4B41A962" w14:textId="57F458F3" w:rsidR="00BB137A" w:rsidRPr="00525DB6" w:rsidRDefault="00BB137A" w:rsidP="007A2645">
      <w:pPr>
        <w:ind w:left="567"/>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Tijuana, B</w:t>
      </w:r>
      <w:r w:rsidR="004C3681" w:rsidRPr="00525DB6">
        <w:rPr>
          <w:rFonts w:ascii="ITC Avant Garde" w:eastAsia="Calibri" w:hAnsi="ITC Avant Garde"/>
          <w:bCs/>
          <w:color w:val="000000"/>
          <w:sz w:val="22"/>
          <w:szCs w:val="22"/>
          <w:lang w:eastAsia="es-MX"/>
        </w:rPr>
        <w:t>aja California</w:t>
      </w:r>
      <w:r w:rsidR="00BC6214" w:rsidRPr="00525DB6">
        <w:rPr>
          <w:rFonts w:ascii="ITC Avant Garde" w:eastAsia="Calibri" w:hAnsi="ITC Avant Garde"/>
          <w:bCs/>
          <w:color w:val="000000"/>
          <w:sz w:val="22"/>
          <w:szCs w:val="22"/>
          <w:lang w:eastAsia="es-MX"/>
        </w:rPr>
        <w:t xml:space="preserve">, </w:t>
      </w:r>
      <w:r w:rsidRPr="00525DB6">
        <w:rPr>
          <w:rFonts w:ascii="ITC Avant Garde" w:eastAsia="Calibri" w:hAnsi="ITC Avant Garde"/>
          <w:bCs/>
          <w:color w:val="000000"/>
          <w:sz w:val="22"/>
          <w:szCs w:val="22"/>
          <w:lang w:eastAsia="es-MX"/>
        </w:rPr>
        <w:t>Fracc</w:t>
      </w:r>
      <w:r w:rsidR="004C3681" w:rsidRPr="00525DB6">
        <w:rPr>
          <w:rFonts w:ascii="ITC Avant Garde" w:eastAsia="Calibri" w:hAnsi="ITC Avant Garde"/>
          <w:bCs/>
          <w:color w:val="000000"/>
          <w:sz w:val="22"/>
          <w:szCs w:val="22"/>
          <w:lang w:eastAsia="es-MX"/>
        </w:rPr>
        <w:t>ionamiento</w:t>
      </w:r>
      <w:r w:rsidRPr="00525DB6">
        <w:rPr>
          <w:rFonts w:ascii="ITC Avant Garde" w:eastAsia="Calibri" w:hAnsi="ITC Avant Garde"/>
          <w:bCs/>
          <w:color w:val="000000"/>
          <w:sz w:val="22"/>
          <w:szCs w:val="22"/>
          <w:lang w:eastAsia="es-MX"/>
        </w:rPr>
        <w:t xml:space="preserve"> El Mirador</w:t>
      </w:r>
      <w:r w:rsidR="00C87FE2">
        <w:rPr>
          <w:rFonts w:ascii="ITC Avant Garde" w:eastAsia="Calibri" w:hAnsi="ITC Avant Garde"/>
          <w:bCs/>
          <w:color w:val="000000"/>
          <w:sz w:val="22"/>
          <w:szCs w:val="22"/>
          <w:lang w:eastAsia="es-MX"/>
        </w:rPr>
        <w:t xml:space="preserve">: </w:t>
      </w:r>
      <w:r w:rsidRPr="00525DB6">
        <w:rPr>
          <w:rFonts w:ascii="ITC Avant Garde" w:eastAsia="Calibri" w:hAnsi="ITC Avant Garde"/>
          <w:bCs/>
          <w:color w:val="000000"/>
          <w:sz w:val="22"/>
          <w:szCs w:val="22"/>
          <w:lang w:eastAsia="es-MX"/>
        </w:rPr>
        <w:t>LN 32°31’45’’ LW 117°05’21’’</w:t>
      </w:r>
    </w:p>
    <w:p w14:paraId="310C04C5" w14:textId="0F3D90E4" w:rsidR="00BB137A" w:rsidRPr="00525DB6" w:rsidRDefault="00BB137A" w:rsidP="007A2645">
      <w:pPr>
        <w:ind w:left="567"/>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Mexicali, B</w:t>
      </w:r>
      <w:r w:rsidR="004C3681" w:rsidRPr="00525DB6">
        <w:rPr>
          <w:rFonts w:ascii="ITC Avant Garde" w:eastAsia="Calibri" w:hAnsi="ITC Avant Garde"/>
          <w:bCs/>
          <w:color w:val="000000"/>
          <w:sz w:val="22"/>
          <w:szCs w:val="22"/>
          <w:lang w:eastAsia="es-MX"/>
        </w:rPr>
        <w:t xml:space="preserve">aja </w:t>
      </w:r>
      <w:r w:rsidRPr="00525DB6">
        <w:rPr>
          <w:rFonts w:ascii="ITC Avant Garde" w:eastAsia="Calibri" w:hAnsi="ITC Avant Garde"/>
          <w:bCs/>
          <w:color w:val="000000"/>
          <w:sz w:val="22"/>
          <w:szCs w:val="22"/>
          <w:lang w:eastAsia="es-MX"/>
        </w:rPr>
        <w:t>C</w:t>
      </w:r>
      <w:r w:rsidR="004C3681" w:rsidRPr="00525DB6">
        <w:rPr>
          <w:rFonts w:ascii="ITC Avant Garde" w:eastAsia="Calibri" w:hAnsi="ITC Avant Garde"/>
          <w:bCs/>
          <w:color w:val="000000"/>
          <w:sz w:val="22"/>
          <w:szCs w:val="22"/>
          <w:lang w:eastAsia="es-MX"/>
        </w:rPr>
        <w:t>alifornia</w:t>
      </w:r>
      <w:r w:rsidR="00BC6214" w:rsidRPr="00525DB6">
        <w:rPr>
          <w:rFonts w:ascii="ITC Avant Garde" w:eastAsia="Calibri" w:hAnsi="ITC Avant Garde"/>
          <w:bCs/>
          <w:color w:val="000000"/>
          <w:sz w:val="22"/>
          <w:szCs w:val="22"/>
          <w:lang w:eastAsia="es-MX"/>
        </w:rPr>
        <w:t xml:space="preserve"> </w:t>
      </w:r>
      <w:r w:rsidRPr="00525DB6">
        <w:rPr>
          <w:rFonts w:ascii="ITC Avant Garde" w:eastAsia="Calibri" w:hAnsi="ITC Avant Garde"/>
          <w:bCs/>
          <w:color w:val="000000"/>
          <w:sz w:val="22"/>
          <w:szCs w:val="22"/>
          <w:lang w:eastAsia="es-MX"/>
        </w:rPr>
        <w:t>El Cerro Prieto</w:t>
      </w:r>
      <w:r w:rsidR="00C87FE2">
        <w:rPr>
          <w:rFonts w:ascii="ITC Avant Garde" w:eastAsia="Calibri" w:hAnsi="ITC Avant Garde"/>
          <w:bCs/>
          <w:color w:val="000000"/>
          <w:sz w:val="22"/>
          <w:szCs w:val="22"/>
          <w:lang w:eastAsia="es-MX"/>
        </w:rPr>
        <w:t xml:space="preserve">: </w:t>
      </w:r>
      <w:r w:rsidRPr="00525DB6">
        <w:rPr>
          <w:rFonts w:ascii="ITC Avant Garde" w:eastAsia="Calibri" w:hAnsi="ITC Avant Garde"/>
          <w:bCs/>
          <w:color w:val="000000"/>
          <w:sz w:val="22"/>
          <w:szCs w:val="22"/>
          <w:lang w:eastAsia="es-MX"/>
        </w:rPr>
        <w:t>LN 32°24’54’’ LW 115°18’32’’</w:t>
      </w:r>
    </w:p>
    <w:p w14:paraId="351FD02F" w14:textId="4A5D3C25" w:rsidR="00BB137A" w:rsidRPr="00525DB6" w:rsidRDefault="004C3681" w:rsidP="007A2645">
      <w:pPr>
        <w:ind w:left="567"/>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 xml:space="preserve">Ensenada, Baja </w:t>
      </w:r>
      <w:r w:rsidR="00BB137A" w:rsidRPr="00525DB6">
        <w:rPr>
          <w:rFonts w:ascii="ITC Avant Garde" w:eastAsia="Calibri" w:hAnsi="ITC Avant Garde"/>
          <w:bCs/>
          <w:color w:val="000000"/>
          <w:sz w:val="22"/>
          <w:szCs w:val="22"/>
          <w:lang w:eastAsia="es-MX"/>
        </w:rPr>
        <w:t>C</w:t>
      </w:r>
      <w:r w:rsidRPr="00525DB6">
        <w:rPr>
          <w:rFonts w:ascii="ITC Avant Garde" w:eastAsia="Calibri" w:hAnsi="ITC Avant Garde"/>
          <w:bCs/>
          <w:color w:val="000000"/>
          <w:sz w:val="22"/>
          <w:szCs w:val="22"/>
          <w:lang w:eastAsia="es-MX"/>
        </w:rPr>
        <w:t>alifornia</w:t>
      </w:r>
      <w:r w:rsidR="00BB137A" w:rsidRPr="00525DB6">
        <w:rPr>
          <w:rFonts w:ascii="ITC Avant Garde" w:eastAsia="Calibri" w:hAnsi="ITC Avant Garde"/>
          <w:bCs/>
          <w:color w:val="000000"/>
          <w:sz w:val="22"/>
          <w:szCs w:val="22"/>
          <w:lang w:eastAsia="es-MX"/>
        </w:rPr>
        <w:t xml:space="preserve"> La Punta Banda</w:t>
      </w:r>
      <w:r w:rsidR="00C87FE2">
        <w:rPr>
          <w:rFonts w:ascii="ITC Avant Garde" w:eastAsia="Calibri" w:hAnsi="ITC Avant Garde"/>
          <w:bCs/>
          <w:color w:val="000000"/>
          <w:sz w:val="22"/>
          <w:szCs w:val="22"/>
          <w:lang w:eastAsia="es-MX"/>
        </w:rPr>
        <w:t xml:space="preserve">: </w:t>
      </w:r>
      <w:r w:rsidR="00BB137A" w:rsidRPr="00525DB6">
        <w:rPr>
          <w:rFonts w:ascii="ITC Avant Garde" w:eastAsia="Calibri" w:hAnsi="ITC Avant Garde"/>
          <w:bCs/>
          <w:color w:val="000000"/>
          <w:sz w:val="22"/>
          <w:szCs w:val="22"/>
          <w:lang w:eastAsia="es-MX"/>
        </w:rPr>
        <w:t>LN 31°40’33’’ LW 116°37’21’’</w:t>
      </w:r>
    </w:p>
    <w:p w14:paraId="537B92FF" w14:textId="77777777" w:rsidR="008A0491" w:rsidRPr="00525DB6" w:rsidRDefault="008A0491" w:rsidP="007A2645">
      <w:pPr>
        <w:ind w:left="567"/>
        <w:jc w:val="both"/>
        <w:rPr>
          <w:rFonts w:ascii="ITC Avant Garde" w:eastAsia="Calibri" w:hAnsi="ITC Avant Garde"/>
          <w:bCs/>
          <w:color w:val="000000"/>
          <w:sz w:val="22"/>
          <w:szCs w:val="22"/>
          <w:lang w:eastAsia="es-MX"/>
        </w:rPr>
      </w:pPr>
    </w:p>
    <w:p w14:paraId="61A531BA" w14:textId="47F1E13D" w:rsidR="00161A14" w:rsidRPr="00525DB6" w:rsidRDefault="00161A14" w:rsidP="007A2645">
      <w:pPr>
        <w:ind w:left="567"/>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 xml:space="preserve">Frecuencias </w:t>
      </w:r>
      <w:r w:rsidR="00B772D2" w:rsidRPr="00525DB6">
        <w:rPr>
          <w:rFonts w:ascii="ITC Avant Garde" w:eastAsia="Calibri" w:hAnsi="ITC Avant Garde"/>
          <w:bCs/>
          <w:color w:val="000000"/>
          <w:sz w:val="22"/>
          <w:szCs w:val="22"/>
          <w:lang w:eastAsia="es-MX"/>
        </w:rPr>
        <w:t>asignadas</w:t>
      </w:r>
      <w:r w:rsidRPr="00525DB6">
        <w:rPr>
          <w:rFonts w:ascii="ITC Avant Garde" w:eastAsia="Calibri" w:hAnsi="ITC Avant Garde"/>
          <w:bCs/>
          <w:color w:val="000000"/>
          <w:sz w:val="22"/>
          <w:szCs w:val="22"/>
          <w:lang w:eastAsia="es-MX"/>
        </w:rPr>
        <w:t>:</w:t>
      </w:r>
    </w:p>
    <w:p w14:paraId="6190CC38" w14:textId="5F6CE538" w:rsidR="008A0491" w:rsidRPr="00ED7A6D" w:rsidRDefault="00ED7A6D" w:rsidP="00ED7A6D">
      <w:pPr>
        <w:ind w:left="567"/>
        <w:jc w:val="center"/>
        <w:rPr>
          <w:rFonts w:ascii="ITC Avant Garde" w:eastAsia="Calibri" w:hAnsi="ITC Avant Garde"/>
          <w:bCs/>
          <w:color w:val="000000"/>
          <w:sz w:val="20"/>
          <w:lang w:eastAsia="es-MX"/>
        </w:rPr>
      </w:pPr>
      <w:r w:rsidRPr="00ED7A6D">
        <w:rPr>
          <w:rFonts w:ascii="ITC Avant Garde" w:hAnsi="ITC Avant Garde" w:cs="Arial"/>
          <w:b/>
          <w:sz w:val="20"/>
        </w:rPr>
        <w:t>GRUPO 9 C</w:t>
      </w:r>
    </w:p>
    <w:tbl>
      <w:tblPr>
        <w:tblStyle w:val="Cuadrculadetablaclara"/>
        <w:tblW w:w="8789" w:type="dxa"/>
        <w:jc w:val="center"/>
        <w:tblLayout w:type="fixed"/>
        <w:tblLook w:val="0000" w:firstRow="0" w:lastRow="0" w:firstColumn="0" w:lastColumn="0" w:noHBand="0" w:noVBand="0"/>
        <w:tblCaption w:val="Frecuencia asignadas Grupo 9 C."/>
        <w:tblDescription w:val="SERIE 9 C, SERIE 19 C, SERIE 29 C, SERIE 39 C"/>
      </w:tblPr>
      <w:tblGrid>
        <w:gridCol w:w="993"/>
        <w:gridCol w:w="1029"/>
        <w:gridCol w:w="1097"/>
        <w:gridCol w:w="1134"/>
        <w:gridCol w:w="1134"/>
        <w:gridCol w:w="1134"/>
        <w:gridCol w:w="1134"/>
        <w:gridCol w:w="1134"/>
      </w:tblGrid>
      <w:tr w:rsidR="004E5576" w:rsidRPr="00525DB6" w14:paraId="2265BBAE" w14:textId="77777777" w:rsidTr="00FE3CB4">
        <w:trPr>
          <w:trHeight w:val="22"/>
          <w:tblHeader/>
          <w:jc w:val="center"/>
        </w:trPr>
        <w:tc>
          <w:tcPr>
            <w:tcW w:w="993" w:type="dxa"/>
            <w:vAlign w:val="center"/>
          </w:tcPr>
          <w:p w14:paraId="0EC61111" w14:textId="1A67B92C" w:rsidR="004E5576" w:rsidRPr="00525DB6" w:rsidRDefault="004E5576" w:rsidP="004E5576">
            <w:pPr>
              <w:jc w:val="center"/>
              <w:rPr>
                <w:rFonts w:ascii="ITC Avant Garde" w:hAnsi="ITC Avant Garde" w:cs="Arial"/>
                <w:b/>
                <w:sz w:val="16"/>
                <w:szCs w:val="16"/>
              </w:rPr>
            </w:pPr>
            <w:r w:rsidRPr="00525DB6">
              <w:rPr>
                <w:rFonts w:ascii="ITC Avant Garde" w:hAnsi="ITC Avant Garde" w:cs="Arial"/>
                <w:b/>
                <w:sz w:val="16"/>
                <w:szCs w:val="16"/>
              </w:rPr>
              <w:t>SERIE 9 C</w:t>
            </w:r>
          </w:p>
        </w:tc>
        <w:tc>
          <w:tcPr>
            <w:tcW w:w="1029" w:type="dxa"/>
          </w:tcPr>
          <w:p w14:paraId="5F89854D" w14:textId="1A595B41" w:rsidR="004E5576" w:rsidRPr="00525DB6" w:rsidRDefault="004E5576" w:rsidP="004E5576">
            <w:pPr>
              <w:jc w:val="center"/>
              <w:rPr>
                <w:rFonts w:ascii="ITC Avant Garde" w:hAnsi="ITC Avant Garde" w:cs="Arial"/>
                <w:b/>
                <w:sz w:val="16"/>
                <w:szCs w:val="16"/>
              </w:rPr>
            </w:pPr>
            <w:r w:rsidRPr="00525DB6">
              <w:rPr>
                <w:rFonts w:ascii="ITC Avant Garde" w:hAnsi="ITC Avant Garde" w:cs="Arial"/>
                <w:b/>
                <w:sz w:val="16"/>
                <w:szCs w:val="16"/>
              </w:rPr>
              <w:t>SERIE 9 C</w:t>
            </w:r>
          </w:p>
        </w:tc>
        <w:tc>
          <w:tcPr>
            <w:tcW w:w="1097" w:type="dxa"/>
          </w:tcPr>
          <w:p w14:paraId="39CBC9CB" w14:textId="6D5B4172" w:rsidR="004E5576" w:rsidRPr="00525DB6" w:rsidRDefault="004E5576" w:rsidP="004E5576">
            <w:pPr>
              <w:jc w:val="center"/>
              <w:rPr>
                <w:rFonts w:ascii="ITC Avant Garde" w:hAnsi="ITC Avant Garde" w:cs="Arial"/>
                <w:b/>
                <w:sz w:val="16"/>
                <w:szCs w:val="16"/>
              </w:rPr>
            </w:pPr>
            <w:r w:rsidRPr="00525DB6">
              <w:rPr>
                <w:rFonts w:ascii="ITC Avant Garde" w:hAnsi="ITC Avant Garde" w:cs="Arial"/>
                <w:b/>
                <w:sz w:val="16"/>
                <w:szCs w:val="16"/>
              </w:rPr>
              <w:t>SERIE 19 C</w:t>
            </w:r>
          </w:p>
        </w:tc>
        <w:tc>
          <w:tcPr>
            <w:tcW w:w="1134" w:type="dxa"/>
          </w:tcPr>
          <w:p w14:paraId="5A093D06" w14:textId="60EAB4B6" w:rsidR="004E5576" w:rsidRPr="00525DB6" w:rsidRDefault="004E5576" w:rsidP="004E5576">
            <w:pPr>
              <w:jc w:val="center"/>
              <w:rPr>
                <w:rFonts w:ascii="ITC Avant Garde" w:hAnsi="ITC Avant Garde" w:cs="Arial"/>
                <w:b/>
                <w:sz w:val="16"/>
                <w:szCs w:val="16"/>
              </w:rPr>
            </w:pPr>
            <w:r w:rsidRPr="00525DB6">
              <w:rPr>
                <w:rFonts w:ascii="ITC Avant Garde" w:hAnsi="ITC Avant Garde" w:cs="Arial"/>
                <w:b/>
                <w:sz w:val="16"/>
                <w:szCs w:val="16"/>
              </w:rPr>
              <w:t>SERIE 19 C</w:t>
            </w:r>
          </w:p>
        </w:tc>
        <w:tc>
          <w:tcPr>
            <w:tcW w:w="1134" w:type="dxa"/>
          </w:tcPr>
          <w:p w14:paraId="2F76E593" w14:textId="2723A587" w:rsidR="004E5576" w:rsidRPr="00525DB6" w:rsidRDefault="004E5576" w:rsidP="004E5576">
            <w:pPr>
              <w:jc w:val="center"/>
              <w:rPr>
                <w:rFonts w:ascii="ITC Avant Garde" w:hAnsi="ITC Avant Garde" w:cs="Arial"/>
                <w:b/>
                <w:sz w:val="16"/>
                <w:szCs w:val="16"/>
              </w:rPr>
            </w:pPr>
            <w:r w:rsidRPr="00525DB6">
              <w:rPr>
                <w:rFonts w:ascii="ITC Avant Garde" w:hAnsi="ITC Avant Garde" w:cs="Arial"/>
                <w:b/>
                <w:sz w:val="16"/>
                <w:szCs w:val="16"/>
              </w:rPr>
              <w:t>SERIE 29 C</w:t>
            </w:r>
          </w:p>
        </w:tc>
        <w:tc>
          <w:tcPr>
            <w:tcW w:w="1134" w:type="dxa"/>
          </w:tcPr>
          <w:p w14:paraId="7F51FC6F" w14:textId="1D91E5BD" w:rsidR="004E5576" w:rsidRPr="00525DB6" w:rsidRDefault="004E5576" w:rsidP="004E5576">
            <w:pPr>
              <w:jc w:val="center"/>
              <w:rPr>
                <w:rFonts w:ascii="ITC Avant Garde" w:hAnsi="ITC Avant Garde" w:cs="Arial"/>
                <w:b/>
                <w:sz w:val="16"/>
                <w:szCs w:val="16"/>
              </w:rPr>
            </w:pPr>
            <w:r w:rsidRPr="00525DB6">
              <w:rPr>
                <w:rFonts w:ascii="ITC Avant Garde" w:hAnsi="ITC Avant Garde" w:cs="Arial"/>
                <w:b/>
                <w:sz w:val="16"/>
                <w:szCs w:val="16"/>
              </w:rPr>
              <w:t>SERIE 29 C</w:t>
            </w:r>
          </w:p>
        </w:tc>
        <w:tc>
          <w:tcPr>
            <w:tcW w:w="1134" w:type="dxa"/>
          </w:tcPr>
          <w:p w14:paraId="074E2BD5" w14:textId="01275842" w:rsidR="004E5576" w:rsidRPr="00525DB6" w:rsidRDefault="004E5576" w:rsidP="004E5576">
            <w:pPr>
              <w:jc w:val="center"/>
              <w:rPr>
                <w:rFonts w:ascii="ITC Avant Garde" w:hAnsi="ITC Avant Garde" w:cs="Arial"/>
                <w:b/>
                <w:sz w:val="16"/>
                <w:szCs w:val="16"/>
              </w:rPr>
            </w:pPr>
            <w:r w:rsidRPr="00525DB6">
              <w:rPr>
                <w:rFonts w:ascii="ITC Avant Garde" w:hAnsi="ITC Avant Garde" w:cs="Arial"/>
                <w:b/>
                <w:sz w:val="16"/>
                <w:szCs w:val="16"/>
              </w:rPr>
              <w:t>SERIE 39 C</w:t>
            </w:r>
          </w:p>
        </w:tc>
        <w:tc>
          <w:tcPr>
            <w:tcW w:w="1134" w:type="dxa"/>
          </w:tcPr>
          <w:p w14:paraId="5CF44772" w14:textId="5D719239" w:rsidR="004E5576" w:rsidRPr="00525DB6" w:rsidRDefault="004E5576" w:rsidP="004E5576">
            <w:pPr>
              <w:jc w:val="center"/>
              <w:rPr>
                <w:rFonts w:ascii="ITC Avant Garde" w:hAnsi="ITC Avant Garde" w:cs="Arial"/>
                <w:b/>
                <w:sz w:val="16"/>
                <w:szCs w:val="16"/>
              </w:rPr>
            </w:pPr>
            <w:r w:rsidRPr="00525DB6">
              <w:rPr>
                <w:rFonts w:ascii="ITC Avant Garde" w:hAnsi="ITC Avant Garde" w:cs="Arial"/>
                <w:b/>
                <w:sz w:val="16"/>
                <w:szCs w:val="16"/>
              </w:rPr>
              <w:t>SERIE 39 C</w:t>
            </w:r>
          </w:p>
        </w:tc>
      </w:tr>
      <w:tr w:rsidR="004E5576" w:rsidRPr="00525DB6" w14:paraId="1F831104" w14:textId="77777777" w:rsidTr="00FE3CB4">
        <w:trPr>
          <w:trHeight w:val="184"/>
          <w:tblHeader/>
          <w:jc w:val="center"/>
        </w:trPr>
        <w:tc>
          <w:tcPr>
            <w:tcW w:w="993" w:type="dxa"/>
            <w:vAlign w:val="center"/>
          </w:tcPr>
          <w:p w14:paraId="54DC489D" w14:textId="6222C719" w:rsidR="004E5576" w:rsidRPr="00525DB6" w:rsidRDefault="004E5576" w:rsidP="004E5576">
            <w:pPr>
              <w:jc w:val="center"/>
              <w:rPr>
                <w:rFonts w:ascii="ITC Avant Garde" w:hAnsi="ITC Avant Garde" w:cs="Arial"/>
                <w:b/>
                <w:sz w:val="16"/>
                <w:szCs w:val="16"/>
              </w:rPr>
            </w:pPr>
            <w:r w:rsidRPr="00525DB6">
              <w:rPr>
                <w:rFonts w:ascii="ITC Avant Garde" w:hAnsi="ITC Avant Garde" w:cs="Arial"/>
                <w:b/>
                <w:sz w:val="16"/>
                <w:szCs w:val="16"/>
              </w:rPr>
              <w:t xml:space="preserve"> </w:t>
            </w:r>
            <w:proofErr w:type="spellStart"/>
            <w:r w:rsidRPr="00525DB6">
              <w:rPr>
                <w:rFonts w:ascii="ITC Avant Garde" w:hAnsi="ITC Avant Garde" w:cs="Arial"/>
                <w:b/>
                <w:sz w:val="16"/>
                <w:szCs w:val="16"/>
              </w:rPr>
              <w:t>Rx</w:t>
            </w:r>
            <w:proofErr w:type="spellEnd"/>
            <w:r w:rsidRPr="00525DB6">
              <w:rPr>
                <w:rFonts w:ascii="ITC Avant Garde" w:hAnsi="ITC Avant Garde" w:cs="Arial"/>
                <w:b/>
                <w:sz w:val="16"/>
                <w:szCs w:val="16"/>
              </w:rPr>
              <w:t xml:space="preserve"> (MHz)</w:t>
            </w:r>
          </w:p>
        </w:tc>
        <w:tc>
          <w:tcPr>
            <w:tcW w:w="1029" w:type="dxa"/>
          </w:tcPr>
          <w:p w14:paraId="21DA8A9A" w14:textId="77777777" w:rsidR="004E5576" w:rsidRPr="00525DB6" w:rsidRDefault="004E5576" w:rsidP="004E5576">
            <w:pPr>
              <w:jc w:val="center"/>
              <w:rPr>
                <w:rFonts w:ascii="ITC Avant Garde" w:hAnsi="ITC Avant Garde" w:cs="Arial"/>
                <w:b/>
                <w:sz w:val="16"/>
                <w:szCs w:val="16"/>
              </w:rPr>
            </w:pPr>
            <w:proofErr w:type="spellStart"/>
            <w:r w:rsidRPr="00525DB6">
              <w:rPr>
                <w:rFonts w:ascii="ITC Avant Garde" w:hAnsi="ITC Avant Garde" w:cs="Arial"/>
                <w:b/>
                <w:sz w:val="16"/>
                <w:szCs w:val="16"/>
              </w:rPr>
              <w:t>Tx</w:t>
            </w:r>
            <w:proofErr w:type="spellEnd"/>
            <w:r w:rsidRPr="00525DB6">
              <w:rPr>
                <w:rFonts w:ascii="ITC Avant Garde" w:hAnsi="ITC Avant Garde" w:cs="Arial"/>
                <w:b/>
                <w:sz w:val="16"/>
                <w:szCs w:val="16"/>
              </w:rPr>
              <w:t xml:space="preserve"> (MHz)</w:t>
            </w:r>
          </w:p>
        </w:tc>
        <w:tc>
          <w:tcPr>
            <w:tcW w:w="1097" w:type="dxa"/>
          </w:tcPr>
          <w:p w14:paraId="5803E812" w14:textId="77777777" w:rsidR="004E5576" w:rsidRPr="00525DB6" w:rsidRDefault="004E5576" w:rsidP="004E5576">
            <w:pPr>
              <w:jc w:val="center"/>
              <w:rPr>
                <w:rFonts w:ascii="ITC Avant Garde" w:hAnsi="ITC Avant Garde" w:cs="Arial"/>
                <w:b/>
                <w:sz w:val="16"/>
                <w:szCs w:val="16"/>
              </w:rPr>
            </w:pPr>
            <w:proofErr w:type="spellStart"/>
            <w:r w:rsidRPr="00525DB6">
              <w:rPr>
                <w:rFonts w:ascii="ITC Avant Garde" w:hAnsi="ITC Avant Garde" w:cs="Arial"/>
                <w:b/>
                <w:sz w:val="16"/>
                <w:szCs w:val="16"/>
              </w:rPr>
              <w:t>Rx</w:t>
            </w:r>
            <w:proofErr w:type="spellEnd"/>
            <w:r w:rsidRPr="00525DB6">
              <w:rPr>
                <w:rFonts w:ascii="ITC Avant Garde" w:hAnsi="ITC Avant Garde" w:cs="Arial"/>
                <w:b/>
                <w:sz w:val="16"/>
                <w:szCs w:val="16"/>
              </w:rPr>
              <w:t xml:space="preserve"> (MHz)</w:t>
            </w:r>
          </w:p>
        </w:tc>
        <w:tc>
          <w:tcPr>
            <w:tcW w:w="1134" w:type="dxa"/>
          </w:tcPr>
          <w:p w14:paraId="28EAE83C" w14:textId="77777777" w:rsidR="004E5576" w:rsidRPr="00525DB6" w:rsidRDefault="004E5576" w:rsidP="004E5576">
            <w:pPr>
              <w:jc w:val="center"/>
              <w:rPr>
                <w:rFonts w:ascii="ITC Avant Garde" w:hAnsi="ITC Avant Garde" w:cs="Arial"/>
                <w:b/>
                <w:sz w:val="16"/>
                <w:szCs w:val="16"/>
              </w:rPr>
            </w:pPr>
            <w:proofErr w:type="spellStart"/>
            <w:r w:rsidRPr="00525DB6">
              <w:rPr>
                <w:rFonts w:ascii="ITC Avant Garde" w:hAnsi="ITC Avant Garde" w:cs="Arial"/>
                <w:b/>
                <w:sz w:val="16"/>
                <w:szCs w:val="16"/>
              </w:rPr>
              <w:t>Tx</w:t>
            </w:r>
            <w:proofErr w:type="spellEnd"/>
            <w:r w:rsidRPr="00525DB6">
              <w:rPr>
                <w:rFonts w:ascii="ITC Avant Garde" w:hAnsi="ITC Avant Garde" w:cs="Arial"/>
                <w:b/>
                <w:sz w:val="16"/>
                <w:szCs w:val="16"/>
              </w:rPr>
              <w:t xml:space="preserve"> (MHz)</w:t>
            </w:r>
          </w:p>
        </w:tc>
        <w:tc>
          <w:tcPr>
            <w:tcW w:w="1134" w:type="dxa"/>
          </w:tcPr>
          <w:p w14:paraId="56DC1CA3" w14:textId="77777777" w:rsidR="004E5576" w:rsidRPr="00525DB6" w:rsidRDefault="004E5576" w:rsidP="004E5576">
            <w:pPr>
              <w:jc w:val="center"/>
              <w:rPr>
                <w:rFonts w:ascii="ITC Avant Garde" w:hAnsi="ITC Avant Garde" w:cs="Arial"/>
                <w:b/>
                <w:sz w:val="16"/>
                <w:szCs w:val="16"/>
              </w:rPr>
            </w:pPr>
            <w:proofErr w:type="spellStart"/>
            <w:r w:rsidRPr="00525DB6">
              <w:rPr>
                <w:rFonts w:ascii="ITC Avant Garde" w:hAnsi="ITC Avant Garde" w:cs="Arial"/>
                <w:b/>
                <w:sz w:val="16"/>
                <w:szCs w:val="16"/>
              </w:rPr>
              <w:t>Rx</w:t>
            </w:r>
            <w:proofErr w:type="spellEnd"/>
            <w:r w:rsidRPr="00525DB6">
              <w:rPr>
                <w:rFonts w:ascii="ITC Avant Garde" w:hAnsi="ITC Avant Garde" w:cs="Arial"/>
                <w:b/>
                <w:sz w:val="16"/>
                <w:szCs w:val="16"/>
              </w:rPr>
              <w:t xml:space="preserve"> (MHz)</w:t>
            </w:r>
          </w:p>
        </w:tc>
        <w:tc>
          <w:tcPr>
            <w:tcW w:w="1134" w:type="dxa"/>
          </w:tcPr>
          <w:p w14:paraId="5543870F" w14:textId="77777777" w:rsidR="004E5576" w:rsidRPr="00525DB6" w:rsidRDefault="004E5576" w:rsidP="004E5576">
            <w:pPr>
              <w:jc w:val="center"/>
              <w:rPr>
                <w:rFonts w:ascii="ITC Avant Garde" w:hAnsi="ITC Avant Garde" w:cs="Arial"/>
                <w:b/>
                <w:sz w:val="16"/>
                <w:szCs w:val="16"/>
              </w:rPr>
            </w:pPr>
            <w:proofErr w:type="spellStart"/>
            <w:r w:rsidRPr="00525DB6">
              <w:rPr>
                <w:rFonts w:ascii="ITC Avant Garde" w:hAnsi="ITC Avant Garde" w:cs="Arial"/>
                <w:b/>
                <w:sz w:val="16"/>
                <w:szCs w:val="16"/>
              </w:rPr>
              <w:t>Tx</w:t>
            </w:r>
            <w:proofErr w:type="spellEnd"/>
            <w:r w:rsidRPr="00525DB6">
              <w:rPr>
                <w:rFonts w:ascii="ITC Avant Garde" w:hAnsi="ITC Avant Garde" w:cs="Arial"/>
                <w:b/>
                <w:sz w:val="16"/>
                <w:szCs w:val="16"/>
              </w:rPr>
              <w:t xml:space="preserve"> (MHz)</w:t>
            </w:r>
          </w:p>
        </w:tc>
        <w:tc>
          <w:tcPr>
            <w:tcW w:w="1134" w:type="dxa"/>
          </w:tcPr>
          <w:p w14:paraId="1AA12F3B" w14:textId="77777777" w:rsidR="004E5576" w:rsidRPr="00525DB6" w:rsidRDefault="004E5576" w:rsidP="004E5576">
            <w:pPr>
              <w:jc w:val="center"/>
              <w:rPr>
                <w:rFonts w:ascii="ITC Avant Garde" w:hAnsi="ITC Avant Garde" w:cs="Arial"/>
                <w:b/>
                <w:sz w:val="16"/>
                <w:szCs w:val="16"/>
              </w:rPr>
            </w:pPr>
            <w:proofErr w:type="spellStart"/>
            <w:r w:rsidRPr="00525DB6">
              <w:rPr>
                <w:rFonts w:ascii="ITC Avant Garde" w:hAnsi="ITC Avant Garde" w:cs="Arial"/>
                <w:b/>
                <w:sz w:val="16"/>
                <w:szCs w:val="16"/>
              </w:rPr>
              <w:t>Rx</w:t>
            </w:r>
            <w:proofErr w:type="spellEnd"/>
            <w:r w:rsidRPr="00525DB6">
              <w:rPr>
                <w:rFonts w:ascii="ITC Avant Garde" w:hAnsi="ITC Avant Garde" w:cs="Arial"/>
                <w:b/>
                <w:sz w:val="16"/>
                <w:szCs w:val="16"/>
              </w:rPr>
              <w:t xml:space="preserve"> (MHz)</w:t>
            </w:r>
          </w:p>
        </w:tc>
        <w:tc>
          <w:tcPr>
            <w:tcW w:w="1134" w:type="dxa"/>
          </w:tcPr>
          <w:p w14:paraId="349DA9AD" w14:textId="77777777" w:rsidR="004E5576" w:rsidRPr="00525DB6" w:rsidRDefault="004E5576" w:rsidP="004E5576">
            <w:pPr>
              <w:jc w:val="center"/>
              <w:rPr>
                <w:rFonts w:ascii="ITC Avant Garde" w:hAnsi="ITC Avant Garde" w:cs="Arial"/>
                <w:b/>
                <w:sz w:val="16"/>
                <w:szCs w:val="16"/>
              </w:rPr>
            </w:pPr>
            <w:proofErr w:type="spellStart"/>
            <w:r w:rsidRPr="00525DB6">
              <w:rPr>
                <w:rFonts w:ascii="ITC Avant Garde" w:hAnsi="ITC Avant Garde" w:cs="Arial"/>
                <w:b/>
                <w:sz w:val="16"/>
                <w:szCs w:val="16"/>
              </w:rPr>
              <w:t>Tx</w:t>
            </w:r>
            <w:proofErr w:type="spellEnd"/>
            <w:r w:rsidRPr="00525DB6">
              <w:rPr>
                <w:rFonts w:ascii="ITC Avant Garde" w:hAnsi="ITC Avant Garde" w:cs="Arial"/>
                <w:b/>
                <w:sz w:val="16"/>
                <w:szCs w:val="16"/>
              </w:rPr>
              <w:t xml:space="preserve"> (MHz)</w:t>
            </w:r>
          </w:p>
        </w:tc>
      </w:tr>
      <w:tr w:rsidR="004E5576" w:rsidRPr="00525DB6" w14:paraId="3CA50CA5" w14:textId="77777777" w:rsidTr="00FE3CB4">
        <w:trPr>
          <w:trHeight w:val="177"/>
          <w:tblHeader/>
          <w:jc w:val="center"/>
        </w:trPr>
        <w:tc>
          <w:tcPr>
            <w:tcW w:w="993" w:type="dxa"/>
            <w:vAlign w:val="center"/>
          </w:tcPr>
          <w:p w14:paraId="02307EA7"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806.225</w:t>
            </w:r>
          </w:p>
        </w:tc>
        <w:tc>
          <w:tcPr>
            <w:tcW w:w="1029" w:type="dxa"/>
          </w:tcPr>
          <w:p w14:paraId="197788FD"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851.225</w:t>
            </w:r>
          </w:p>
        </w:tc>
        <w:tc>
          <w:tcPr>
            <w:tcW w:w="1097" w:type="dxa"/>
          </w:tcPr>
          <w:p w14:paraId="19CF0DDC"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806.475</w:t>
            </w:r>
          </w:p>
        </w:tc>
        <w:tc>
          <w:tcPr>
            <w:tcW w:w="1134" w:type="dxa"/>
          </w:tcPr>
          <w:p w14:paraId="37536107"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851.475</w:t>
            </w:r>
          </w:p>
        </w:tc>
        <w:tc>
          <w:tcPr>
            <w:tcW w:w="1134" w:type="dxa"/>
          </w:tcPr>
          <w:p w14:paraId="14BE148D"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806.725</w:t>
            </w:r>
          </w:p>
        </w:tc>
        <w:tc>
          <w:tcPr>
            <w:tcW w:w="1134" w:type="dxa"/>
          </w:tcPr>
          <w:p w14:paraId="5B2711E1"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851.725</w:t>
            </w:r>
          </w:p>
        </w:tc>
        <w:tc>
          <w:tcPr>
            <w:tcW w:w="1134" w:type="dxa"/>
          </w:tcPr>
          <w:p w14:paraId="04E5C879"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806.975</w:t>
            </w:r>
          </w:p>
        </w:tc>
        <w:tc>
          <w:tcPr>
            <w:tcW w:w="1134" w:type="dxa"/>
          </w:tcPr>
          <w:p w14:paraId="7E48745D"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851.975</w:t>
            </w:r>
          </w:p>
        </w:tc>
      </w:tr>
      <w:tr w:rsidR="004E5576" w:rsidRPr="00525DB6" w14:paraId="2A7608B2" w14:textId="77777777" w:rsidTr="00FE3CB4">
        <w:trPr>
          <w:trHeight w:val="140"/>
          <w:tblHeader/>
          <w:jc w:val="center"/>
        </w:trPr>
        <w:tc>
          <w:tcPr>
            <w:tcW w:w="993" w:type="dxa"/>
            <w:vAlign w:val="center"/>
          </w:tcPr>
          <w:p w14:paraId="22E2EF55"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807.225</w:t>
            </w:r>
          </w:p>
        </w:tc>
        <w:tc>
          <w:tcPr>
            <w:tcW w:w="1029" w:type="dxa"/>
          </w:tcPr>
          <w:p w14:paraId="77045E1A"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852.225</w:t>
            </w:r>
          </w:p>
        </w:tc>
        <w:tc>
          <w:tcPr>
            <w:tcW w:w="1097" w:type="dxa"/>
          </w:tcPr>
          <w:p w14:paraId="7D9AFD8F"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807.475</w:t>
            </w:r>
          </w:p>
        </w:tc>
        <w:tc>
          <w:tcPr>
            <w:tcW w:w="1134" w:type="dxa"/>
          </w:tcPr>
          <w:p w14:paraId="3DFE495D"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852.475</w:t>
            </w:r>
          </w:p>
        </w:tc>
        <w:tc>
          <w:tcPr>
            <w:tcW w:w="1134" w:type="dxa"/>
          </w:tcPr>
          <w:p w14:paraId="5F515CB6"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807.725</w:t>
            </w:r>
          </w:p>
        </w:tc>
        <w:tc>
          <w:tcPr>
            <w:tcW w:w="1134" w:type="dxa"/>
          </w:tcPr>
          <w:p w14:paraId="4F5E897C"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852.725</w:t>
            </w:r>
          </w:p>
        </w:tc>
        <w:tc>
          <w:tcPr>
            <w:tcW w:w="1134" w:type="dxa"/>
          </w:tcPr>
          <w:p w14:paraId="78CD2BF1"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807.975</w:t>
            </w:r>
          </w:p>
        </w:tc>
        <w:tc>
          <w:tcPr>
            <w:tcW w:w="1134" w:type="dxa"/>
          </w:tcPr>
          <w:p w14:paraId="721BAAD8"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852.975</w:t>
            </w:r>
          </w:p>
        </w:tc>
      </w:tr>
      <w:tr w:rsidR="004E5576" w:rsidRPr="00525DB6" w14:paraId="0733B655" w14:textId="77777777" w:rsidTr="00FE3CB4">
        <w:trPr>
          <w:trHeight w:val="119"/>
          <w:tblHeader/>
          <w:jc w:val="center"/>
        </w:trPr>
        <w:tc>
          <w:tcPr>
            <w:tcW w:w="993" w:type="dxa"/>
            <w:vAlign w:val="center"/>
          </w:tcPr>
          <w:p w14:paraId="0D38619E"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808.225</w:t>
            </w:r>
          </w:p>
        </w:tc>
        <w:tc>
          <w:tcPr>
            <w:tcW w:w="1029" w:type="dxa"/>
          </w:tcPr>
          <w:p w14:paraId="4705B2C7"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853.225</w:t>
            </w:r>
          </w:p>
        </w:tc>
        <w:tc>
          <w:tcPr>
            <w:tcW w:w="1097" w:type="dxa"/>
          </w:tcPr>
          <w:p w14:paraId="40A867F7"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808.475</w:t>
            </w:r>
          </w:p>
        </w:tc>
        <w:tc>
          <w:tcPr>
            <w:tcW w:w="1134" w:type="dxa"/>
          </w:tcPr>
          <w:p w14:paraId="17A9493F"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853.475</w:t>
            </w:r>
          </w:p>
        </w:tc>
        <w:tc>
          <w:tcPr>
            <w:tcW w:w="1134" w:type="dxa"/>
          </w:tcPr>
          <w:p w14:paraId="546BB98C"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808.725</w:t>
            </w:r>
          </w:p>
        </w:tc>
        <w:tc>
          <w:tcPr>
            <w:tcW w:w="1134" w:type="dxa"/>
          </w:tcPr>
          <w:p w14:paraId="43BA0A86"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853.725</w:t>
            </w:r>
          </w:p>
        </w:tc>
        <w:tc>
          <w:tcPr>
            <w:tcW w:w="1134" w:type="dxa"/>
          </w:tcPr>
          <w:p w14:paraId="53328847"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808.975</w:t>
            </w:r>
          </w:p>
        </w:tc>
        <w:tc>
          <w:tcPr>
            <w:tcW w:w="1134" w:type="dxa"/>
          </w:tcPr>
          <w:p w14:paraId="54A2DE37"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853.975</w:t>
            </w:r>
          </w:p>
        </w:tc>
      </w:tr>
      <w:tr w:rsidR="004E5576" w:rsidRPr="00525DB6" w14:paraId="30C0D4AD" w14:textId="77777777" w:rsidTr="00FE3CB4">
        <w:trPr>
          <w:trHeight w:val="48"/>
          <w:tblHeader/>
          <w:jc w:val="center"/>
        </w:trPr>
        <w:tc>
          <w:tcPr>
            <w:tcW w:w="993" w:type="dxa"/>
            <w:vAlign w:val="center"/>
          </w:tcPr>
          <w:p w14:paraId="65E67FE4"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809.225</w:t>
            </w:r>
          </w:p>
        </w:tc>
        <w:tc>
          <w:tcPr>
            <w:tcW w:w="1029" w:type="dxa"/>
          </w:tcPr>
          <w:p w14:paraId="56C543B0"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854.225</w:t>
            </w:r>
          </w:p>
        </w:tc>
        <w:tc>
          <w:tcPr>
            <w:tcW w:w="1097" w:type="dxa"/>
          </w:tcPr>
          <w:p w14:paraId="68C2AC6C"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809.475</w:t>
            </w:r>
          </w:p>
        </w:tc>
        <w:tc>
          <w:tcPr>
            <w:tcW w:w="1134" w:type="dxa"/>
          </w:tcPr>
          <w:p w14:paraId="0F5DA43F"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854.475</w:t>
            </w:r>
          </w:p>
        </w:tc>
        <w:tc>
          <w:tcPr>
            <w:tcW w:w="1134" w:type="dxa"/>
          </w:tcPr>
          <w:p w14:paraId="1672C5C7"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809.725</w:t>
            </w:r>
          </w:p>
        </w:tc>
        <w:tc>
          <w:tcPr>
            <w:tcW w:w="1134" w:type="dxa"/>
          </w:tcPr>
          <w:p w14:paraId="4C1A224F"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854.725</w:t>
            </w:r>
          </w:p>
        </w:tc>
        <w:tc>
          <w:tcPr>
            <w:tcW w:w="1134" w:type="dxa"/>
          </w:tcPr>
          <w:p w14:paraId="21A30153"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809.975</w:t>
            </w:r>
          </w:p>
        </w:tc>
        <w:tc>
          <w:tcPr>
            <w:tcW w:w="1134" w:type="dxa"/>
          </w:tcPr>
          <w:p w14:paraId="057691B7"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854.975</w:t>
            </w:r>
          </w:p>
        </w:tc>
      </w:tr>
      <w:tr w:rsidR="004E5576" w:rsidRPr="00525DB6" w14:paraId="76AA2545" w14:textId="77777777" w:rsidTr="00FE3CB4">
        <w:trPr>
          <w:trHeight w:val="22"/>
          <w:tblHeader/>
          <w:jc w:val="center"/>
        </w:trPr>
        <w:tc>
          <w:tcPr>
            <w:tcW w:w="993" w:type="dxa"/>
            <w:vAlign w:val="center"/>
          </w:tcPr>
          <w:p w14:paraId="70ABB75A"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810.225</w:t>
            </w:r>
          </w:p>
        </w:tc>
        <w:tc>
          <w:tcPr>
            <w:tcW w:w="1029" w:type="dxa"/>
          </w:tcPr>
          <w:p w14:paraId="06A5F4FB"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855.225</w:t>
            </w:r>
          </w:p>
        </w:tc>
        <w:tc>
          <w:tcPr>
            <w:tcW w:w="1097" w:type="dxa"/>
          </w:tcPr>
          <w:p w14:paraId="27B3E946"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810.475</w:t>
            </w:r>
          </w:p>
        </w:tc>
        <w:tc>
          <w:tcPr>
            <w:tcW w:w="1134" w:type="dxa"/>
          </w:tcPr>
          <w:p w14:paraId="3C08DCB9"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855.475</w:t>
            </w:r>
          </w:p>
        </w:tc>
        <w:tc>
          <w:tcPr>
            <w:tcW w:w="1134" w:type="dxa"/>
          </w:tcPr>
          <w:p w14:paraId="3B088B2F"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810.725</w:t>
            </w:r>
          </w:p>
        </w:tc>
        <w:tc>
          <w:tcPr>
            <w:tcW w:w="1134" w:type="dxa"/>
          </w:tcPr>
          <w:p w14:paraId="51D06C14"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855.725</w:t>
            </w:r>
          </w:p>
        </w:tc>
        <w:tc>
          <w:tcPr>
            <w:tcW w:w="1134" w:type="dxa"/>
          </w:tcPr>
          <w:p w14:paraId="43CF2B95"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810.975</w:t>
            </w:r>
          </w:p>
        </w:tc>
        <w:tc>
          <w:tcPr>
            <w:tcW w:w="1134" w:type="dxa"/>
          </w:tcPr>
          <w:p w14:paraId="7DC7D7AE" w14:textId="77777777" w:rsidR="004E5576" w:rsidRPr="00525DB6" w:rsidRDefault="004E5576" w:rsidP="004E5576">
            <w:pPr>
              <w:jc w:val="center"/>
              <w:rPr>
                <w:rFonts w:ascii="ITC Avant Garde" w:hAnsi="ITC Avant Garde" w:cs="Arial"/>
                <w:sz w:val="16"/>
                <w:szCs w:val="16"/>
              </w:rPr>
            </w:pPr>
            <w:r w:rsidRPr="00525DB6">
              <w:rPr>
                <w:rFonts w:ascii="ITC Avant Garde" w:hAnsi="ITC Avant Garde" w:cs="Arial"/>
                <w:sz w:val="16"/>
                <w:szCs w:val="16"/>
              </w:rPr>
              <w:t>855.975</w:t>
            </w:r>
          </w:p>
        </w:tc>
      </w:tr>
    </w:tbl>
    <w:p w14:paraId="60B6403C" w14:textId="77777777" w:rsidR="00071208" w:rsidRPr="00525DB6" w:rsidRDefault="00071208" w:rsidP="00071208">
      <w:pPr>
        <w:ind w:left="567"/>
        <w:jc w:val="both"/>
        <w:rPr>
          <w:rFonts w:ascii="ITC Avant Garde" w:eastAsia="Calibri" w:hAnsi="ITC Avant Garde"/>
          <w:bCs/>
          <w:color w:val="000000"/>
          <w:sz w:val="22"/>
          <w:szCs w:val="22"/>
          <w:lang w:eastAsia="es-MX"/>
        </w:rPr>
      </w:pPr>
    </w:p>
    <w:p w14:paraId="2FBD83C5" w14:textId="7B9F6ACA" w:rsidR="00911FA2" w:rsidRPr="00525DB6" w:rsidRDefault="00BB137A" w:rsidP="007A2645">
      <w:pPr>
        <w:numPr>
          <w:ilvl w:val="0"/>
          <w:numId w:val="1"/>
        </w:numPr>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Cambio de ubicación de</w:t>
      </w:r>
      <w:r w:rsidR="000429B4" w:rsidRPr="00525DB6">
        <w:rPr>
          <w:rFonts w:ascii="ITC Avant Garde" w:eastAsia="Calibri" w:hAnsi="ITC Avant Garde"/>
          <w:b/>
          <w:bCs/>
          <w:color w:val="000000"/>
          <w:sz w:val="22"/>
          <w:szCs w:val="22"/>
          <w:lang w:eastAsia="es-MX"/>
        </w:rPr>
        <w:t>l</w:t>
      </w:r>
      <w:r w:rsidRPr="00525DB6">
        <w:rPr>
          <w:rFonts w:ascii="ITC Avant Garde" w:eastAsia="Calibri" w:hAnsi="ITC Avant Garde"/>
          <w:b/>
          <w:bCs/>
          <w:color w:val="000000"/>
          <w:sz w:val="22"/>
          <w:szCs w:val="22"/>
          <w:lang w:eastAsia="es-MX"/>
        </w:rPr>
        <w:t xml:space="preserve"> repetidor y Asignación de frecuencias adicionales.</w:t>
      </w:r>
      <w:r w:rsidR="00896F94" w:rsidRPr="00525DB6">
        <w:rPr>
          <w:rFonts w:ascii="ITC Avant Garde" w:eastAsia="Calibri" w:hAnsi="ITC Avant Garde"/>
          <w:b/>
          <w:bCs/>
          <w:color w:val="000000"/>
          <w:sz w:val="22"/>
          <w:szCs w:val="22"/>
          <w:lang w:eastAsia="es-MX"/>
        </w:rPr>
        <w:t>-</w:t>
      </w:r>
      <w:r w:rsidR="00896F94" w:rsidRPr="00525DB6">
        <w:rPr>
          <w:rFonts w:ascii="ITC Avant Garde" w:hAnsi="ITC Avant Garde"/>
          <w:bCs/>
          <w:color w:val="000000"/>
          <w:sz w:val="22"/>
          <w:szCs w:val="22"/>
          <w:lang w:val="es-ES" w:eastAsia="es-MX"/>
        </w:rPr>
        <w:t xml:space="preserve"> </w:t>
      </w:r>
      <w:r w:rsidR="00DA0805" w:rsidRPr="00525DB6">
        <w:rPr>
          <w:rFonts w:ascii="ITC Avant Garde" w:eastAsia="Calibri" w:hAnsi="ITC Avant Garde"/>
          <w:bCs/>
          <w:color w:val="000000"/>
          <w:sz w:val="22"/>
          <w:szCs w:val="22"/>
          <w:lang w:eastAsia="es-MX"/>
        </w:rPr>
        <w:t>Con oficio 119.5393 de fecha 27 de noviembre de 1995, la Secretaría</w:t>
      </w:r>
      <w:r w:rsidR="0099574F" w:rsidRPr="00525DB6">
        <w:rPr>
          <w:rFonts w:ascii="ITC Avant Garde" w:eastAsia="Calibri" w:hAnsi="ITC Avant Garde"/>
          <w:bCs/>
          <w:color w:val="000000"/>
          <w:sz w:val="22"/>
          <w:szCs w:val="22"/>
          <w:lang w:eastAsia="es-MX"/>
        </w:rPr>
        <w:t>, a través de la Dirección General de Políticas y Normas de Comunicaciones,</w:t>
      </w:r>
      <w:r w:rsidR="00DA0805" w:rsidRPr="00525DB6">
        <w:rPr>
          <w:rFonts w:ascii="ITC Avant Garde" w:eastAsia="Calibri" w:hAnsi="ITC Avant Garde"/>
          <w:bCs/>
          <w:color w:val="000000"/>
          <w:sz w:val="22"/>
          <w:szCs w:val="22"/>
          <w:lang w:eastAsia="es-MX"/>
        </w:rPr>
        <w:t xml:space="preserve"> autorizó al C. </w:t>
      </w:r>
      <w:proofErr w:type="spellStart"/>
      <w:r w:rsidR="004C0E72" w:rsidRPr="00525DB6">
        <w:rPr>
          <w:rFonts w:ascii="ITC Avant Garde" w:eastAsia="Calibri" w:hAnsi="ITC Avant Garde"/>
          <w:bCs/>
          <w:color w:val="000000"/>
          <w:sz w:val="22"/>
          <w:szCs w:val="22"/>
          <w:lang w:eastAsia="es-MX"/>
        </w:rPr>
        <w:t>Gumer</w:t>
      </w:r>
      <w:r w:rsidR="007829EE" w:rsidRPr="00525DB6">
        <w:rPr>
          <w:rFonts w:ascii="ITC Avant Garde" w:eastAsia="Calibri" w:hAnsi="ITC Avant Garde"/>
          <w:bCs/>
          <w:color w:val="000000"/>
          <w:sz w:val="22"/>
          <w:szCs w:val="22"/>
          <w:lang w:eastAsia="es-MX"/>
        </w:rPr>
        <w:t>c</w:t>
      </w:r>
      <w:r w:rsidR="004C0E72" w:rsidRPr="00525DB6">
        <w:rPr>
          <w:rFonts w:ascii="ITC Avant Garde" w:eastAsia="Calibri" w:hAnsi="ITC Avant Garde"/>
          <w:bCs/>
          <w:color w:val="000000"/>
          <w:sz w:val="22"/>
          <w:szCs w:val="22"/>
          <w:lang w:eastAsia="es-MX"/>
        </w:rPr>
        <w:t>indo</w:t>
      </w:r>
      <w:proofErr w:type="spellEnd"/>
      <w:r w:rsidR="00DA0805" w:rsidRPr="00525DB6">
        <w:rPr>
          <w:rFonts w:ascii="ITC Avant Garde" w:eastAsia="Calibri" w:hAnsi="ITC Avant Garde"/>
          <w:bCs/>
          <w:color w:val="000000"/>
          <w:sz w:val="22"/>
          <w:szCs w:val="22"/>
          <w:lang w:eastAsia="es-MX"/>
        </w:rPr>
        <w:t xml:space="preserve"> Jiménez Higuera, lo</w:t>
      </w:r>
      <w:r w:rsidR="000429B4" w:rsidRPr="00525DB6">
        <w:rPr>
          <w:rFonts w:ascii="ITC Avant Garde" w:eastAsia="Calibri" w:hAnsi="ITC Avant Garde"/>
          <w:bCs/>
          <w:color w:val="000000"/>
          <w:sz w:val="22"/>
          <w:szCs w:val="22"/>
          <w:lang w:eastAsia="es-MX"/>
        </w:rPr>
        <w:t>s</w:t>
      </w:r>
      <w:r w:rsidR="00DA0805" w:rsidRPr="00525DB6">
        <w:rPr>
          <w:rFonts w:ascii="ITC Avant Garde" w:eastAsia="Calibri" w:hAnsi="ITC Avant Garde"/>
          <w:bCs/>
          <w:color w:val="000000"/>
          <w:sz w:val="22"/>
          <w:szCs w:val="22"/>
          <w:lang w:eastAsia="es-MX"/>
        </w:rPr>
        <w:t xml:space="preserve"> siguientes cambios </w:t>
      </w:r>
      <w:r w:rsidR="00766AAD" w:rsidRPr="00525DB6">
        <w:rPr>
          <w:rFonts w:ascii="ITC Avant Garde" w:eastAsia="Calibri" w:hAnsi="ITC Avant Garde"/>
          <w:bCs/>
          <w:color w:val="000000"/>
          <w:sz w:val="22"/>
          <w:szCs w:val="22"/>
          <w:lang w:eastAsia="es-MX"/>
        </w:rPr>
        <w:t>la</w:t>
      </w:r>
      <w:r w:rsidR="00DA0805" w:rsidRPr="00525DB6">
        <w:rPr>
          <w:rFonts w:ascii="ITC Avant Garde" w:eastAsia="Calibri" w:hAnsi="ITC Avant Garde"/>
          <w:bCs/>
          <w:color w:val="000000"/>
          <w:sz w:val="22"/>
          <w:szCs w:val="22"/>
          <w:lang w:eastAsia="es-MX"/>
        </w:rPr>
        <w:t xml:space="preserve"> Concesión:</w:t>
      </w:r>
    </w:p>
    <w:p w14:paraId="52020F19" w14:textId="77777777" w:rsidR="00071208" w:rsidRPr="00525DB6" w:rsidRDefault="00071208" w:rsidP="00071208">
      <w:pPr>
        <w:ind w:left="567"/>
        <w:jc w:val="both"/>
        <w:rPr>
          <w:rFonts w:ascii="ITC Avant Garde" w:eastAsia="Calibri" w:hAnsi="ITC Avant Garde"/>
          <w:bCs/>
          <w:color w:val="000000"/>
          <w:sz w:val="22"/>
          <w:szCs w:val="22"/>
          <w:lang w:eastAsia="es-MX"/>
        </w:rPr>
      </w:pPr>
    </w:p>
    <w:p w14:paraId="54CAF7C0" w14:textId="15BFD6BF" w:rsidR="00DA0805" w:rsidRPr="00525DB6" w:rsidRDefault="00A42B91" w:rsidP="007A2645">
      <w:pPr>
        <w:pStyle w:val="Prrafodelista"/>
        <w:numPr>
          <w:ilvl w:val="0"/>
          <w:numId w:val="35"/>
        </w:numPr>
        <w:ind w:left="1134" w:hanging="567"/>
        <w:jc w:val="both"/>
        <w:rPr>
          <w:rFonts w:ascii="ITC Avant Garde" w:hAnsi="ITC Avant Garde"/>
          <w:bCs/>
          <w:color w:val="000000"/>
          <w:sz w:val="22"/>
          <w:szCs w:val="22"/>
          <w:lang w:val="es-ES" w:eastAsia="es-MX"/>
        </w:rPr>
      </w:pPr>
      <w:r w:rsidRPr="00525DB6">
        <w:rPr>
          <w:rFonts w:ascii="ITC Avant Garde" w:eastAsia="Calibri" w:hAnsi="ITC Avant Garde"/>
          <w:bCs/>
          <w:color w:val="000000"/>
          <w:sz w:val="22"/>
          <w:szCs w:val="22"/>
          <w:lang w:eastAsia="es-MX"/>
        </w:rPr>
        <w:t>El cambio de ubicación del repetidor autorizado en Tijuana, B</w:t>
      </w:r>
      <w:r w:rsidR="007829EE" w:rsidRPr="00525DB6">
        <w:rPr>
          <w:rFonts w:ascii="ITC Avant Garde" w:eastAsia="Calibri" w:hAnsi="ITC Avant Garde"/>
          <w:bCs/>
          <w:color w:val="000000"/>
          <w:sz w:val="22"/>
          <w:szCs w:val="22"/>
          <w:lang w:eastAsia="es-MX"/>
        </w:rPr>
        <w:t xml:space="preserve">aja </w:t>
      </w:r>
      <w:r w:rsidRPr="00525DB6">
        <w:rPr>
          <w:rFonts w:ascii="ITC Avant Garde" w:eastAsia="Calibri" w:hAnsi="ITC Avant Garde"/>
          <w:bCs/>
          <w:color w:val="000000"/>
          <w:sz w:val="22"/>
          <w:szCs w:val="22"/>
          <w:lang w:eastAsia="es-MX"/>
        </w:rPr>
        <w:t>C</w:t>
      </w:r>
      <w:r w:rsidR="007829EE" w:rsidRPr="00525DB6">
        <w:rPr>
          <w:rFonts w:ascii="ITC Avant Garde" w:eastAsia="Calibri" w:hAnsi="ITC Avant Garde"/>
          <w:bCs/>
          <w:color w:val="000000"/>
          <w:sz w:val="22"/>
          <w:szCs w:val="22"/>
          <w:lang w:eastAsia="es-MX"/>
        </w:rPr>
        <w:t>alifornia, en el Fraccionamiento</w:t>
      </w:r>
      <w:r w:rsidRPr="00525DB6">
        <w:rPr>
          <w:rFonts w:ascii="ITC Avant Garde" w:eastAsia="Calibri" w:hAnsi="ITC Avant Garde"/>
          <w:bCs/>
          <w:color w:val="000000"/>
          <w:sz w:val="22"/>
          <w:szCs w:val="22"/>
          <w:lang w:eastAsia="es-MX"/>
        </w:rPr>
        <w:t xml:space="preserve"> El Mirador, para </w:t>
      </w:r>
      <w:r w:rsidR="001D12BA" w:rsidRPr="00525DB6">
        <w:rPr>
          <w:rFonts w:ascii="ITC Avant Garde" w:eastAsia="Calibri" w:hAnsi="ITC Avant Garde"/>
          <w:bCs/>
          <w:color w:val="000000"/>
          <w:sz w:val="22"/>
          <w:szCs w:val="22"/>
          <w:lang w:eastAsia="es-MX"/>
        </w:rPr>
        <w:t>re</w:t>
      </w:r>
      <w:r w:rsidRPr="00525DB6">
        <w:rPr>
          <w:rFonts w:ascii="ITC Avant Garde" w:eastAsia="Calibri" w:hAnsi="ITC Avant Garde"/>
          <w:bCs/>
          <w:color w:val="000000"/>
          <w:sz w:val="22"/>
          <w:szCs w:val="22"/>
          <w:lang w:eastAsia="es-MX"/>
        </w:rPr>
        <w:t>ubicarse en el Fracc</w:t>
      </w:r>
      <w:r w:rsidR="007829EE" w:rsidRPr="00525DB6">
        <w:rPr>
          <w:rFonts w:ascii="ITC Avant Garde" w:eastAsia="Calibri" w:hAnsi="ITC Avant Garde"/>
          <w:bCs/>
          <w:color w:val="000000"/>
          <w:sz w:val="22"/>
          <w:szCs w:val="22"/>
          <w:lang w:eastAsia="es-MX"/>
        </w:rPr>
        <w:t>ionamiento</w:t>
      </w:r>
      <w:r w:rsidRPr="00525DB6">
        <w:rPr>
          <w:rFonts w:ascii="ITC Avant Garde" w:eastAsia="Calibri" w:hAnsi="ITC Avant Garde"/>
          <w:bCs/>
          <w:color w:val="000000"/>
          <w:sz w:val="22"/>
          <w:szCs w:val="22"/>
          <w:lang w:eastAsia="es-MX"/>
        </w:rPr>
        <w:t xml:space="preserve"> Monterrey, en Tijuana, B</w:t>
      </w:r>
      <w:r w:rsidR="007829EE" w:rsidRPr="00525DB6">
        <w:rPr>
          <w:rFonts w:ascii="ITC Avant Garde" w:eastAsia="Calibri" w:hAnsi="ITC Avant Garde"/>
          <w:bCs/>
          <w:color w:val="000000"/>
          <w:sz w:val="22"/>
          <w:szCs w:val="22"/>
          <w:lang w:eastAsia="es-MX"/>
        </w:rPr>
        <w:t xml:space="preserve">aja </w:t>
      </w:r>
      <w:r w:rsidRPr="00525DB6">
        <w:rPr>
          <w:rFonts w:ascii="ITC Avant Garde" w:eastAsia="Calibri" w:hAnsi="ITC Avant Garde"/>
          <w:bCs/>
          <w:color w:val="000000"/>
          <w:sz w:val="22"/>
          <w:szCs w:val="22"/>
          <w:lang w:eastAsia="es-MX"/>
        </w:rPr>
        <w:t>C</w:t>
      </w:r>
      <w:r w:rsidR="007829EE" w:rsidRPr="00525DB6">
        <w:rPr>
          <w:rFonts w:ascii="ITC Avant Garde" w:eastAsia="Calibri" w:hAnsi="ITC Avant Garde"/>
          <w:bCs/>
          <w:color w:val="000000"/>
          <w:sz w:val="22"/>
          <w:szCs w:val="22"/>
          <w:lang w:eastAsia="es-MX"/>
        </w:rPr>
        <w:t>alifornia</w:t>
      </w:r>
      <w:r w:rsidRPr="00525DB6">
        <w:rPr>
          <w:rFonts w:ascii="ITC Avant Garde" w:eastAsia="Calibri" w:hAnsi="ITC Avant Garde"/>
          <w:bCs/>
          <w:color w:val="000000"/>
          <w:sz w:val="22"/>
          <w:szCs w:val="22"/>
          <w:lang w:eastAsia="es-MX"/>
        </w:rPr>
        <w:t xml:space="preserve">, con coordenadas </w:t>
      </w:r>
      <w:r w:rsidR="007829EE" w:rsidRPr="00525DB6">
        <w:rPr>
          <w:rFonts w:ascii="ITC Avant Garde" w:eastAsia="Calibri" w:hAnsi="ITC Avant Garde"/>
          <w:bCs/>
          <w:color w:val="000000"/>
          <w:sz w:val="22"/>
          <w:szCs w:val="22"/>
          <w:lang w:eastAsia="es-MX"/>
        </w:rPr>
        <w:t xml:space="preserve">geográficas </w:t>
      </w:r>
      <w:r w:rsidRPr="00525DB6">
        <w:rPr>
          <w:rFonts w:ascii="ITC Avant Garde" w:eastAsia="Calibri" w:hAnsi="ITC Avant Garde"/>
          <w:bCs/>
          <w:color w:val="000000"/>
          <w:sz w:val="22"/>
          <w:szCs w:val="22"/>
          <w:lang w:eastAsia="es-MX"/>
        </w:rPr>
        <w:t xml:space="preserve">LN 32°29’37’’ </w:t>
      </w:r>
      <w:r w:rsidR="00BB137A" w:rsidRPr="00525DB6">
        <w:rPr>
          <w:rFonts w:ascii="ITC Avant Garde" w:eastAsia="Calibri" w:hAnsi="ITC Avant Garde"/>
          <w:bCs/>
          <w:color w:val="000000"/>
          <w:sz w:val="22"/>
          <w:szCs w:val="22"/>
          <w:lang w:eastAsia="es-MX"/>
        </w:rPr>
        <w:t xml:space="preserve">y </w:t>
      </w:r>
      <w:r w:rsidRPr="00525DB6">
        <w:rPr>
          <w:rFonts w:ascii="ITC Avant Garde" w:eastAsia="Calibri" w:hAnsi="ITC Avant Garde"/>
          <w:bCs/>
          <w:color w:val="000000"/>
          <w:sz w:val="22"/>
          <w:szCs w:val="22"/>
          <w:lang w:eastAsia="es-MX"/>
        </w:rPr>
        <w:t>LW 117°01’43.5”.</w:t>
      </w:r>
    </w:p>
    <w:p w14:paraId="60B94BB8" w14:textId="0AD46A0F" w:rsidR="00896F94" w:rsidRPr="00C87FE2" w:rsidRDefault="00A42B91" w:rsidP="007A2645">
      <w:pPr>
        <w:pStyle w:val="Prrafodelista"/>
        <w:numPr>
          <w:ilvl w:val="0"/>
          <w:numId w:val="35"/>
        </w:numPr>
        <w:ind w:left="1134" w:hanging="567"/>
        <w:jc w:val="both"/>
        <w:rPr>
          <w:rFonts w:ascii="ITC Avant Garde" w:hAnsi="ITC Avant Garde"/>
          <w:bCs/>
          <w:color w:val="000000"/>
          <w:sz w:val="22"/>
          <w:szCs w:val="22"/>
          <w:lang w:val="es-ES" w:eastAsia="es-MX"/>
        </w:rPr>
      </w:pPr>
      <w:r w:rsidRPr="00525DB6">
        <w:rPr>
          <w:rFonts w:ascii="ITC Avant Garde" w:eastAsia="Calibri" w:hAnsi="ITC Avant Garde"/>
          <w:bCs/>
          <w:color w:val="000000"/>
          <w:sz w:val="22"/>
          <w:szCs w:val="22"/>
          <w:lang w:eastAsia="es-MX"/>
        </w:rPr>
        <w:t>La sustitución de las series de frecuencias 9C, 19C, 29C y 39C, por las series 409E, 419E</w:t>
      </w:r>
      <w:r w:rsidR="007829EE" w:rsidRPr="00525DB6">
        <w:rPr>
          <w:rFonts w:ascii="ITC Avant Garde" w:eastAsia="Calibri" w:hAnsi="ITC Avant Garde"/>
          <w:bCs/>
          <w:color w:val="000000"/>
          <w:sz w:val="22"/>
          <w:szCs w:val="22"/>
          <w:lang w:eastAsia="es-MX"/>
        </w:rPr>
        <w:t>, 429E y 439E, las cuales debería</w:t>
      </w:r>
      <w:r w:rsidRPr="00525DB6">
        <w:rPr>
          <w:rFonts w:ascii="ITC Avant Garde" w:eastAsia="Calibri" w:hAnsi="ITC Avant Garde"/>
          <w:bCs/>
          <w:color w:val="000000"/>
          <w:sz w:val="22"/>
          <w:szCs w:val="22"/>
          <w:lang w:eastAsia="es-MX"/>
        </w:rPr>
        <w:t>n operar conforme a las características técnicas establecidas en la Concesión, mismas que se describen a continuación:</w:t>
      </w:r>
    </w:p>
    <w:p w14:paraId="75D9419D" w14:textId="77777777" w:rsidR="00C87FE2" w:rsidRPr="00525DB6" w:rsidRDefault="00C87FE2" w:rsidP="00C87FE2">
      <w:pPr>
        <w:pStyle w:val="Prrafodelista"/>
        <w:ind w:left="1134"/>
        <w:jc w:val="both"/>
        <w:rPr>
          <w:rFonts w:ascii="ITC Avant Garde" w:hAnsi="ITC Avant Garde"/>
          <w:bCs/>
          <w:color w:val="000000"/>
          <w:sz w:val="22"/>
          <w:szCs w:val="22"/>
          <w:lang w:val="es-ES" w:eastAsia="es-MX"/>
        </w:rPr>
      </w:pPr>
    </w:p>
    <w:p w14:paraId="5FF35E7D" w14:textId="2A4A0A39" w:rsidR="00071208" w:rsidRPr="00ED7A6D" w:rsidRDefault="00ED7A6D" w:rsidP="00ED7A6D">
      <w:pPr>
        <w:pStyle w:val="Prrafodelista"/>
        <w:jc w:val="center"/>
        <w:rPr>
          <w:rFonts w:ascii="ITC Avant Garde" w:hAnsi="ITC Avant Garde"/>
          <w:bCs/>
          <w:color w:val="000000"/>
          <w:sz w:val="20"/>
          <w:lang w:val="es-ES" w:eastAsia="es-MX"/>
        </w:rPr>
      </w:pPr>
      <w:r w:rsidRPr="00ED7A6D">
        <w:rPr>
          <w:rFonts w:ascii="ITC Avant Garde" w:hAnsi="ITC Avant Garde" w:cs="Arial"/>
          <w:b/>
          <w:sz w:val="20"/>
        </w:rPr>
        <w:lastRenderedPageBreak/>
        <w:t>GRUPO 9 E</w:t>
      </w:r>
    </w:p>
    <w:tbl>
      <w:tblPr>
        <w:tblStyle w:val="Cuadrculadetablaclara"/>
        <w:tblW w:w="7464" w:type="dxa"/>
        <w:jc w:val="center"/>
        <w:tblLook w:val="0000" w:firstRow="0" w:lastRow="0" w:firstColumn="0" w:lastColumn="0" w:noHBand="0" w:noVBand="0"/>
        <w:tblCaption w:val="Situación de las series de frecuencias Grupo 9E."/>
        <w:tblDescription w:val="SERIE 409 E, SERIE 419 E, SERIE 429 E y SERIE 439 E"/>
      </w:tblPr>
      <w:tblGrid>
        <w:gridCol w:w="933"/>
        <w:gridCol w:w="933"/>
        <w:gridCol w:w="933"/>
        <w:gridCol w:w="933"/>
        <w:gridCol w:w="933"/>
        <w:gridCol w:w="933"/>
        <w:gridCol w:w="933"/>
        <w:gridCol w:w="933"/>
      </w:tblGrid>
      <w:tr w:rsidR="00ED7A6D" w:rsidRPr="00525DB6" w14:paraId="0235D4E8" w14:textId="77777777" w:rsidTr="00FE3CB4">
        <w:trPr>
          <w:trHeight w:val="22"/>
          <w:tblHeader/>
          <w:jc w:val="center"/>
        </w:trPr>
        <w:tc>
          <w:tcPr>
            <w:tcW w:w="933" w:type="dxa"/>
          </w:tcPr>
          <w:p w14:paraId="2B88E592" w14:textId="77777777" w:rsidR="00ED7A6D" w:rsidRPr="00525DB6" w:rsidRDefault="00ED7A6D" w:rsidP="00ED7A6D">
            <w:pPr>
              <w:jc w:val="center"/>
              <w:rPr>
                <w:rFonts w:ascii="ITC Avant Garde" w:hAnsi="ITC Avant Garde" w:cs="Arial"/>
                <w:b/>
                <w:sz w:val="16"/>
                <w:szCs w:val="16"/>
              </w:rPr>
            </w:pPr>
            <w:r w:rsidRPr="00525DB6">
              <w:rPr>
                <w:rFonts w:ascii="ITC Avant Garde" w:hAnsi="ITC Avant Garde" w:cs="Arial"/>
                <w:b/>
                <w:sz w:val="16"/>
                <w:szCs w:val="16"/>
              </w:rPr>
              <w:t>SERIE 409 E</w:t>
            </w:r>
          </w:p>
        </w:tc>
        <w:tc>
          <w:tcPr>
            <w:tcW w:w="933" w:type="dxa"/>
          </w:tcPr>
          <w:p w14:paraId="0225894E" w14:textId="6E1EDFA5" w:rsidR="00ED7A6D" w:rsidRPr="00525DB6" w:rsidRDefault="00ED7A6D" w:rsidP="00ED7A6D">
            <w:pPr>
              <w:jc w:val="center"/>
              <w:rPr>
                <w:rFonts w:ascii="ITC Avant Garde" w:hAnsi="ITC Avant Garde" w:cs="Arial"/>
                <w:b/>
                <w:sz w:val="16"/>
                <w:szCs w:val="16"/>
              </w:rPr>
            </w:pPr>
            <w:r>
              <w:rPr>
                <w:rFonts w:ascii="ITC Avant Garde" w:hAnsi="ITC Avant Garde" w:cs="Arial"/>
                <w:b/>
                <w:sz w:val="16"/>
                <w:szCs w:val="16"/>
              </w:rPr>
              <w:t>SERIE 40</w:t>
            </w:r>
            <w:r w:rsidRPr="00525DB6">
              <w:rPr>
                <w:rFonts w:ascii="ITC Avant Garde" w:hAnsi="ITC Avant Garde" w:cs="Arial"/>
                <w:b/>
                <w:sz w:val="16"/>
                <w:szCs w:val="16"/>
              </w:rPr>
              <w:t>9 E</w:t>
            </w:r>
          </w:p>
        </w:tc>
        <w:tc>
          <w:tcPr>
            <w:tcW w:w="933" w:type="dxa"/>
          </w:tcPr>
          <w:p w14:paraId="53B8BF2E" w14:textId="38A84A07" w:rsidR="00ED7A6D" w:rsidRPr="00525DB6" w:rsidRDefault="00ED7A6D" w:rsidP="00ED7A6D">
            <w:pPr>
              <w:jc w:val="center"/>
              <w:rPr>
                <w:rFonts w:ascii="ITC Avant Garde" w:hAnsi="ITC Avant Garde" w:cs="Arial"/>
                <w:b/>
                <w:sz w:val="16"/>
                <w:szCs w:val="16"/>
              </w:rPr>
            </w:pPr>
            <w:r>
              <w:rPr>
                <w:rFonts w:ascii="ITC Avant Garde" w:hAnsi="ITC Avant Garde" w:cs="Arial"/>
                <w:b/>
                <w:sz w:val="16"/>
                <w:szCs w:val="16"/>
              </w:rPr>
              <w:t>SERIE 41</w:t>
            </w:r>
            <w:r w:rsidRPr="00525DB6">
              <w:rPr>
                <w:rFonts w:ascii="ITC Avant Garde" w:hAnsi="ITC Avant Garde" w:cs="Arial"/>
                <w:b/>
                <w:sz w:val="16"/>
                <w:szCs w:val="16"/>
              </w:rPr>
              <w:t>9 E</w:t>
            </w:r>
          </w:p>
        </w:tc>
        <w:tc>
          <w:tcPr>
            <w:tcW w:w="933" w:type="dxa"/>
          </w:tcPr>
          <w:p w14:paraId="0DBBB35D" w14:textId="72168740" w:rsidR="00ED7A6D" w:rsidRPr="00525DB6" w:rsidRDefault="00ED7A6D" w:rsidP="00ED7A6D">
            <w:pPr>
              <w:jc w:val="center"/>
              <w:rPr>
                <w:rFonts w:ascii="ITC Avant Garde" w:hAnsi="ITC Avant Garde" w:cs="Arial"/>
                <w:b/>
                <w:sz w:val="16"/>
                <w:szCs w:val="16"/>
              </w:rPr>
            </w:pPr>
            <w:r>
              <w:rPr>
                <w:rFonts w:ascii="ITC Avant Garde" w:hAnsi="ITC Avant Garde" w:cs="Arial"/>
                <w:b/>
                <w:sz w:val="16"/>
                <w:szCs w:val="16"/>
              </w:rPr>
              <w:t>SERIE 41</w:t>
            </w:r>
            <w:r w:rsidRPr="00525DB6">
              <w:rPr>
                <w:rFonts w:ascii="ITC Avant Garde" w:hAnsi="ITC Avant Garde" w:cs="Arial"/>
                <w:b/>
                <w:sz w:val="16"/>
                <w:szCs w:val="16"/>
              </w:rPr>
              <w:t>9 E</w:t>
            </w:r>
          </w:p>
        </w:tc>
        <w:tc>
          <w:tcPr>
            <w:tcW w:w="933" w:type="dxa"/>
          </w:tcPr>
          <w:p w14:paraId="74DCB832" w14:textId="41DEC87F" w:rsidR="00ED7A6D" w:rsidRPr="00525DB6" w:rsidRDefault="00ED7A6D" w:rsidP="00ED7A6D">
            <w:pPr>
              <w:jc w:val="center"/>
              <w:rPr>
                <w:rFonts w:ascii="ITC Avant Garde" w:hAnsi="ITC Avant Garde" w:cs="Arial"/>
                <w:b/>
                <w:sz w:val="16"/>
                <w:szCs w:val="16"/>
              </w:rPr>
            </w:pPr>
            <w:r w:rsidRPr="00525DB6">
              <w:rPr>
                <w:rFonts w:ascii="ITC Avant Garde" w:hAnsi="ITC Avant Garde" w:cs="Arial"/>
                <w:b/>
                <w:sz w:val="16"/>
                <w:szCs w:val="16"/>
              </w:rPr>
              <w:t>SERIE 429 E</w:t>
            </w:r>
          </w:p>
        </w:tc>
        <w:tc>
          <w:tcPr>
            <w:tcW w:w="933" w:type="dxa"/>
          </w:tcPr>
          <w:p w14:paraId="529345F5" w14:textId="1ABE8137" w:rsidR="00ED7A6D" w:rsidRPr="00525DB6" w:rsidRDefault="00ED7A6D" w:rsidP="00ED7A6D">
            <w:pPr>
              <w:jc w:val="center"/>
              <w:rPr>
                <w:rFonts w:ascii="ITC Avant Garde" w:hAnsi="ITC Avant Garde" w:cs="Arial"/>
                <w:b/>
                <w:sz w:val="16"/>
                <w:szCs w:val="16"/>
              </w:rPr>
            </w:pPr>
            <w:r w:rsidRPr="00525DB6">
              <w:rPr>
                <w:rFonts w:ascii="ITC Avant Garde" w:hAnsi="ITC Avant Garde" w:cs="Arial"/>
                <w:b/>
                <w:sz w:val="16"/>
                <w:szCs w:val="16"/>
              </w:rPr>
              <w:t>SERIE 429 E</w:t>
            </w:r>
          </w:p>
        </w:tc>
        <w:tc>
          <w:tcPr>
            <w:tcW w:w="933" w:type="dxa"/>
          </w:tcPr>
          <w:p w14:paraId="76EFA224" w14:textId="1D8A0659" w:rsidR="00ED7A6D" w:rsidRPr="00525DB6" w:rsidRDefault="00ED7A6D" w:rsidP="00ED7A6D">
            <w:pPr>
              <w:jc w:val="center"/>
              <w:rPr>
                <w:rFonts w:ascii="ITC Avant Garde" w:hAnsi="ITC Avant Garde" w:cs="Arial"/>
                <w:b/>
                <w:sz w:val="16"/>
                <w:szCs w:val="16"/>
              </w:rPr>
            </w:pPr>
            <w:r w:rsidRPr="00525DB6">
              <w:rPr>
                <w:rFonts w:ascii="ITC Avant Garde" w:hAnsi="ITC Avant Garde" w:cs="Arial"/>
                <w:b/>
                <w:sz w:val="16"/>
                <w:szCs w:val="16"/>
              </w:rPr>
              <w:t>SERIE 439 E</w:t>
            </w:r>
          </w:p>
        </w:tc>
        <w:tc>
          <w:tcPr>
            <w:tcW w:w="933" w:type="dxa"/>
          </w:tcPr>
          <w:p w14:paraId="144A51EE" w14:textId="53224299" w:rsidR="00ED7A6D" w:rsidRPr="00525DB6" w:rsidRDefault="00ED7A6D" w:rsidP="00ED7A6D">
            <w:pPr>
              <w:jc w:val="center"/>
              <w:rPr>
                <w:rFonts w:ascii="ITC Avant Garde" w:hAnsi="ITC Avant Garde" w:cs="Arial"/>
                <w:b/>
                <w:sz w:val="16"/>
                <w:szCs w:val="16"/>
              </w:rPr>
            </w:pPr>
            <w:r w:rsidRPr="00525DB6">
              <w:rPr>
                <w:rFonts w:ascii="ITC Avant Garde" w:hAnsi="ITC Avant Garde" w:cs="Arial"/>
                <w:b/>
                <w:sz w:val="16"/>
                <w:szCs w:val="16"/>
              </w:rPr>
              <w:t>SERIE 439 E</w:t>
            </w:r>
          </w:p>
        </w:tc>
      </w:tr>
      <w:tr w:rsidR="00A42B91" w:rsidRPr="00525DB6" w14:paraId="4A449696" w14:textId="77777777" w:rsidTr="004E5576">
        <w:trPr>
          <w:trHeight w:val="184"/>
          <w:jc w:val="center"/>
        </w:trPr>
        <w:tc>
          <w:tcPr>
            <w:tcW w:w="933" w:type="dxa"/>
          </w:tcPr>
          <w:p w14:paraId="663579A8" w14:textId="77777777" w:rsidR="00A42B91" w:rsidRPr="00525DB6" w:rsidRDefault="00A42B91" w:rsidP="007A2645">
            <w:pPr>
              <w:jc w:val="center"/>
              <w:rPr>
                <w:rFonts w:ascii="ITC Avant Garde" w:hAnsi="ITC Avant Garde" w:cs="Arial"/>
                <w:b/>
                <w:sz w:val="16"/>
                <w:szCs w:val="16"/>
              </w:rPr>
            </w:pPr>
            <w:proofErr w:type="spellStart"/>
            <w:r w:rsidRPr="00525DB6">
              <w:rPr>
                <w:rFonts w:ascii="ITC Avant Garde" w:hAnsi="ITC Avant Garde" w:cs="Arial"/>
                <w:b/>
                <w:sz w:val="16"/>
                <w:szCs w:val="16"/>
              </w:rPr>
              <w:t>Rx</w:t>
            </w:r>
            <w:proofErr w:type="spellEnd"/>
            <w:r w:rsidRPr="00525DB6">
              <w:rPr>
                <w:rFonts w:ascii="ITC Avant Garde" w:hAnsi="ITC Avant Garde" w:cs="Arial"/>
                <w:b/>
                <w:sz w:val="16"/>
                <w:szCs w:val="16"/>
              </w:rPr>
              <w:t xml:space="preserve"> (MHz)</w:t>
            </w:r>
          </w:p>
        </w:tc>
        <w:tc>
          <w:tcPr>
            <w:tcW w:w="933" w:type="dxa"/>
          </w:tcPr>
          <w:p w14:paraId="2C8916C6" w14:textId="77777777" w:rsidR="00A42B91" w:rsidRPr="00525DB6" w:rsidRDefault="00A42B91" w:rsidP="007A2645">
            <w:pPr>
              <w:jc w:val="center"/>
              <w:rPr>
                <w:rFonts w:ascii="ITC Avant Garde" w:hAnsi="ITC Avant Garde" w:cs="Arial"/>
                <w:b/>
                <w:sz w:val="16"/>
                <w:szCs w:val="16"/>
              </w:rPr>
            </w:pPr>
            <w:proofErr w:type="spellStart"/>
            <w:r w:rsidRPr="00525DB6">
              <w:rPr>
                <w:rFonts w:ascii="ITC Avant Garde" w:hAnsi="ITC Avant Garde" w:cs="Arial"/>
                <w:b/>
                <w:sz w:val="16"/>
                <w:szCs w:val="16"/>
              </w:rPr>
              <w:t>Tx</w:t>
            </w:r>
            <w:proofErr w:type="spellEnd"/>
            <w:r w:rsidRPr="00525DB6">
              <w:rPr>
                <w:rFonts w:ascii="ITC Avant Garde" w:hAnsi="ITC Avant Garde" w:cs="Arial"/>
                <w:b/>
                <w:sz w:val="16"/>
                <w:szCs w:val="16"/>
              </w:rPr>
              <w:t xml:space="preserve"> (MHz)</w:t>
            </w:r>
          </w:p>
        </w:tc>
        <w:tc>
          <w:tcPr>
            <w:tcW w:w="933" w:type="dxa"/>
          </w:tcPr>
          <w:p w14:paraId="223B7443" w14:textId="77777777" w:rsidR="00A42B91" w:rsidRPr="00525DB6" w:rsidRDefault="00A42B91" w:rsidP="007A2645">
            <w:pPr>
              <w:jc w:val="center"/>
              <w:rPr>
                <w:rFonts w:ascii="ITC Avant Garde" w:hAnsi="ITC Avant Garde" w:cs="Arial"/>
                <w:b/>
                <w:sz w:val="16"/>
                <w:szCs w:val="16"/>
              </w:rPr>
            </w:pPr>
            <w:proofErr w:type="spellStart"/>
            <w:r w:rsidRPr="00525DB6">
              <w:rPr>
                <w:rFonts w:ascii="ITC Avant Garde" w:hAnsi="ITC Avant Garde" w:cs="Arial"/>
                <w:b/>
                <w:sz w:val="16"/>
                <w:szCs w:val="16"/>
              </w:rPr>
              <w:t>Rx</w:t>
            </w:r>
            <w:proofErr w:type="spellEnd"/>
            <w:r w:rsidRPr="00525DB6">
              <w:rPr>
                <w:rFonts w:ascii="ITC Avant Garde" w:hAnsi="ITC Avant Garde" w:cs="Arial"/>
                <w:b/>
                <w:sz w:val="16"/>
                <w:szCs w:val="16"/>
              </w:rPr>
              <w:t xml:space="preserve"> (MHz)</w:t>
            </w:r>
          </w:p>
        </w:tc>
        <w:tc>
          <w:tcPr>
            <w:tcW w:w="933" w:type="dxa"/>
          </w:tcPr>
          <w:p w14:paraId="5DE7E902" w14:textId="77777777" w:rsidR="00A42B91" w:rsidRPr="00525DB6" w:rsidRDefault="00A42B91" w:rsidP="007A2645">
            <w:pPr>
              <w:jc w:val="center"/>
              <w:rPr>
                <w:rFonts w:ascii="ITC Avant Garde" w:hAnsi="ITC Avant Garde" w:cs="Arial"/>
                <w:b/>
                <w:sz w:val="16"/>
                <w:szCs w:val="16"/>
              </w:rPr>
            </w:pPr>
            <w:proofErr w:type="spellStart"/>
            <w:r w:rsidRPr="00525DB6">
              <w:rPr>
                <w:rFonts w:ascii="ITC Avant Garde" w:hAnsi="ITC Avant Garde" w:cs="Arial"/>
                <w:b/>
                <w:sz w:val="16"/>
                <w:szCs w:val="16"/>
              </w:rPr>
              <w:t>Tx</w:t>
            </w:r>
            <w:proofErr w:type="spellEnd"/>
            <w:r w:rsidRPr="00525DB6">
              <w:rPr>
                <w:rFonts w:ascii="ITC Avant Garde" w:hAnsi="ITC Avant Garde" w:cs="Arial"/>
                <w:b/>
                <w:sz w:val="16"/>
                <w:szCs w:val="16"/>
              </w:rPr>
              <w:t xml:space="preserve"> (MHz)</w:t>
            </w:r>
          </w:p>
        </w:tc>
        <w:tc>
          <w:tcPr>
            <w:tcW w:w="933" w:type="dxa"/>
          </w:tcPr>
          <w:p w14:paraId="24E2D42F" w14:textId="77777777" w:rsidR="00A42B91" w:rsidRPr="00525DB6" w:rsidRDefault="00A42B91" w:rsidP="007A2645">
            <w:pPr>
              <w:jc w:val="center"/>
              <w:rPr>
                <w:rFonts w:ascii="ITC Avant Garde" w:hAnsi="ITC Avant Garde" w:cs="Arial"/>
                <w:b/>
                <w:sz w:val="16"/>
                <w:szCs w:val="16"/>
              </w:rPr>
            </w:pPr>
            <w:proofErr w:type="spellStart"/>
            <w:r w:rsidRPr="00525DB6">
              <w:rPr>
                <w:rFonts w:ascii="ITC Avant Garde" w:hAnsi="ITC Avant Garde" w:cs="Arial"/>
                <w:b/>
                <w:sz w:val="16"/>
                <w:szCs w:val="16"/>
              </w:rPr>
              <w:t>Rx</w:t>
            </w:r>
            <w:proofErr w:type="spellEnd"/>
            <w:r w:rsidRPr="00525DB6">
              <w:rPr>
                <w:rFonts w:ascii="ITC Avant Garde" w:hAnsi="ITC Avant Garde" w:cs="Arial"/>
                <w:b/>
                <w:sz w:val="16"/>
                <w:szCs w:val="16"/>
              </w:rPr>
              <w:t xml:space="preserve"> (MHz)</w:t>
            </w:r>
          </w:p>
        </w:tc>
        <w:tc>
          <w:tcPr>
            <w:tcW w:w="933" w:type="dxa"/>
          </w:tcPr>
          <w:p w14:paraId="2CF2DC7A" w14:textId="77777777" w:rsidR="00A42B91" w:rsidRPr="00525DB6" w:rsidRDefault="00A42B91" w:rsidP="007A2645">
            <w:pPr>
              <w:jc w:val="center"/>
              <w:rPr>
                <w:rFonts w:ascii="ITC Avant Garde" w:hAnsi="ITC Avant Garde" w:cs="Arial"/>
                <w:b/>
                <w:sz w:val="16"/>
                <w:szCs w:val="16"/>
              </w:rPr>
            </w:pPr>
            <w:proofErr w:type="spellStart"/>
            <w:r w:rsidRPr="00525DB6">
              <w:rPr>
                <w:rFonts w:ascii="ITC Avant Garde" w:hAnsi="ITC Avant Garde" w:cs="Arial"/>
                <w:b/>
                <w:sz w:val="16"/>
                <w:szCs w:val="16"/>
              </w:rPr>
              <w:t>Tx</w:t>
            </w:r>
            <w:proofErr w:type="spellEnd"/>
            <w:r w:rsidRPr="00525DB6">
              <w:rPr>
                <w:rFonts w:ascii="ITC Avant Garde" w:hAnsi="ITC Avant Garde" w:cs="Arial"/>
                <w:b/>
                <w:sz w:val="16"/>
                <w:szCs w:val="16"/>
              </w:rPr>
              <w:t xml:space="preserve"> (MHz)</w:t>
            </w:r>
          </w:p>
        </w:tc>
        <w:tc>
          <w:tcPr>
            <w:tcW w:w="933" w:type="dxa"/>
          </w:tcPr>
          <w:p w14:paraId="7C010025" w14:textId="77777777" w:rsidR="00A42B91" w:rsidRPr="00525DB6" w:rsidRDefault="00A42B91" w:rsidP="007A2645">
            <w:pPr>
              <w:jc w:val="center"/>
              <w:rPr>
                <w:rFonts w:ascii="ITC Avant Garde" w:hAnsi="ITC Avant Garde" w:cs="Arial"/>
                <w:b/>
                <w:sz w:val="16"/>
                <w:szCs w:val="16"/>
              </w:rPr>
            </w:pPr>
            <w:proofErr w:type="spellStart"/>
            <w:r w:rsidRPr="00525DB6">
              <w:rPr>
                <w:rFonts w:ascii="ITC Avant Garde" w:hAnsi="ITC Avant Garde" w:cs="Arial"/>
                <w:b/>
                <w:sz w:val="16"/>
                <w:szCs w:val="16"/>
              </w:rPr>
              <w:t>Rx</w:t>
            </w:r>
            <w:proofErr w:type="spellEnd"/>
            <w:r w:rsidRPr="00525DB6">
              <w:rPr>
                <w:rFonts w:ascii="ITC Avant Garde" w:hAnsi="ITC Avant Garde" w:cs="Arial"/>
                <w:b/>
                <w:sz w:val="16"/>
                <w:szCs w:val="16"/>
              </w:rPr>
              <w:t xml:space="preserve"> (MHz)</w:t>
            </w:r>
          </w:p>
        </w:tc>
        <w:tc>
          <w:tcPr>
            <w:tcW w:w="933" w:type="dxa"/>
          </w:tcPr>
          <w:p w14:paraId="4D6F84C0" w14:textId="77777777" w:rsidR="00A42B91" w:rsidRPr="00525DB6" w:rsidRDefault="00A42B91" w:rsidP="007A2645">
            <w:pPr>
              <w:jc w:val="center"/>
              <w:rPr>
                <w:rFonts w:ascii="ITC Avant Garde" w:hAnsi="ITC Avant Garde" w:cs="Arial"/>
                <w:b/>
                <w:sz w:val="16"/>
                <w:szCs w:val="16"/>
              </w:rPr>
            </w:pPr>
            <w:proofErr w:type="spellStart"/>
            <w:r w:rsidRPr="00525DB6">
              <w:rPr>
                <w:rFonts w:ascii="ITC Avant Garde" w:hAnsi="ITC Avant Garde" w:cs="Arial"/>
                <w:b/>
                <w:sz w:val="16"/>
                <w:szCs w:val="16"/>
              </w:rPr>
              <w:t>Tx</w:t>
            </w:r>
            <w:proofErr w:type="spellEnd"/>
            <w:r w:rsidRPr="00525DB6">
              <w:rPr>
                <w:rFonts w:ascii="ITC Avant Garde" w:hAnsi="ITC Avant Garde" w:cs="Arial"/>
                <w:b/>
                <w:sz w:val="16"/>
                <w:szCs w:val="16"/>
              </w:rPr>
              <w:t xml:space="preserve"> (MHz)</w:t>
            </w:r>
          </w:p>
        </w:tc>
      </w:tr>
      <w:tr w:rsidR="00A42B91" w:rsidRPr="00525DB6" w14:paraId="59976A50" w14:textId="77777777" w:rsidTr="004E5576">
        <w:trPr>
          <w:trHeight w:val="177"/>
          <w:jc w:val="center"/>
        </w:trPr>
        <w:tc>
          <w:tcPr>
            <w:tcW w:w="933" w:type="dxa"/>
          </w:tcPr>
          <w:p w14:paraId="4451D45B"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816.225</w:t>
            </w:r>
          </w:p>
        </w:tc>
        <w:tc>
          <w:tcPr>
            <w:tcW w:w="933" w:type="dxa"/>
          </w:tcPr>
          <w:p w14:paraId="124C7510"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861.225</w:t>
            </w:r>
          </w:p>
        </w:tc>
        <w:tc>
          <w:tcPr>
            <w:tcW w:w="933" w:type="dxa"/>
          </w:tcPr>
          <w:p w14:paraId="1A339DAA"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816.475</w:t>
            </w:r>
          </w:p>
        </w:tc>
        <w:tc>
          <w:tcPr>
            <w:tcW w:w="933" w:type="dxa"/>
          </w:tcPr>
          <w:p w14:paraId="493434BC"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861.475</w:t>
            </w:r>
          </w:p>
        </w:tc>
        <w:tc>
          <w:tcPr>
            <w:tcW w:w="933" w:type="dxa"/>
          </w:tcPr>
          <w:p w14:paraId="72D7F00D"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816.725</w:t>
            </w:r>
          </w:p>
        </w:tc>
        <w:tc>
          <w:tcPr>
            <w:tcW w:w="933" w:type="dxa"/>
          </w:tcPr>
          <w:p w14:paraId="6121282B"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861.725</w:t>
            </w:r>
          </w:p>
        </w:tc>
        <w:tc>
          <w:tcPr>
            <w:tcW w:w="933" w:type="dxa"/>
          </w:tcPr>
          <w:p w14:paraId="500EE6CA"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816.975</w:t>
            </w:r>
          </w:p>
        </w:tc>
        <w:tc>
          <w:tcPr>
            <w:tcW w:w="933" w:type="dxa"/>
          </w:tcPr>
          <w:p w14:paraId="66B8C62C"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861.975</w:t>
            </w:r>
          </w:p>
        </w:tc>
      </w:tr>
      <w:tr w:rsidR="00A42B91" w:rsidRPr="00525DB6" w14:paraId="680AD9AA" w14:textId="77777777" w:rsidTr="004E5576">
        <w:trPr>
          <w:trHeight w:val="140"/>
          <w:jc w:val="center"/>
        </w:trPr>
        <w:tc>
          <w:tcPr>
            <w:tcW w:w="933" w:type="dxa"/>
          </w:tcPr>
          <w:p w14:paraId="20D66139"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817.225</w:t>
            </w:r>
          </w:p>
        </w:tc>
        <w:tc>
          <w:tcPr>
            <w:tcW w:w="933" w:type="dxa"/>
          </w:tcPr>
          <w:p w14:paraId="5B5C793C"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862.225</w:t>
            </w:r>
          </w:p>
        </w:tc>
        <w:tc>
          <w:tcPr>
            <w:tcW w:w="933" w:type="dxa"/>
          </w:tcPr>
          <w:p w14:paraId="05A3CF1D"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817.475</w:t>
            </w:r>
          </w:p>
        </w:tc>
        <w:tc>
          <w:tcPr>
            <w:tcW w:w="933" w:type="dxa"/>
          </w:tcPr>
          <w:p w14:paraId="784D369E"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862.475</w:t>
            </w:r>
          </w:p>
        </w:tc>
        <w:tc>
          <w:tcPr>
            <w:tcW w:w="933" w:type="dxa"/>
          </w:tcPr>
          <w:p w14:paraId="4535363F"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817.725</w:t>
            </w:r>
          </w:p>
        </w:tc>
        <w:tc>
          <w:tcPr>
            <w:tcW w:w="933" w:type="dxa"/>
          </w:tcPr>
          <w:p w14:paraId="256EE9A0"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862.725</w:t>
            </w:r>
          </w:p>
        </w:tc>
        <w:tc>
          <w:tcPr>
            <w:tcW w:w="933" w:type="dxa"/>
          </w:tcPr>
          <w:p w14:paraId="2B0577B1"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817.975</w:t>
            </w:r>
          </w:p>
        </w:tc>
        <w:tc>
          <w:tcPr>
            <w:tcW w:w="933" w:type="dxa"/>
          </w:tcPr>
          <w:p w14:paraId="0BCD8F9B"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862.975</w:t>
            </w:r>
          </w:p>
        </w:tc>
      </w:tr>
      <w:tr w:rsidR="00A42B91" w:rsidRPr="00525DB6" w14:paraId="7559CA01" w14:textId="77777777" w:rsidTr="004E5576">
        <w:trPr>
          <w:trHeight w:val="119"/>
          <w:jc w:val="center"/>
        </w:trPr>
        <w:tc>
          <w:tcPr>
            <w:tcW w:w="933" w:type="dxa"/>
          </w:tcPr>
          <w:p w14:paraId="034D3CFB"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818.225</w:t>
            </w:r>
          </w:p>
        </w:tc>
        <w:tc>
          <w:tcPr>
            <w:tcW w:w="933" w:type="dxa"/>
          </w:tcPr>
          <w:p w14:paraId="45292414"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863.225</w:t>
            </w:r>
          </w:p>
        </w:tc>
        <w:tc>
          <w:tcPr>
            <w:tcW w:w="933" w:type="dxa"/>
          </w:tcPr>
          <w:p w14:paraId="5659E444"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818.475</w:t>
            </w:r>
          </w:p>
        </w:tc>
        <w:tc>
          <w:tcPr>
            <w:tcW w:w="933" w:type="dxa"/>
          </w:tcPr>
          <w:p w14:paraId="5196DCBE"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863.475</w:t>
            </w:r>
          </w:p>
        </w:tc>
        <w:tc>
          <w:tcPr>
            <w:tcW w:w="933" w:type="dxa"/>
          </w:tcPr>
          <w:p w14:paraId="239F4F46"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818.725</w:t>
            </w:r>
          </w:p>
        </w:tc>
        <w:tc>
          <w:tcPr>
            <w:tcW w:w="933" w:type="dxa"/>
          </w:tcPr>
          <w:p w14:paraId="31B0F9A3"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863.725</w:t>
            </w:r>
          </w:p>
        </w:tc>
        <w:tc>
          <w:tcPr>
            <w:tcW w:w="933" w:type="dxa"/>
          </w:tcPr>
          <w:p w14:paraId="6D65A772"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818.975</w:t>
            </w:r>
          </w:p>
        </w:tc>
        <w:tc>
          <w:tcPr>
            <w:tcW w:w="933" w:type="dxa"/>
          </w:tcPr>
          <w:p w14:paraId="6FD5BA52"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863.975</w:t>
            </w:r>
          </w:p>
        </w:tc>
      </w:tr>
      <w:tr w:rsidR="00A42B91" w:rsidRPr="00525DB6" w14:paraId="1B647053" w14:textId="77777777" w:rsidTr="004E5576">
        <w:trPr>
          <w:trHeight w:val="48"/>
          <w:jc w:val="center"/>
        </w:trPr>
        <w:tc>
          <w:tcPr>
            <w:tcW w:w="933" w:type="dxa"/>
          </w:tcPr>
          <w:p w14:paraId="10A79010"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819.225</w:t>
            </w:r>
          </w:p>
        </w:tc>
        <w:tc>
          <w:tcPr>
            <w:tcW w:w="933" w:type="dxa"/>
          </w:tcPr>
          <w:p w14:paraId="074E677E"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864.225</w:t>
            </w:r>
          </w:p>
        </w:tc>
        <w:tc>
          <w:tcPr>
            <w:tcW w:w="933" w:type="dxa"/>
          </w:tcPr>
          <w:p w14:paraId="65E510A8"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819.475</w:t>
            </w:r>
          </w:p>
        </w:tc>
        <w:tc>
          <w:tcPr>
            <w:tcW w:w="933" w:type="dxa"/>
          </w:tcPr>
          <w:p w14:paraId="1FBCEC9A"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864.475</w:t>
            </w:r>
          </w:p>
        </w:tc>
        <w:tc>
          <w:tcPr>
            <w:tcW w:w="933" w:type="dxa"/>
          </w:tcPr>
          <w:p w14:paraId="2DCD952E"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819.725</w:t>
            </w:r>
          </w:p>
        </w:tc>
        <w:tc>
          <w:tcPr>
            <w:tcW w:w="933" w:type="dxa"/>
          </w:tcPr>
          <w:p w14:paraId="42E0D942"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864.725</w:t>
            </w:r>
          </w:p>
        </w:tc>
        <w:tc>
          <w:tcPr>
            <w:tcW w:w="933" w:type="dxa"/>
          </w:tcPr>
          <w:p w14:paraId="46FB80C2"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819.975</w:t>
            </w:r>
          </w:p>
        </w:tc>
        <w:tc>
          <w:tcPr>
            <w:tcW w:w="933" w:type="dxa"/>
          </w:tcPr>
          <w:p w14:paraId="39876CC4"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864.975</w:t>
            </w:r>
          </w:p>
        </w:tc>
      </w:tr>
      <w:tr w:rsidR="00A42B91" w:rsidRPr="00525DB6" w14:paraId="1CC181AF" w14:textId="77777777" w:rsidTr="004E5576">
        <w:trPr>
          <w:trHeight w:val="22"/>
          <w:jc w:val="center"/>
        </w:trPr>
        <w:tc>
          <w:tcPr>
            <w:tcW w:w="933" w:type="dxa"/>
          </w:tcPr>
          <w:p w14:paraId="7735E0D0"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820.225</w:t>
            </w:r>
          </w:p>
        </w:tc>
        <w:tc>
          <w:tcPr>
            <w:tcW w:w="933" w:type="dxa"/>
          </w:tcPr>
          <w:p w14:paraId="68FE8266"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865.225</w:t>
            </w:r>
          </w:p>
        </w:tc>
        <w:tc>
          <w:tcPr>
            <w:tcW w:w="933" w:type="dxa"/>
          </w:tcPr>
          <w:p w14:paraId="06DD6032"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820.475</w:t>
            </w:r>
          </w:p>
        </w:tc>
        <w:tc>
          <w:tcPr>
            <w:tcW w:w="933" w:type="dxa"/>
          </w:tcPr>
          <w:p w14:paraId="75C0092C"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865.475</w:t>
            </w:r>
          </w:p>
        </w:tc>
        <w:tc>
          <w:tcPr>
            <w:tcW w:w="933" w:type="dxa"/>
          </w:tcPr>
          <w:p w14:paraId="632CC0DD"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820.725</w:t>
            </w:r>
          </w:p>
        </w:tc>
        <w:tc>
          <w:tcPr>
            <w:tcW w:w="933" w:type="dxa"/>
          </w:tcPr>
          <w:p w14:paraId="46EFBD12"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865.725</w:t>
            </w:r>
          </w:p>
        </w:tc>
        <w:tc>
          <w:tcPr>
            <w:tcW w:w="933" w:type="dxa"/>
          </w:tcPr>
          <w:p w14:paraId="76352CC2"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820.975</w:t>
            </w:r>
          </w:p>
        </w:tc>
        <w:tc>
          <w:tcPr>
            <w:tcW w:w="933" w:type="dxa"/>
          </w:tcPr>
          <w:p w14:paraId="71030AC8" w14:textId="77777777" w:rsidR="00A42B91" w:rsidRPr="00525DB6" w:rsidRDefault="00A42B91" w:rsidP="007A2645">
            <w:pPr>
              <w:jc w:val="center"/>
              <w:rPr>
                <w:rFonts w:ascii="ITC Avant Garde" w:hAnsi="ITC Avant Garde" w:cs="Arial"/>
                <w:sz w:val="16"/>
                <w:szCs w:val="16"/>
              </w:rPr>
            </w:pPr>
            <w:r w:rsidRPr="00525DB6">
              <w:rPr>
                <w:rFonts w:ascii="ITC Avant Garde" w:hAnsi="ITC Avant Garde" w:cs="Arial"/>
                <w:sz w:val="16"/>
                <w:szCs w:val="16"/>
              </w:rPr>
              <w:t>865.975</w:t>
            </w:r>
          </w:p>
        </w:tc>
      </w:tr>
    </w:tbl>
    <w:p w14:paraId="30EE8EE7" w14:textId="77777777" w:rsidR="00071208" w:rsidRPr="00525DB6" w:rsidRDefault="00071208" w:rsidP="00071208">
      <w:pPr>
        <w:jc w:val="both"/>
        <w:rPr>
          <w:rFonts w:ascii="ITC Avant Garde" w:hAnsi="ITC Avant Garde"/>
          <w:bCs/>
          <w:color w:val="000000"/>
          <w:sz w:val="22"/>
          <w:szCs w:val="22"/>
          <w:lang w:val="es-ES" w:eastAsia="es-MX"/>
        </w:rPr>
      </w:pPr>
    </w:p>
    <w:p w14:paraId="27738E5B" w14:textId="33EB9703" w:rsidR="00AA57F5" w:rsidRPr="00525DB6" w:rsidRDefault="00AA57F5" w:rsidP="007A2645">
      <w:pPr>
        <w:numPr>
          <w:ilvl w:val="0"/>
          <w:numId w:val="1"/>
        </w:numPr>
        <w:jc w:val="both"/>
        <w:rPr>
          <w:rFonts w:ascii="ITC Avant Garde" w:hAnsi="ITC Avant Garde"/>
          <w:bCs/>
          <w:color w:val="000000"/>
          <w:sz w:val="22"/>
          <w:szCs w:val="22"/>
          <w:lang w:val="es-ES" w:eastAsia="es-MX"/>
        </w:rPr>
      </w:pPr>
      <w:r w:rsidRPr="00525DB6">
        <w:rPr>
          <w:rFonts w:ascii="ITC Avant Garde" w:eastAsia="Calibri" w:hAnsi="ITC Avant Garde"/>
          <w:b/>
          <w:bCs/>
          <w:color w:val="000000"/>
          <w:sz w:val="22"/>
          <w:szCs w:val="22"/>
          <w:lang w:eastAsia="es-MX"/>
        </w:rPr>
        <w:t>Cesión de Derechos.-</w:t>
      </w:r>
      <w:r w:rsidRPr="00525DB6">
        <w:rPr>
          <w:rFonts w:ascii="ITC Avant Garde" w:hAnsi="ITC Avant Garde"/>
          <w:bCs/>
          <w:color w:val="000000"/>
          <w:sz w:val="22"/>
          <w:szCs w:val="22"/>
          <w:lang w:val="es-ES" w:eastAsia="es-MX"/>
        </w:rPr>
        <w:t xml:space="preserve"> </w:t>
      </w:r>
      <w:r w:rsidRPr="00525DB6">
        <w:rPr>
          <w:rFonts w:ascii="ITC Avant Garde" w:eastAsia="Calibri" w:hAnsi="ITC Avant Garde"/>
          <w:bCs/>
          <w:color w:val="000000"/>
          <w:sz w:val="22"/>
          <w:szCs w:val="22"/>
          <w:lang w:eastAsia="es-MX"/>
        </w:rPr>
        <w:t>Con oficio 112.207.-1208 de fecha 29 de mayo del 2002, la Secretaría, por conducto de la Dirección General de Política de Telecomunicaciones, autorizó la cesión de los derechos y obligaciones establecidos en la Concesión</w:t>
      </w:r>
      <w:r w:rsidR="00766AAD" w:rsidRPr="00525DB6">
        <w:rPr>
          <w:rFonts w:ascii="ITC Avant Garde" w:eastAsia="Calibri" w:hAnsi="ITC Avant Garde"/>
          <w:bCs/>
          <w:color w:val="000000"/>
          <w:sz w:val="22"/>
          <w:szCs w:val="22"/>
          <w:lang w:eastAsia="es-MX"/>
        </w:rPr>
        <w:t xml:space="preserve"> a</w:t>
      </w:r>
      <w:r w:rsidRPr="00525DB6">
        <w:rPr>
          <w:rFonts w:ascii="ITC Avant Garde" w:eastAsia="Calibri" w:hAnsi="ITC Avant Garde"/>
          <w:bCs/>
          <w:color w:val="000000"/>
          <w:sz w:val="22"/>
          <w:szCs w:val="22"/>
          <w:lang w:eastAsia="es-MX"/>
        </w:rPr>
        <w:t xml:space="preserve"> favor de la empresa </w:t>
      </w:r>
      <w:proofErr w:type="spellStart"/>
      <w:r w:rsidR="00FA142F" w:rsidRPr="00525DB6">
        <w:rPr>
          <w:rFonts w:ascii="ITC Avant Garde" w:eastAsia="Calibri" w:hAnsi="ITC Avant Garde"/>
          <w:bCs/>
          <w:color w:val="000000"/>
          <w:sz w:val="22"/>
          <w:szCs w:val="22"/>
          <w:lang w:eastAsia="es-MX"/>
        </w:rPr>
        <w:t>Troncatel</w:t>
      </w:r>
      <w:proofErr w:type="spellEnd"/>
      <w:r w:rsidRPr="00525DB6">
        <w:rPr>
          <w:rFonts w:ascii="ITC Avant Garde" w:eastAsia="Calibri" w:hAnsi="ITC Avant Garde"/>
          <w:bCs/>
          <w:color w:val="000000"/>
          <w:sz w:val="22"/>
          <w:szCs w:val="22"/>
          <w:lang w:eastAsia="es-MX"/>
        </w:rPr>
        <w:t>, S.A. de C.V.</w:t>
      </w:r>
    </w:p>
    <w:p w14:paraId="0B725242" w14:textId="77777777" w:rsidR="000B0759" w:rsidRPr="00525DB6" w:rsidRDefault="000B0759" w:rsidP="000B0759">
      <w:pPr>
        <w:jc w:val="both"/>
        <w:rPr>
          <w:rFonts w:ascii="ITC Avant Garde" w:hAnsi="ITC Avant Garde"/>
          <w:bCs/>
          <w:color w:val="000000"/>
          <w:sz w:val="22"/>
          <w:szCs w:val="22"/>
          <w:lang w:val="es-ES" w:eastAsia="es-MX"/>
        </w:rPr>
      </w:pPr>
    </w:p>
    <w:p w14:paraId="27AB592D" w14:textId="6053C479" w:rsidR="000A596A" w:rsidRPr="00525DB6" w:rsidRDefault="007B6282" w:rsidP="007A2645">
      <w:pPr>
        <w:numPr>
          <w:ilvl w:val="0"/>
          <w:numId w:val="1"/>
        </w:numPr>
        <w:jc w:val="both"/>
        <w:rPr>
          <w:rFonts w:ascii="ITC Avant Garde" w:hAnsi="ITC Avant Garde"/>
          <w:bCs/>
          <w:color w:val="000000"/>
          <w:sz w:val="22"/>
          <w:szCs w:val="22"/>
          <w:lang w:val="es-ES" w:eastAsia="es-MX"/>
        </w:rPr>
      </w:pPr>
      <w:r w:rsidRPr="00525DB6">
        <w:rPr>
          <w:rFonts w:ascii="ITC Avant Garde" w:eastAsia="Calibri" w:hAnsi="ITC Avant Garde"/>
          <w:b/>
          <w:bCs/>
          <w:color w:val="000000"/>
          <w:sz w:val="22"/>
          <w:szCs w:val="22"/>
          <w:lang w:eastAsia="es-MX"/>
        </w:rPr>
        <w:t>Solicitud de Prórroga de Vigencia.-</w:t>
      </w:r>
      <w:r w:rsidRPr="00525DB6">
        <w:rPr>
          <w:rFonts w:ascii="ITC Avant Garde" w:hAnsi="ITC Avant Garde"/>
          <w:b/>
          <w:bCs/>
          <w:color w:val="000000"/>
          <w:sz w:val="22"/>
          <w:szCs w:val="22"/>
          <w:lang w:val="es-ES" w:eastAsia="es-MX"/>
        </w:rPr>
        <w:t xml:space="preserve"> </w:t>
      </w:r>
      <w:r w:rsidRPr="00525DB6">
        <w:rPr>
          <w:rFonts w:ascii="ITC Avant Garde" w:eastAsia="Calibri" w:hAnsi="ITC Avant Garde"/>
          <w:bCs/>
          <w:color w:val="000000"/>
          <w:sz w:val="22"/>
          <w:szCs w:val="22"/>
          <w:lang w:eastAsia="es-MX"/>
        </w:rPr>
        <w:t>Mediante oficio 112.20</w:t>
      </w:r>
      <w:r w:rsidR="005F163B" w:rsidRPr="00525DB6">
        <w:rPr>
          <w:rFonts w:ascii="ITC Avant Garde" w:eastAsia="Calibri" w:hAnsi="ITC Avant Garde"/>
          <w:bCs/>
          <w:color w:val="000000"/>
          <w:sz w:val="22"/>
          <w:szCs w:val="22"/>
          <w:lang w:eastAsia="es-MX"/>
        </w:rPr>
        <w:t>3</w:t>
      </w:r>
      <w:r w:rsidRPr="00525DB6">
        <w:rPr>
          <w:rFonts w:ascii="ITC Avant Garde" w:eastAsia="Calibri" w:hAnsi="ITC Avant Garde"/>
          <w:bCs/>
          <w:color w:val="000000"/>
          <w:sz w:val="22"/>
          <w:szCs w:val="22"/>
          <w:lang w:eastAsia="es-MX"/>
        </w:rPr>
        <w:t>.</w:t>
      </w:r>
      <w:r w:rsidR="005F163B" w:rsidRPr="00525DB6">
        <w:rPr>
          <w:rFonts w:ascii="ITC Avant Garde" w:eastAsia="Calibri" w:hAnsi="ITC Avant Garde"/>
          <w:bCs/>
          <w:color w:val="000000"/>
          <w:sz w:val="22"/>
          <w:szCs w:val="22"/>
          <w:lang w:eastAsia="es-MX"/>
        </w:rPr>
        <w:t>-7430</w:t>
      </w:r>
      <w:r w:rsidRPr="00525DB6">
        <w:rPr>
          <w:rFonts w:ascii="ITC Avant Garde" w:eastAsia="Calibri" w:hAnsi="ITC Avant Garde"/>
          <w:bCs/>
          <w:color w:val="000000"/>
          <w:sz w:val="22"/>
          <w:szCs w:val="22"/>
          <w:lang w:eastAsia="es-MX"/>
        </w:rPr>
        <w:t xml:space="preserve"> de fecha </w:t>
      </w:r>
      <w:r w:rsidR="00A15172" w:rsidRPr="00525DB6">
        <w:rPr>
          <w:rFonts w:ascii="ITC Avant Garde" w:eastAsia="Calibri" w:hAnsi="ITC Avant Garde"/>
          <w:bCs/>
          <w:color w:val="000000"/>
          <w:sz w:val="22"/>
          <w:szCs w:val="22"/>
          <w:lang w:eastAsia="es-MX"/>
        </w:rPr>
        <w:t>7</w:t>
      </w:r>
      <w:r w:rsidRPr="00525DB6">
        <w:rPr>
          <w:rFonts w:ascii="ITC Avant Garde" w:eastAsia="Calibri" w:hAnsi="ITC Avant Garde"/>
          <w:bCs/>
          <w:color w:val="000000"/>
          <w:sz w:val="22"/>
          <w:szCs w:val="22"/>
          <w:lang w:eastAsia="es-MX"/>
        </w:rPr>
        <w:t xml:space="preserve"> de </w:t>
      </w:r>
      <w:r w:rsidR="005F163B" w:rsidRPr="00525DB6">
        <w:rPr>
          <w:rFonts w:ascii="ITC Avant Garde" w:eastAsia="Calibri" w:hAnsi="ITC Avant Garde"/>
          <w:bCs/>
          <w:color w:val="000000"/>
          <w:sz w:val="22"/>
          <w:szCs w:val="22"/>
          <w:lang w:eastAsia="es-MX"/>
        </w:rPr>
        <w:t>diciembre</w:t>
      </w:r>
      <w:r w:rsidRPr="00525DB6">
        <w:rPr>
          <w:rFonts w:ascii="ITC Avant Garde" w:eastAsia="Calibri" w:hAnsi="ITC Avant Garde"/>
          <w:bCs/>
          <w:color w:val="000000"/>
          <w:sz w:val="22"/>
          <w:szCs w:val="22"/>
          <w:lang w:eastAsia="es-MX"/>
        </w:rPr>
        <w:t xml:space="preserve"> de 200</w:t>
      </w:r>
      <w:r w:rsidR="005F163B" w:rsidRPr="00525DB6">
        <w:rPr>
          <w:rFonts w:ascii="ITC Avant Garde" w:eastAsia="Calibri" w:hAnsi="ITC Avant Garde"/>
          <w:bCs/>
          <w:color w:val="000000"/>
          <w:sz w:val="22"/>
          <w:szCs w:val="22"/>
          <w:lang w:eastAsia="es-MX"/>
        </w:rPr>
        <w:t>4</w:t>
      </w:r>
      <w:r w:rsidRPr="00525DB6">
        <w:rPr>
          <w:rFonts w:ascii="ITC Avant Garde" w:eastAsia="Calibri" w:hAnsi="ITC Avant Garde"/>
          <w:bCs/>
          <w:color w:val="000000"/>
          <w:sz w:val="22"/>
          <w:szCs w:val="22"/>
          <w:lang w:eastAsia="es-MX"/>
        </w:rPr>
        <w:t xml:space="preserve">, </w:t>
      </w:r>
      <w:r w:rsidR="0099574F" w:rsidRPr="00525DB6">
        <w:rPr>
          <w:rFonts w:ascii="ITC Avant Garde" w:eastAsia="Calibri" w:hAnsi="ITC Avant Garde"/>
          <w:bCs/>
          <w:color w:val="000000"/>
          <w:sz w:val="22"/>
          <w:szCs w:val="22"/>
          <w:lang w:eastAsia="es-MX"/>
        </w:rPr>
        <w:t xml:space="preserve">la Dirección General de Política de Telecomunicaciones de la </w:t>
      </w:r>
      <w:r w:rsidRPr="00525DB6">
        <w:rPr>
          <w:rFonts w:ascii="ITC Avant Garde" w:eastAsia="Calibri" w:hAnsi="ITC Avant Garde"/>
          <w:bCs/>
          <w:color w:val="000000"/>
          <w:sz w:val="22"/>
          <w:szCs w:val="22"/>
          <w:lang w:eastAsia="es-MX"/>
        </w:rPr>
        <w:t xml:space="preserve">Secretaría solicitó opinión a la extinta Comisión Federal de Telecomunicaciones (la “Comisión”), respecto de la solicitud de prórroga de vigencia de la Concesión, presentada por </w:t>
      </w:r>
      <w:proofErr w:type="spellStart"/>
      <w:r w:rsidR="004E43D1" w:rsidRPr="00525DB6">
        <w:rPr>
          <w:rFonts w:ascii="ITC Avant Garde" w:eastAsia="Calibri" w:hAnsi="ITC Avant Garde"/>
          <w:bCs/>
          <w:color w:val="000000"/>
          <w:sz w:val="22"/>
          <w:szCs w:val="22"/>
          <w:lang w:eastAsia="es-MX"/>
        </w:rPr>
        <w:t>Troncatel</w:t>
      </w:r>
      <w:proofErr w:type="spellEnd"/>
      <w:r w:rsidR="004E43D1" w:rsidRPr="00525DB6">
        <w:rPr>
          <w:rFonts w:ascii="ITC Avant Garde" w:eastAsia="Calibri" w:hAnsi="ITC Avant Garde"/>
          <w:bCs/>
          <w:color w:val="000000"/>
          <w:sz w:val="22"/>
          <w:szCs w:val="22"/>
          <w:lang w:eastAsia="es-MX"/>
        </w:rPr>
        <w:t>, S.A. de C.V.,</w:t>
      </w:r>
      <w:r w:rsidRPr="00525DB6">
        <w:rPr>
          <w:rFonts w:ascii="ITC Avant Garde" w:eastAsia="Calibri" w:hAnsi="ITC Avant Garde"/>
          <w:bCs/>
          <w:color w:val="000000"/>
          <w:sz w:val="22"/>
          <w:szCs w:val="22"/>
          <w:lang w:eastAsia="es-MX"/>
        </w:rPr>
        <w:t xml:space="preserve"> ante esa Dependencia</w:t>
      </w:r>
      <w:r w:rsidR="004E43D1" w:rsidRPr="00525DB6">
        <w:rPr>
          <w:rFonts w:ascii="ITC Avant Garde" w:eastAsia="Calibri" w:hAnsi="ITC Avant Garde"/>
          <w:bCs/>
          <w:color w:val="000000"/>
          <w:sz w:val="22"/>
          <w:szCs w:val="22"/>
          <w:lang w:eastAsia="es-MX"/>
        </w:rPr>
        <w:t xml:space="preserve"> del Ejecutivo Federal con </w:t>
      </w:r>
      <w:r w:rsidRPr="00525DB6">
        <w:rPr>
          <w:rFonts w:ascii="ITC Avant Garde" w:eastAsia="Calibri" w:hAnsi="ITC Avant Garde"/>
          <w:bCs/>
          <w:color w:val="000000"/>
          <w:sz w:val="22"/>
          <w:szCs w:val="22"/>
          <w:lang w:eastAsia="es-MX"/>
        </w:rPr>
        <w:t xml:space="preserve">fecha </w:t>
      </w:r>
      <w:r w:rsidR="009F14FC" w:rsidRPr="00525DB6">
        <w:rPr>
          <w:rFonts w:ascii="ITC Avant Garde" w:eastAsia="Calibri" w:hAnsi="ITC Avant Garde"/>
          <w:bCs/>
          <w:color w:val="000000"/>
          <w:sz w:val="22"/>
          <w:szCs w:val="22"/>
          <w:lang w:eastAsia="es-MX"/>
        </w:rPr>
        <w:t>18</w:t>
      </w:r>
      <w:r w:rsidRPr="00525DB6">
        <w:rPr>
          <w:rFonts w:ascii="ITC Avant Garde" w:eastAsia="Calibri" w:hAnsi="ITC Avant Garde"/>
          <w:bCs/>
          <w:color w:val="000000"/>
          <w:sz w:val="22"/>
          <w:szCs w:val="22"/>
          <w:lang w:eastAsia="es-MX"/>
        </w:rPr>
        <w:t xml:space="preserve"> de </w:t>
      </w:r>
      <w:r w:rsidR="009F14FC" w:rsidRPr="00525DB6">
        <w:rPr>
          <w:rFonts w:ascii="ITC Avant Garde" w:eastAsia="Calibri" w:hAnsi="ITC Avant Garde"/>
          <w:bCs/>
          <w:color w:val="000000"/>
          <w:sz w:val="22"/>
          <w:szCs w:val="22"/>
          <w:lang w:eastAsia="es-MX"/>
        </w:rPr>
        <w:t>noviembre</w:t>
      </w:r>
      <w:r w:rsidRPr="00525DB6">
        <w:rPr>
          <w:rFonts w:ascii="ITC Avant Garde" w:eastAsia="Calibri" w:hAnsi="ITC Avant Garde"/>
          <w:bCs/>
          <w:color w:val="000000"/>
          <w:sz w:val="22"/>
          <w:szCs w:val="22"/>
          <w:lang w:eastAsia="es-MX"/>
        </w:rPr>
        <w:t xml:space="preserve"> de 200</w:t>
      </w:r>
      <w:r w:rsidR="009F14FC" w:rsidRPr="00525DB6">
        <w:rPr>
          <w:rFonts w:ascii="ITC Avant Garde" w:eastAsia="Calibri" w:hAnsi="ITC Avant Garde"/>
          <w:bCs/>
          <w:color w:val="000000"/>
          <w:sz w:val="22"/>
          <w:szCs w:val="22"/>
          <w:lang w:eastAsia="es-MX"/>
        </w:rPr>
        <w:t>4</w:t>
      </w:r>
      <w:r w:rsidR="004E43D1" w:rsidRPr="00525DB6">
        <w:rPr>
          <w:rFonts w:ascii="ITC Avant Garde" w:eastAsia="Calibri" w:hAnsi="ITC Avant Garde"/>
          <w:bCs/>
          <w:color w:val="000000"/>
          <w:sz w:val="22"/>
          <w:szCs w:val="22"/>
          <w:lang w:eastAsia="es-MX"/>
        </w:rPr>
        <w:t xml:space="preserve"> (la “Solicitud de Prórroga”)</w:t>
      </w:r>
      <w:r w:rsidR="00062CC3" w:rsidRPr="00525DB6">
        <w:rPr>
          <w:rFonts w:ascii="ITC Avant Garde" w:eastAsia="Calibri" w:hAnsi="ITC Avant Garde"/>
          <w:bCs/>
          <w:color w:val="000000"/>
          <w:sz w:val="22"/>
          <w:szCs w:val="22"/>
          <w:lang w:eastAsia="es-MX"/>
        </w:rPr>
        <w:t>.</w:t>
      </w:r>
    </w:p>
    <w:p w14:paraId="5DA4D556" w14:textId="77777777" w:rsidR="000B0759" w:rsidRPr="00525DB6" w:rsidRDefault="000B0759" w:rsidP="000B0759">
      <w:pPr>
        <w:jc w:val="both"/>
        <w:rPr>
          <w:rFonts w:ascii="ITC Avant Garde" w:hAnsi="ITC Avant Garde"/>
          <w:bCs/>
          <w:color w:val="000000"/>
          <w:sz w:val="22"/>
          <w:szCs w:val="22"/>
          <w:lang w:val="es-ES" w:eastAsia="es-MX"/>
        </w:rPr>
      </w:pPr>
    </w:p>
    <w:p w14:paraId="30D7B874" w14:textId="08A54946" w:rsidR="00415ED0" w:rsidRPr="00525DB6" w:rsidRDefault="00415ED0" w:rsidP="007A2645">
      <w:pPr>
        <w:numPr>
          <w:ilvl w:val="0"/>
          <w:numId w:val="1"/>
        </w:numPr>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Cumplimiento de Obligaciones.</w:t>
      </w:r>
      <w:r w:rsidRPr="00525DB6">
        <w:rPr>
          <w:rFonts w:ascii="ITC Avant Garde" w:hAnsi="ITC Avant Garde"/>
          <w:b/>
          <w:bCs/>
          <w:color w:val="000000"/>
          <w:sz w:val="22"/>
          <w:szCs w:val="22"/>
          <w:lang w:val="es-ES" w:eastAsia="es-MX"/>
        </w:rPr>
        <w:t xml:space="preserve"> </w:t>
      </w:r>
      <w:r w:rsidRPr="00525DB6">
        <w:rPr>
          <w:rFonts w:ascii="ITC Avant Garde" w:eastAsia="Calibri" w:hAnsi="ITC Avant Garde"/>
          <w:bCs/>
          <w:color w:val="000000"/>
          <w:sz w:val="22"/>
          <w:szCs w:val="22"/>
          <w:lang w:eastAsia="es-MX"/>
        </w:rPr>
        <w:t xml:space="preserve">Con oficio </w:t>
      </w:r>
      <w:r w:rsidR="00FF7406" w:rsidRPr="00525DB6">
        <w:rPr>
          <w:rFonts w:ascii="ITC Avant Garde" w:eastAsia="Calibri" w:hAnsi="ITC Avant Garde"/>
          <w:bCs/>
          <w:color w:val="000000"/>
          <w:sz w:val="22"/>
          <w:szCs w:val="22"/>
          <w:lang w:eastAsia="es-MX"/>
        </w:rPr>
        <w:t>CFT/D04/USV/DGVB/400/08 de fecha 28 de agosto de 2008</w:t>
      </w:r>
      <w:r w:rsidR="004D5872" w:rsidRPr="00525DB6">
        <w:rPr>
          <w:rFonts w:ascii="ITC Avant Garde" w:eastAsia="Calibri" w:hAnsi="ITC Avant Garde"/>
          <w:bCs/>
          <w:color w:val="000000"/>
          <w:sz w:val="22"/>
          <w:szCs w:val="22"/>
          <w:lang w:eastAsia="es-MX"/>
        </w:rPr>
        <w:t xml:space="preserve">, la entonces </w:t>
      </w:r>
      <w:r w:rsidR="00FF7406" w:rsidRPr="00525DB6">
        <w:rPr>
          <w:rFonts w:ascii="ITC Avant Garde" w:eastAsia="Calibri" w:hAnsi="ITC Avant Garde"/>
          <w:bCs/>
          <w:color w:val="000000"/>
          <w:sz w:val="22"/>
          <w:szCs w:val="22"/>
          <w:lang w:eastAsia="es-MX"/>
        </w:rPr>
        <w:t>Dirección General de Verificación “B” adscrita a la Unidad de Supervisión y Verificación de la Comisión</w:t>
      </w:r>
      <w:r w:rsidR="004D5872" w:rsidRPr="00525DB6">
        <w:rPr>
          <w:rFonts w:ascii="ITC Avant Garde" w:eastAsia="Calibri" w:hAnsi="ITC Avant Garde"/>
          <w:bCs/>
          <w:color w:val="000000"/>
          <w:sz w:val="22"/>
          <w:szCs w:val="22"/>
          <w:lang w:eastAsia="es-MX"/>
        </w:rPr>
        <w:t xml:space="preserve">, </w:t>
      </w:r>
      <w:r w:rsidR="00FF7406" w:rsidRPr="00525DB6">
        <w:rPr>
          <w:rFonts w:ascii="ITC Avant Garde" w:eastAsia="Calibri" w:hAnsi="ITC Avant Garde"/>
          <w:bCs/>
          <w:color w:val="000000"/>
          <w:sz w:val="22"/>
          <w:szCs w:val="22"/>
          <w:lang w:eastAsia="es-MX"/>
        </w:rPr>
        <w:t>informó que derivado de la visita de verificación de las condiciones técnico-operativas a</w:t>
      </w:r>
      <w:r w:rsidR="00705416" w:rsidRPr="00525DB6">
        <w:rPr>
          <w:rFonts w:ascii="ITC Avant Garde" w:eastAsia="Calibri" w:hAnsi="ITC Avant Garde"/>
          <w:bCs/>
          <w:color w:val="000000"/>
          <w:sz w:val="22"/>
          <w:szCs w:val="22"/>
          <w:lang w:eastAsia="es-MX"/>
        </w:rPr>
        <w:t xml:space="preserve"> </w:t>
      </w:r>
      <w:proofErr w:type="spellStart"/>
      <w:r w:rsidR="00705416" w:rsidRPr="00525DB6">
        <w:rPr>
          <w:rFonts w:ascii="ITC Avant Garde" w:eastAsia="Calibri" w:hAnsi="ITC Avant Garde"/>
          <w:bCs/>
          <w:color w:val="000000"/>
          <w:sz w:val="22"/>
          <w:szCs w:val="22"/>
          <w:lang w:eastAsia="es-MX"/>
        </w:rPr>
        <w:t>Troncatel</w:t>
      </w:r>
      <w:proofErr w:type="spellEnd"/>
      <w:r w:rsidR="00705416" w:rsidRPr="00525DB6">
        <w:rPr>
          <w:rFonts w:ascii="ITC Avant Garde" w:eastAsia="Calibri" w:hAnsi="ITC Avant Garde"/>
          <w:bCs/>
          <w:color w:val="000000"/>
          <w:sz w:val="22"/>
          <w:szCs w:val="22"/>
          <w:lang w:eastAsia="es-MX"/>
        </w:rPr>
        <w:t>, S.A. de C.V.</w:t>
      </w:r>
      <w:r w:rsidR="00FF7406" w:rsidRPr="00525DB6">
        <w:rPr>
          <w:rFonts w:ascii="ITC Avant Garde" w:eastAsia="Calibri" w:hAnsi="ITC Avant Garde"/>
          <w:bCs/>
          <w:color w:val="000000"/>
          <w:sz w:val="22"/>
          <w:szCs w:val="22"/>
          <w:lang w:eastAsia="es-MX"/>
        </w:rPr>
        <w:t>, no se encontraron irregularidades respecto a dichas condiciones.</w:t>
      </w:r>
    </w:p>
    <w:p w14:paraId="4078539D" w14:textId="77777777" w:rsidR="000B0759" w:rsidRPr="00525DB6" w:rsidRDefault="000B0759" w:rsidP="000B0759">
      <w:pPr>
        <w:jc w:val="both"/>
        <w:rPr>
          <w:rFonts w:ascii="ITC Avant Garde" w:eastAsia="Calibri" w:hAnsi="ITC Avant Garde"/>
          <w:bCs/>
          <w:color w:val="000000"/>
          <w:sz w:val="22"/>
          <w:szCs w:val="22"/>
          <w:lang w:eastAsia="es-MX"/>
        </w:rPr>
      </w:pPr>
    </w:p>
    <w:p w14:paraId="41F4F6C3" w14:textId="48803266" w:rsidR="006F3E99" w:rsidRPr="00525DB6" w:rsidRDefault="003D744E" w:rsidP="007A2645">
      <w:pPr>
        <w:ind w:left="567"/>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 xml:space="preserve">Por su parte, </w:t>
      </w:r>
      <w:r w:rsidR="0013574B" w:rsidRPr="00525DB6">
        <w:rPr>
          <w:rFonts w:ascii="ITC Avant Garde" w:eastAsia="Calibri" w:hAnsi="ITC Avant Garde"/>
          <w:bCs/>
          <w:color w:val="000000"/>
          <w:sz w:val="22"/>
          <w:szCs w:val="22"/>
          <w:lang w:eastAsia="es-MX"/>
        </w:rPr>
        <w:t xml:space="preserve">con oficios CFT/D04/USV/211/2010 y CFT/D04/USV/230/2013 de fechas 7 de junio de 2010 y 7 de marzo de 2013, la Unidad de Supervisión y Verificación de la Comisión informó que al 24 de noviembre de 2009, fecha de vencimiento de la Concesión, </w:t>
      </w:r>
      <w:proofErr w:type="spellStart"/>
      <w:r w:rsidR="004E43D1" w:rsidRPr="00525DB6">
        <w:rPr>
          <w:rFonts w:ascii="ITC Avant Garde" w:eastAsia="Calibri" w:hAnsi="ITC Avant Garde"/>
          <w:bCs/>
          <w:color w:val="000000"/>
          <w:sz w:val="22"/>
          <w:szCs w:val="22"/>
          <w:lang w:eastAsia="es-MX"/>
        </w:rPr>
        <w:t>Troncatel</w:t>
      </w:r>
      <w:proofErr w:type="spellEnd"/>
      <w:r w:rsidR="004E43D1" w:rsidRPr="00525DB6">
        <w:rPr>
          <w:rFonts w:ascii="ITC Avant Garde" w:eastAsia="Calibri" w:hAnsi="ITC Avant Garde"/>
          <w:bCs/>
          <w:color w:val="000000"/>
          <w:sz w:val="22"/>
          <w:szCs w:val="22"/>
          <w:lang w:eastAsia="es-MX"/>
        </w:rPr>
        <w:t>, S.A. de C.V.</w:t>
      </w:r>
      <w:r w:rsidR="0013574B" w:rsidRPr="00525DB6">
        <w:rPr>
          <w:rFonts w:ascii="ITC Avant Garde" w:eastAsia="Calibri" w:hAnsi="ITC Avant Garde"/>
          <w:bCs/>
          <w:color w:val="000000"/>
          <w:sz w:val="22"/>
          <w:szCs w:val="22"/>
          <w:lang w:eastAsia="es-MX"/>
        </w:rPr>
        <w:t xml:space="preserve"> se encontraba en cumplimiento de las obligaciones</w:t>
      </w:r>
      <w:r w:rsidR="00FB34F9" w:rsidRPr="00525DB6">
        <w:rPr>
          <w:rFonts w:ascii="ITC Avant Garde" w:eastAsia="Calibri" w:hAnsi="ITC Avant Garde"/>
          <w:bCs/>
          <w:color w:val="000000"/>
          <w:sz w:val="22"/>
          <w:szCs w:val="22"/>
          <w:lang w:eastAsia="es-MX"/>
        </w:rPr>
        <w:t xml:space="preserve"> a su cargo derivadas de la Concesión</w:t>
      </w:r>
      <w:r w:rsidR="00B00834" w:rsidRPr="00525DB6">
        <w:rPr>
          <w:rFonts w:ascii="ITC Avant Garde" w:eastAsia="Calibri" w:hAnsi="ITC Avant Garde"/>
          <w:bCs/>
          <w:color w:val="000000"/>
          <w:sz w:val="22"/>
          <w:szCs w:val="22"/>
          <w:lang w:eastAsia="es-MX"/>
        </w:rPr>
        <w:t>.</w:t>
      </w:r>
    </w:p>
    <w:p w14:paraId="632C8374" w14:textId="77777777" w:rsidR="000B0759" w:rsidRPr="00525DB6" w:rsidRDefault="000B0759" w:rsidP="007A2645">
      <w:pPr>
        <w:ind w:left="567"/>
        <w:jc w:val="both"/>
        <w:rPr>
          <w:rFonts w:ascii="ITC Avant Garde" w:eastAsia="Calibri" w:hAnsi="ITC Avant Garde"/>
          <w:bCs/>
          <w:color w:val="000000"/>
          <w:sz w:val="22"/>
          <w:szCs w:val="22"/>
          <w:lang w:eastAsia="es-MX"/>
        </w:rPr>
      </w:pPr>
    </w:p>
    <w:p w14:paraId="223B897C" w14:textId="20F686AC" w:rsidR="00415ED0" w:rsidRPr="00525DB6" w:rsidRDefault="005F4709" w:rsidP="007A2645">
      <w:pPr>
        <w:numPr>
          <w:ilvl w:val="0"/>
          <w:numId w:val="1"/>
        </w:numPr>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Decreto de Reforma Constitucional.</w:t>
      </w:r>
      <w:r w:rsidRPr="00525DB6">
        <w:rPr>
          <w:rFonts w:ascii="ITC Avant Garde" w:hAnsi="ITC Avant Garde"/>
          <w:b/>
          <w:bCs/>
          <w:color w:val="000000"/>
          <w:sz w:val="22"/>
          <w:szCs w:val="22"/>
          <w:lang w:val="es-ES" w:eastAsia="es-MX"/>
        </w:rPr>
        <w:t xml:space="preserve"> </w:t>
      </w:r>
      <w:r w:rsidR="00F50FF2" w:rsidRPr="00525DB6">
        <w:rPr>
          <w:rFonts w:ascii="ITC Avant Garde" w:eastAsia="Calibri" w:hAnsi="ITC Avant Garde"/>
          <w:bCs/>
          <w:color w:val="000000"/>
          <w:sz w:val="22"/>
          <w:szCs w:val="22"/>
          <w:lang w:eastAsia="es-MX"/>
        </w:rPr>
        <w:t xml:space="preserve">Con fecha 11 de junio de 2013, se publicó en el Diario Oficial de la Federación el </w:t>
      </w:r>
      <w:r w:rsidR="00F50FF2" w:rsidRPr="00525DB6">
        <w:rPr>
          <w:rFonts w:ascii="ITC Avant Garde" w:eastAsia="Calibri" w:hAnsi="ITC Avant Garde"/>
          <w:bCs/>
          <w:i/>
          <w:color w:val="000000"/>
          <w:sz w:val="22"/>
          <w:szCs w:val="22"/>
          <w:lang w:eastAsia="es-MX"/>
        </w:rPr>
        <w:t>“Decreto por el que se reforman y adicionan diversas disposiciones de los artículos 6o., 7o., 27, 28, 73, 78, 94 y 105 de la Constitución Política de los Estados Unidos Mexicanos, en materia de telecomunicaciones”</w:t>
      </w:r>
      <w:r w:rsidR="00F50FF2" w:rsidRPr="00525DB6">
        <w:rPr>
          <w:rFonts w:ascii="ITC Avant Garde" w:eastAsia="Calibri" w:hAnsi="ITC Avant Garde"/>
          <w:bCs/>
          <w:color w:val="000000"/>
          <w:sz w:val="22"/>
          <w:szCs w:val="22"/>
          <w:lang w:eastAsia="es-MX"/>
        </w:rPr>
        <w:t xml:space="preserve"> (el “Decreto de Reforma Constitucional”), mediante el cual se creó el Instituto Federal de Telecomunicaciones como un órgano autónomo encargado del desarrollo eficiente de la radiodifusión y las telecomunicaciones (el “Instituto”).</w:t>
      </w:r>
    </w:p>
    <w:p w14:paraId="6A013433" w14:textId="77777777" w:rsidR="000B0759" w:rsidRPr="00525DB6" w:rsidRDefault="000B0759" w:rsidP="000B0759">
      <w:pPr>
        <w:jc w:val="both"/>
        <w:rPr>
          <w:rFonts w:ascii="ITC Avant Garde" w:eastAsia="Calibri" w:hAnsi="ITC Avant Garde"/>
          <w:bCs/>
          <w:color w:val="000000"/>
          <w:sz w:val="22"/>
          <w:szCs w:val="22"/>
          <w:lang w:eastAsia="es-MX"/>
        </w:rPr>
      </w:pPr>
    </w:p>
    <w:p w14:paraId="2B983936" w14:textId="19D3A599" w:rsidR="0033384A" w:rsidRPr="00525DB6" w:rsidRDefault="00705416" w:rsidP="00705416">
      <w:pPr>
        <w:numPr>
          <w:ilvl w:val="0"/>
          <w:numId w:val="1"/>
        </w:numPr>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 xml:space="preserve">Opinión </w:t>
      </w:r>
      <w:r w:rsidR="00E2588A" w:rsidRPr="00525DB6">
        <w:rPr>
          <w:rFonts w:ascii="ITC Avant Garde" w:eastAsia="Calibri" w:hAnsi="ITC Avant Garde"/>
          <w:b/>
          <w:bCs/>
          <w:color w:val="000000"/>
          <w:sz w:val="22"/>
          <w:szCs w:val="22"/>
          <w:lang w:eastAsia="es-MX"/>
        </w:rPr>
        <w:t>Técnica-Regulatoria</w:t>
      </w:r>
      <w:r w:rsidRPr="00525DB6">
        <w:rPr>
          <w:rFonts w:ascii="ITC Avant Garde" w:eastAsia="Calibri" w:hAnsi="ITC Avant Garde"/>
          <w:b/>
          <w:bCs/>
          <w:color w:val="000000"/>
          <w:sz w:val="22"/>
          <w:szCs w:val="22"/>
          <w:lang w:eastAsia="es-MX"/>
        </w:rPr>
        <w:t>.</w:t>
      </w:r>
      <w:r w:rsidRPr="00525DB6">
        <w:rPr>
          <w:rFonts w:ascii="ITC Avant Garde" w:hAnsi="ITC Avant Garde"/>
          <w:b/>
          <w:bCs/>
          <w:color w:val="000000"/>
          <w:szCs w:val="24"/>
          <w:lang w:val="es-ES" w:eastAsia="es-MX"/>
        </w:rPr>
        <w:t xml:space="preserve"> </w:t>
      </w:r>
      <w:r w:rsidR="00F50FF2" w:rsidRPr="00525DB6">
        <w:rPr>
          <w:rFonts w:ascii="ITC Avant Garde" w:eastAsia="Calibri" w:hAnsi="ITC Avant Garde"/>
          <w:bCs/>
          <w:color w:val="000000"/>
          <w:sz w:val="22"/>
          <w:szCs w:val="22"/>
          <w:lang w:eastAsia="es-MX"/>
        </w:rPr>
        <w:t xml:space="preserve">Con oficio CFT/D05/UPR/DGRA/109/2013 de fecha 13 de junio de 2013, la entonces Dirección General de Regulación “A”, adscrita a la Unidad de Prospectiva y Regulación de la Comisión, opinó </w:t>
      </w:r>
      <w:r w:rsidR="0099574F" w:rsidRPr="00525DB6">
        <w:rPr>
          <w:rFonts w:ascii="ITC Avant Garde" w:eastAsia="Calibri" w:hAnsi="ITC Avant Garde"/>
          <w:bCs/>
          <w:color w:val="000000"/>
          <w:sz w:val="22"/>
          <w:szCs w:val="22"/>
          <w:lang w:eastAsia="es-MX"/>
        </w:rPr>
        <w:t xml:space="preserve">diversas solicitudes de prórroga de vigencia de títulos de concesión para la prestación del servicio móvil de radiocomunicación especializada de flotillas, entre la que se encontraba la Solicitud de Prórroga. Al respecto, dicha Dirección General señaló que </w:t>
      </w:r>
      <w:r w:rsidR="00F50FF2" w:rsidRPr="00525DB6">
        <w:rPr>
          <w:rFonts w:ascii="ITC Avant Garde" w:eastAsia="Calibri" w:hAnsi="ITC Avant Garde"/>
          <w:bCs/>
          <w:color w:val="000000"/>
          <w:sz w:val="22"/>
          <w:szCs w:val="22"/>
          <w:lang w:eastAsia="es-MX"/>
        </w:rPr>
        <w:t xml:space="preserve">la Solicitud de Prórroga </w:t>
      </w:r>
      <w:r w:rsidR="00F50FF2" w:rsidRPr="00525DB6">
        <w:rPr>
          <w:rFonts w:ascii="ITC Avant Garde" w:eastAsia="Calibri" w:hAnsi="ITC Avant Garde"/>
          <w:bCs/>
          <w:color w:val="000000"/>
          <w:sz w:val="22"/>
          <w:szCs w:val="22"/>
          <w:lang w:eastAsia="es-MX"/>
        </w:rPr>
        <w:lastRenderedPageBreak/>
        <w:t>resultaba procedente desde el punto de vista regulatorio y de planificación del espectro, sujeto al cumplimiento de diversas condiciones y reservas entre las que se señaló que la prórroga que se concediera debería otorgarse dentro de la banda de frecuencias de 410-430 MHz.</w:t>
      </w:r>
    </w:p>
    <w:p w14:paraId="67849594" w14:textId="77777777" w:rsidR="0099574F" w:rsidRDefault="0099574F" w:rsidP="0099574F">
      <w:pPr>
        <w:jc w:val="both"/>
        <w:rPr>
          <w:rFonts w:ascii="ITC Avant Garde" w:eastAsia="Calibri" w:hAnsi="ITC Avant Garde"/>
          <w:bCs/>
          <w:color w:val="000000"/>
          <w:sz w:val="22"/>
          <w:szCs w:val="22"/>
          <w:lang w:eastAsia="es-MX"/>
        </w:rPr>
      </w:pPr>
    </w:p>
    <w:p w14:paraId="6E55595D" w14:textId="77777777" w:rsidR="0099574F" w:rsidRPr="00525DB6" w:rsidRDefault="0099574F" w:rsidP="0099574F">
      <w:pPr>
        <w:numPr>
          <w:ilvl w:val="0"/>
          <w:numId w:val="1"/>
        </w:numPr>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Integración del Instituto.</w:t>
      </w:r>
      <w:r w:rsidRPr="00525DB6">
        <w:rPr>
          <w:rFonts w:ascii="ITC Avant Garde" w:eastAsia="Calibri" w:hAnsi="ITC Avant Garde"/>
          <w:bCs/>
          <w:color w:val="000000"/>
          <w:sz w:val="22"/>
          <w:szCs w:val="22"/>
          <w:lang w:eastAsia="es-MX"/>
        </w:rPr>
        <w:t xml:space="preserve"> El 10 de septiembre de 2013 quedó debidamente integrado el Instituto, en términos de lo dispuesto por el artículo Sexto Transitorio del Decreto de Reforma Constitucional, mediante la ratificación, por parte del Senado de la República, de los nombramientos de los Comisionados que integran su órgano de gobierno y la designación de su Presidente.</w:t>
      </w:r>
    </w:p>
    <w:p w14:paraId="432A0402" w14:textId="77777777" w:rsidR="000B0759" w:rsidRPr="00525DB6" w:rsidRDefault="000B0759" w:rsidP="007A2645">
      <w:pPr>
        <w:ind w:left="567"/>
        <w:jc w:val="both"/>
        <w:rPr>
          <w:rFonts w:ascii="ITC Avant Garde" w:eastAsia="Calibri" w:hAnsi="ITC Avant Garde"/>
          <w:bCs/>
          <w:color w:val="000000"/>
          <w:sz w:val="22"/>
          <w:szCs w:val="22"/>
          <w:lang w:eastAsia="es-MX"/>
        </w:rPr>
      </w:pPr>
    </w:p>
    <w:p w14:paraId="7B18BDED" w14:textId="77777777" w:rsidR="00F50FF2" w:rsidRPr="00525DB6" w:rsidRDefault="00C67180" w:rsidP="00F50FF2">
      <w:pPr>
        <w:numPr>
          <w:ilvl w:val="0"/>
          <w:numId w:val="1"/>
        </w:numPr>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 xml:space="preserve">Decreto de </w:t>
      </w:r>
      <w:r w:rsidR="002F65B4" w:rsidRPr="00525DB6">
        <w:rPr>
          <w:rFonts w:ascii="ITC Avant Garde" w:eastAsia="Calibri" w:hAnsi="ITC Avant Garde"/>
          <w:b/>
          <w:bCs/>
          <w:color w:val="000000"/>
          <w:sz w:val="22"/>
          <w:szCs w:val="22"/>
          <w:lang w:eastAsia="es-MX"/>
        </w:rPr>
        <w:t>Ley</w:t>
      </w:r>
      <w:r w:rsidR="001C3587" w:rsidRPr="00525DB6">
        <w:rPr>
          <w:rFonts w:ascii="ITC Avant Garde" w:eastAsia="Calibri" w:hAnsi="ITC Avant Garde"/>
          <w:b/>
          <w:bCs/>
          <w:color w:val="000000"/>
          <w:sz w:val="22"/>
          <w:szCs w:val="22"/>
          <w:lang w:eastAsia="es-MX"/>
        </w:rPr>
        <w:t>.</w:t>
      </w:r>
      <w:r w:rsidR="001C3587" w:rsidRPr="00525DB6">
        <w:rPr>
          <w:rFonts w:ascii="ITC Avant Garde" w:hAnsi="ITC Avant Garde"/>
          <w:bCs/>
          <w:color w:val="000000" w:themeColor="text1"/>
          <w:sz w:val="22"/>
          <w:szCs w:val="22"/>
          <w:lang w:eastAsia="es-MX"/>
        </w:rPr>
        <w:t xml:space="preserve"> </w:t>
      </w:r>
      <w:r w:rsidR="00F50FF2" w:rsidRPr="00525DB6">
        <w:rPr>
          <w:rFonts w:ascii="ITC Avant Garde" w:eastAsia="Calibri" w:hAnsi="ITC Avant Garde"/>
          <w:bCs/>
          <w:color w:val="000000"/>
          <w:sz w:val="22"/>
          <w:szCs w:val="22"/>
          <w:lang w:eastAsia="es-MX"/>
        </w:rPr>
        <w:t xml:space="preserve">El 14 de julio de 2014, se publicó en el Diario Oficial de la Federación el </w:t>
      </w:r>
      <w:r w:rsidR="00F50FF2" w:rsidRPr="00525DB6">
        <w:rPr>
          <w:rFonts w:ascii="ITC Avant Garde" w:eastAsia="Calibri"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F50FF2" w:rsidRPr="00525DB6">
        <w:rPr>
          <w:rFonts w:ascii="ITC Avant Garde" w:eastAsia="Calibri" w:hAnsi="ITC Avant Garde"/>
          <w:bCs/>
          <w:color w:val="000000"/>
          <w:sz w:val="22"/>
          <w:szCs w:val="22"/>
          <w:lang w:eastAsia="es-MX"/>
        </w:rPr>
        <w:t xml:space="preserve"> (el “Decreto de Ley”)</w:t>
      </w:r>
      <w:r w:rsidR="00F50FF2" w:rsidRPr="00525DB6">
        <w:rPr>
          <w:rFonts w:ascii="ITC Avant Garde" w:hAnsi="ITC Avant Garde"/>
          <w:bCs/>
          <w:color w:val="000000" w:themeColor="text1"/>
          <w:sz w:val="22"/>
          <w:szCs w:val="22"/>
          <w:lang w:eastAsia="es-MX"/>
        </w:rPr>
        <w:t>, mismo que entró en vigor el 13 de agosto de 2014</w:t>
      </w:r>
      <w:r w:rsidR="00F50FF2" w:rsidRPr="00525DB6">
        <w:rPr>
          <w:rFonts w:ascii="ITC Avant Garde" w:eastAsia="Calibri" w:hAnsi="ITC Avant Garde"/>
          <w:bCs/>
          <w:color w:val="000000"/>
          <w:sz w:val="22"/>
          <w:szCs w:val="22"/>
          <w:lang w:eastAsia="es-MX"/>
        </w:rPr>
        <w:t>.</w:t>
      </w:r>
    </w:p>
    <w:p w14:paraId="430E60C8" w14:textId="77777777" w:rsidR="000B0759" w:rsidRPr="00525DB6" w:rsidRDefault="000B0759" w:rsidP="000B0759">
      <w:pPr>
        <w:jc w:val="both"/>
        <w:rPr>
          <w:rFonts w:ascii="ITC Avant Garde" w:hAnsi="ITC Avant Garde"/>
          <w:bCs/>
          <w:color w:val="000000"/>
          <w:sz w:val="22"/>
          <w:szCs w:val="22"/>
          <w:lang w:val="es-ES" w:eastAsia="es-MX"/>
        </w:rPr>
      </w:pPr>
    </w:p>
    <w:p w14:paraId="2EDD33B2" w14:textId="46DD8B2C" w:rsidR="005F4709" w:rsidRPr="00525DB6" w:rsidRDefault="005F4709" w:rsidP="007A2645">
      <w:pPr>
        <w:numPr>
          <w:ilvl w:val="0"/>
          <w:numId w:val="1"/>
        </w:numPr>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Estatuto Orgánico.</w:t>
      </w:r>
      <w:r w:rsidRPr="00525DB6">
        <w:rPr>
          <w:rFonts w:ascii="ITC Avant Garde" w:hAnsi="ITC Avant Garde"/>
          <w:bCs/>
          <w:color w:val="000000" w:themeColor="text1"/>
          <w:sz w:val="22"/>
          <w:szCs w:val="22"/>
          <w:lang w:eastAsia="es-MX"/>
        </w:rPr>
        <w:t xml:space="preserve"> </w:t>
      </w:r>
      <w:r w:rsidR="00F50FF2" w:rsidRPr="00525DB6">
        <w:rPr>
          <w:rFonts w:ascii="ITC Avant Garde" w:eastAsia="Calibri" w:hAnsi="ITC Avant Garde"/>
          <w:bCs/>
          <w:color w:val="000000"/>
          <w:sz w:val="22"/>
          <w:szCs w:val="22"/>
          <w:lang w:eastAsia="es-MX"/>
        </w:rPr>
        <w:t>El 4 de septiembre de 2014, se publicó en el Diario Oficial de la Federación el “</w:t>
      </w:r>
      <w:r w:rsidR="00F50FF2" w:rsidRPr="00525DB6">
        <w:rPr>
          <w:rFonts w:ascii="ITC Avant Garde" w:eastAsia="Calibri" w:hAnsi="ITC Avant Garde"/>
          <w:bCs/>
          <w:i/>
          <w:color w:val="000000"/>
          <w:sz w:val="22"/>
          <w:szCs w:val="22"/>
          <w:lang w:eastAsia="es-MX"/>
        </w:rPr>
        <w:t>Estatuto Orgánico del Instituto Federal de Telecomunicaciones</w:t>
      </w:r>
      <w:r w:rsidR="00F50FF2" w:rsidRPr="00525DB6">
        <w:rPr>
          <w:rFonts w:ascii="ITC Avant Garde" w:eastAsia="Calibri" w:hAnsi="ITC Avant Garde"/>
          <w:bCs/>
          <w:color w:val="000000"/>
          <w:sz w:val="22"/>
          <w:szCs w:val="22"/>
          <w:lang w:eastAsia="es-MX"/>
        </w:rPr>
        <w:t>” (el “Estatuto Orgánico”), mismo que entró en vigor el 26 de septiembre de 2014 y fue modificado el 17 de octubre del mismo año.</w:t>
      </w:r>
    </w:p>
    <w:p w14:paraId="3A7347BF" w14:textId="77777777" w:rsidR="000B0759" w:rsidRPr="00525DB6" w:rsidRDefault="000B0759" w:rsidP="000B0759">
      <w:pPr>
        <w:jc w:val="both"/>
        <w:rPr>
          <w:rFonts w:ascii="ITC Avant Garde" w:eastAsia="Calibri" w:hAnsi="ITC Avant Garde"/>
          <w:bCs/>
          <w:color w:val="000000"/>
          <w:sz w:val="22"/>
          <w:szCs w:val="22"/>
          <w:lang w:eastAsia="es-MX"/>
        </w:rPr>
      </w:pPr>
    </w:p>
    <w:p w14:paraId="4AD82B42" w14:textId="657EC524" w:rsidR="00874C9E" w:rsidRPr="00525DB6" w:rsidRDefault="00874C9E" w:rsidP="007A2645">
      <w:pPr>
        <w:numPr>
          <w:ilvl w:val="0"/>
          <w:numId w:val="1"/>
        </w:numPr>
        <w:jc w:val="both"/>
        <w:rPr>
          <w:rFonts w:ascii="ITC Avant Garde" w:eastAsia="Calibri" w:hAnsi="ITC Avant Garde"/>
          <w:bCs/>
          <w:color w:val="000000"/>
          <w:sz w:val="22"/>
          <w:szCs w:val="22"/>
          <w:lang w:eastAsia="es-MX"/>
        </w:rPr>
      </w:pPr>
      <w:r w:rsidRPr="00525DB6">
        <w:rPr>
          <w:rFonts w:ascii="ITC Avant Garde" w:hAnsi="ITC Avant Garde"/>
          <w:b/>
          <w:bCs/>
          <w:color w:val="000000"/>
          <w:sz w:val="22"/>
          <w:szCs w:val="22"/>
          <w:lang w:val="es-ES" w:eastAsia="es-MX"/>
        </w:rPr>
        <w:t>Opinión de la Dirección General de Ingeniería del Espectro y Estudios Técnicos</w:t>
      </w:r>
      <w:r w:rsidR="00E2588A" w:rsidRPr="00525DB6">
        <w:rPr>
          <w:rFonts w:ascii="ITC Avant Garde" w:hAnsi="ITC Avant Garde"/>
          <w:b/>
          <w:bCs/>
          <w:color w:val="000000"/>
          <w:sz w:val="22"/>
          <w:szCs w:val="22"/>
          <w:lang w:val="es-ES" w:eastAsia="es-MX"/>
        </w:rPr>
        <w:t xml:space="preserve"> respecto de la Solicitud de Prórroga</w:t>
      </w:r>
      <w:r w:rsidRPr="00525DB6">
        <w:rPr>
          <w:rFonts w:ascii="ITC Avant Garde" w:hAnsi="ITC Avant Garde"/>
          <w:b/>
          <w:bCs/>
          <w:color w:val="000000"/>
          <w:sz w:val="22"/>
          <w:szCs w:val="22"/>
          <w:lang w:val="es-ES" w:eastAsia="es-MX"/>
        </w:rPr>
        <w:t xml:space="preserve">. </w:t>
      </w:r>
      <w:r w:rsidRPr="00525DB6">
        <w:rPr>
          <w:rFonts w:ascii="ITC Avant Garde" w:hAnsi="ITC Avant Garde"/>
          <w:bCs/>
          <w:color w:val="000000"/>
          <w:sz w:val="22"/>
          <w:szCs w:val="22"/>
          <w:lang w:val="es-ES" w:eastAsia="es-MX"/>
        </w:rPr>
        <w:t>Con oficio IFT/222/UER/DG-IEET/625/2015 de fecha 19 de junio de 2015, la Dirección General de Ingeniería del Espectro y Estudios Técnicos</w:t>
      </w:r>
      <w:r w:rsidR="0099574F" w:rsidRPr="00525DB6">
        <w:rPr>
          <w:rFonts w:ascii="ITC Avant Garde" w:hAnsi="ITC Avant Garde"/>
          <w:bCs/>
          <w:color w:val="000000"/>
          <w:sz w:val="22"/>
          <w:szCs w:val="22"/>
          <w:lang w:val="es-ES" w:eastAsia="es-MX"/>
        </w:rPr>
        <w:t>, adscrita a la Unidad de Espectro Radioeléctrico</w:t>
      </w:r>
      <w:r w:rsidRPr="00525DB6">
        <w:rPr>
          <w:rFonts w:ascii="ITC Avant Garde" w:hAnsi="ITC Avant Garde"/>
          <w:bCs/>
          <w:color w:val="000000"/>
          <w:sz w:val="22"/>
          <w:szCs w:val="22"/>
          <w:lang w:val="es-ES" w:eastAsia="es-MX"/>
        </w:rPr>
        <w:t xml:space="preserve"> del Instituto propuso la canalización del segmento 410-430 MHz, así como las frecuencias de operación, área de cobertura y las características técnico-operativas que busquen evitar o minimizar riesgos de interferencias perjudiciales para diversas empresas que solicitan prórroga de vigencia de títulos de concesión para la prestación del servicio móvil de radiocomunicación especializada de flotillas</w:t>
      </w:r>
      <w:r w:rsidR="0099574F" w:rsidRPr="00525DB6">
        <w:rPr>
          <w:rFonts w:ascii="ITC Avant Garde" w:hAnsi="ITC Avant Garde"/>
          <w:bCs/>
          <w:color w:val="000000"/>
          <w:sz w:val="22"/>
          <w:szCs w:val="22"/>
          <w:lang w:val="es-ES" w:eastAsia="es-MX"/>
        </w:rPr>
        <w:t>, entre las que se encontraba la Solicitud de Prórroga</w:t>
      </w:r>
      <w:r w:rsidRPr="00525DB6">
        <w:rPr>
          <w:rFonts w:ascii="ITC Avant Garde" w:hAnsi="ITC Avant Garde"/>
          <w:bCs/>
          <w:color w:val="000000"/>
          <w:sz w:val="22"/>
          <w:szCs w:val="22"/>
          <w:lang w:val="es-ES" w:eastAsia="es-MX"/>
        </w:rPr>
        <w:t>.</w:t>
      </w:r>
    </w:p>
    <w:p w14:paraId="453195DD" w14:textId="77777777" w:rsidR="00874C9E" w:rsidRPr="00525DB6" w:rsidRDefault="00874C9E" w:rsidP="00874C9E">
      <w:pPr>
        <w:jc w:val="both"/>
        <w:rPr>
          <w:rFonts w:ascii="ITC Avant Garde" w:eastAsia="Calibri" w:hAnsi="ITC Avant Garde"/>
          <w:bCs/>
          <w:color w:val="000000"/>
          <w:sz w:val="22"/>
          <w:szCs w:val="22"/>
          <w:lang w:eastAsia="es-MX"/>
        </w:rPr>
      </w:pPr>
    </w:p>
    <w:p w14:paraId="6D80B3AF" w14:textId="48ED5004" w:rsidR="009428AF" w:rsidRPr="00525DB6" w:rsidRDefault="009428AF" w:rsidP="009428AF">
      <w:pPr>
        <w:numPr>
          <w:ilvl w:val="0"/>
          <w:numId w:val="1"/>
        </w:numPr>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Opinión en materia de competencia económica</w:t>
      </w:r>
      <w:r w:rsidR="00E2588A" w:rsidRPr="00525DB6">
        <w:rPr>
          <w:rFonts w:ascii="ITC Avant Garde" w:eastAsia="Calibri" w:hAnsi="ITC Avant Garde"/>
          <w:b/>
          <w:bCs/>
          <w:color w:val="000000"/>
          <w:sz w:val="22"/>
          <w:szCs w:val="22"/>
          <w:lang w:eastAsia="es-MX"/>
        </w:rPr>
        <w:t xml:space="preserve"> respecto de la Solicitud de Prórroga</w:t>
      </w:r>
      <w:r w:rsidRPr="00525DB6">
        <w:rPr>
          <w:rFonts w:ascii="ITC Avant Garde" w:eastAsia="Calibri" w:hAnsi="ITC Avant Garde"/>
          <w:b/>
          <w:bCs/>
          <w:color w:val="000000"/>
          <w:sz w:val="22"/>
          <w:szCs w:val="22"/>
          <w:lang w:eastAsia="es-MX"/>
        </w:rPr>
        <w:t>.</w:t>
      </w:r>
      <w:r w:rsidRPr="00525DB6">
        <w:rPr>
          <w:rFonts w:ascii="ITC Avant Garde" w:eastAsia="Calibri" w:hAnsi="ITC Avant Garde"/>
          <w:bCs/>
          <w:color w:val="000000"/>
          <w:sz w:val="22"/>
          <w:szCs w:val="22"/>
          <w:lang w:eastAsia="es-MX"/>
        </w:rPr>
        <w:t xml:space="preserve"> Con oficio IFT/226/UCE/DG-CCON/137/2015 de fecha 30 junio de 2015, la Dirección General de Concentraciones y Concesiones, adscrita a la Unidad de Competencia Económica del Instituto, </w:t>
      </w:r>
      <w:r w:rsidR="00F3378B" w:rsidRPr="00525DB6">
        <w:rPr>
          <w:rFonts w:ascii="ITC Avant Garde" w:eastAsia="Calibri" w:hAnsi="ITC Avant Garde"/>
          <w:bCs/>
          <w:color w:val="000000"/>
          <w:sz w:val="22"/>
          <w:szCs w:val="22"/>
          <w:lang w:eastAsia="es-MX"/>
        </w:rPr>
        <w:t>emitió opinión respecto a la Solicitud de Prórroga señalando</w:t>
      </w:r>
      <w:r w:rsidR="0099574F" w:rsidRPr="00525DB6">
        <w:rPr>
          <w:rFonts w:ascii="ITC Avant Garde" w:eastAsia="Calibri" w:hAnsi="ITC Avant Garde"/>
          <w:bCs/>
          <w:color w:val="000000"/>
          <w:sz w:val="22"/>
          <w:szCs w:val="22"/>
          <w:lang w:eastAsia="es-MX"/>
        </w:rPr>
        <w:t>, entre otros aspectos,</w:t>
      </w:r>
      <w:r w:rsidR="00F3378B" w:rsidRPr="00525DB6">
        <w:rPr>
          <w:rFonts w:ascii="ITC Avant Garde" w:eastAsia="Calibri" w:hAnsi="ITC Avant Garde"/>
          <w:bCs/>
          <w:color w:val="000000"/>
          <w:sz w:val="22"/>
          <w:szCs w:val="22"/>
          <w:lang w:eastAsia="es-MX"/>
        </w:rPr>
        <w:t xml:space="preserve"> que </w:t>
      </w:r>
      <w:r w:rsidR="0099574F" w:rsidRPr="00525DB6">
        <w:rPr>
          <w:rFonts w:ascii="ITC Avant Garde" w:eastAsia="Calibri" w:hAnsi="ITC Avant Garde"/>
          <w:bCs/>
          <w:color w:val="000000"/>
          <w:sz w:val="22"/>
          <w:szCs w:val="22"/>
          <w:lang w:eastAsia="es-MX"/>
        </w:rPr>
        <w:t xml:space="preserve">con base en la información disponible, </w:t>
      </w:r>
      <w:r w:rsidR="00F3378B" w:rsidRPr="00525DB6">
        <w:rPr>
          <w:rFonts w:ascii="ITC Avant Garde" w:eastAsia="Calibri" w:hAnsi="ITC Avant Garde"/>
          <w:bCs/>
          <w:color w:val="000000"/>
          <w:sz w:val="22"/>
          <w:szCs w:val="22"/>
          <w:lang w:eastAsia="es-MX"/>
        </w:rPr>
        <w:t xml:space="preserve">no se identificaban elementos ni indicios de que la autorización de la prórroga solicitada por </w:t>
      </w:r>
      <w:proofErr w:type="spellStart"/>
      <w:r w:rsidR="00F3378B" w:rsidRPr="00525DB6">
        <w:rPr>
          <w:rFonts w:ascii="ITC Avant Garde" w:eastAsia="Calibri" w:hAnsi="ITC Avant Garde"/>
          <w:bCs/>
          <w:color w:val="000000"/>
          <w:sz w:val="22"/>
          <w:szCs w:val="22"/>
          <w:lang w:eastAsia="es-MX"/>
        </w:rPr>
        <w:t>Troncatel</w:t>
      </w:r>
      <w:proofErr w:type="spellEnd"/>
      <w:r w:rsidR="00F3378B" w:rsidRPr="00525DB6">
        <w:rPr>
          <w:rFonts w:ascii="ITC Avant Garde" w:eastAsia="Calibri" w:hAnsi="ITC Avant Garde"/>
          <w:bCs/>
          <w:color w:val="000000"/>
          <w:sz w:val="22"/>
          <w:szCs w:val="22"/>
          <w:lang w:eastAsia="es-MX"/>
        </w:rPr>
        <w:t>, S.A. de CV., pudiera tener efectos contrarios en el proceso de competencia y libre concurrencia en los mercados.</w:t>
      </w:r>
    </w:p>
    <w:p w14:paraId="60AEF20E" w14:textId="77777777" w:rsidR="000B0759" w:rsidRPr="00525DB6" w:rsidRDefault="000B0759" w:rsidP="000B0759">
      <w:pPr>
        <w:jc w:val="both"/>
        <w:rPr>
          <w:rFonts w:ascii="ITC Avant Garde" w:eastAsia="Calibri" w:hAnsi="ITC Avant Garde"/>
          <w:bCs/>
          <w:color w:val="000000"/>
          <w:sz w:val="22"/>
          <w:szCs w:val="22"/>
          <w:lang w:eastAsia="es-MX"/>
        </w:rPr>
      </w:pPr>
    </w:p>
    <w:p w14:paraId="0503C76D" w14:textId="0A705643" w:rsidR="009428AF" w:rsidRPr="00525DB6" w:rsidRDefault="009428AF" w:rsidP="009428AF">
      <w:pPr>
        <w:numPr>
          <w:ilvl w:val="0"/>
          <w:numId w:val="1"/>
        </w:numPr>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Aprovechamiento autorizado por la Secretaría de Hacienda y Crédito Público.</w:t>
      </w:r>
      <w:r w:rsidRPr="00525DB6">
        <w:rPr>
          <w:rFonts w:ascii="ITC Avant Garde" w:hAnsi="ITC Avant Garde"/>
          <w:b/>
          <w:bCs/>
          <w:color w:val="000000"/>
          <w:sz w:val="22"/>
          <w:szCs w:val="22"/>
          <w:lang w:val="es-ES" w:eastAsia="es-MX"/>
        </w:rPr>
        <w:t xml:space="preserve"> </w:t>
      </w:r>
      <w:r w:rsidRPr="00525DB6">
        <w:rPr>
          <w:rFonts w:ascii="ITC Avant Garde" w:hAnsi="ITC Avant Garde"/>
          <w:bCs/>
          <w:color w:val="000000"/>
          <w:sz w:val="22"/>
          <w:szCs w:val="22"/>
          <w:lang w:val="es-ES" w:eastAsia="es-MX"/>
        </w:rPr>
        <w:t>Con oficios IFT/222/UER/010/2014 e IFT/222/UER/154/2015 de fechas 6 de octubre de 2014 y 24 de junio de 2015, respectivamente, la Unidad de Espectro Radioeléctrico solicitó a la Unidad de Política de Ingresos No Tributarios de la Secretaría de Hacienda y Crédito Público, autorizar el aprovechamiento que debería</w:t>
      </w:r>
      <w:r w:rsidR="0099574F" w:rsidRPr="00525DB6">
        <w:rPr>
          <w:rFonts w:ascii="ITC Avant Garde" w:hAnsi="ITC Avant Garde"/>
          <w:bCs/>
          <w:color w:val="000000"/>
          <w:sz w:val="22"/>
          <w:szCs w:val="22"/>
          <w:lang w:val="es-ES" w:eastAsia="es-MX"/>
        </w:rPr>
        <w:t>n</w:t>
      </w:r>
      <w:r w:rsidRPr="00525DB6">
        <w:rPr>
          <w:rFonts w:ascii="ITC Avant Garde" w:hAnsi="ITC Avant Garde"/>
          <w:bCs/>
          <w:color w:val="000000"/>
          <w:sz w:val="22"/>
          <w:szCs w:val="22"/>
          <w:lang w:val="es-ES" w:eastAsia="es-MX"/>
        </w:rPr>
        <w:t xml:space="preserve"> pagar </w:t>
      </w:r>
      <w:r w:rsidR="0099574F" w:rsidRPr="00525DB6">
        <w:rPr>
          <w:rFonts w:ascii="ITC Avant Garde" w:hAnsi="ITC Avant Garde"/>
          <w:bCs/>
          <w:color w:val="000000"/>
          <w:sz w:val="22"/>
          <w:szCs w:val="22"/>
          <w:lang w:val="es-ES" w:eastAsia="es-MX"/>
        </w:rPr>
        <w:t xml:space="preserve">diversos concesionarios que </w:t>
      </w:r>
      <w:r w:rsidR="0099574F" w:rsidRPr="00525DB6">
        <w:rPr>
          <w:rFonts w:ascii="ITC Avant Garde" w:hAnsi="ITC Avant Garde"/>
          <w:bCs/>
          <w:color w:val="000000"/>
          <w:sz w:val="22"/>
          <w:szCs w:val="22"/>
          <w:lang w:val="es-ES" w:eastAsia="es-MX"/>
        </w:rPr>
        <w:lastRenderedPageBreak/>
        <w:t xml:space="preserve">habían presentado solicitudes de prórroga de títulos de concesión para prestar el servicio móvil de radiocomunicación especializada de flotillas, entre los que se encontraba </w:t>
      </w:r>
      <w:proofErr w:type="spellStart"/>
      <w:r w:rsidRPr="00525DB6">
        <w:rPr>
          <w:rFonts w:ascii="ITC Avant Garde" w:eastAsia="Calibri" w:hAnsi="ITC Avant Garde"/>
          <w:bCs/>
          <w:color w:val="000000"/>
          <w:sz w:val="22"/>
          <w:szCs w:val="22"/>
          <w:lang w:eastAsia="es-MX"/>
        </w:rPr>
        <w:t>Troncatel</w:t>
      </w:r>
      <w:proofErr w:type="spellEnd"/>
      <w:r w:rsidRPr="00525DB6">
        <w:rPr>
          <w:rFonts w:ascii="ITC Avant Garde" w:eastAsia="Calibri" w:hAnsi="ITC Avant Garde"/>
          <w:bCs/>
          <w:color w:val="000000"/>
          <w:sz w:val="22"/>
          <w:szCs w:val="22"/>
          <w:lang w:eastAsia="es-MX"/>
        </w:rPr>
        <w:t>, S.A. de C.V.</w:t>
      </w:r>
      <w:r w:rsidRPr="00525DB6">
        <w:rPr>
          <w:rFonts w:ascii="ITC Avant Garde" w:hAnsi="ITC Avant Garde"/>
          <w:bCs/>
          <w:color w:val="000000"/>
          <w:sz w:val="22"/>
          <w:szCs w:val="22"/>
          <w:lang w:val="es-ES" w:eastAsia="es-MX"/>
        </w:rPr>
        <w:t>, considerando, entre otras, las nuevas condiciones técnico-operativas que al efecto se establezcan.</w:t>
      </w:r>
    </w:p>
    <w:p w14:paraId="7D0663CE" w14:textId="77777777" w:rsidR="009428AF" w:rsidRPr="00525DB6" w:rsidRDefault="009428AF" w:rsidP="009428AF">
      <w:pPr>
        <w:ind w:left="567"/>
        <w:jc w:val="both"/>
        <w:rPr>
          <w:rFonts w:ascii="ITC Avant Garde" w:eastAsia="Calibri" w:hAnsi="ITC Avant Garde"/>
          <w:bCs/>
          <w:color w:val="000000"/>
          <w:sz w:val="22"/>
          <w:szCs w:val="22"/>
          <w:lang w:eastAsia="es-MX"/>
        </w:rPr>
      </w:pPr>
    </w:p>
    <w:p w14:paraId="56FBA8B1" w14:textId="2F08191B" w:rsidR="00BD5905" w:rsidRPr="00525DB6" w:rsidRDefault="009428AF" w:rsidP="00B72009">
      <w:pPr>
        <w:ind w:left="567"/>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Con oficios 349-B-367 y 349-B-264 de fechas 28 de octubre de 2014 y 1 de julio de 2015, respectivamente, la Unidad de Política de Ingresos No Tributarios de la Secretaría de Hac</w:t>
      </w:r>
      <w:r w:rsidR="004C2B9C" w:rsidRPr="00525DB6">
        <w:rPr>
          <w:rFonts w:ascii="ITC Avant Garde" w:eastAsia="Calibri" w:hAnsi="ITC Avant Garde"/>
          <w:bCs/>
          <w:color w:val="000000"/>
          <w:sz w:val="22"/>
          <w:szCs w:val="22"/>
          <w:lang w:eastAsia="es-MX"/>
        </w:rPr>
        <w:t>ienda y Crédito Público autorizó</w:t>
      </w:r>
      <w:r w:rsidRPr="00525DB6">
        <w:rPr>
          <w:rFonts w:ascii="ITC Avant Garde" w:eastAsia="Calibri" w:hAnsi="ITC Avant Garde"/>
          <w:bCs/>
          <w:color w:val="000000"/>
          <w:sz w:val="22"/>
          <w:szCs w:val="22"/>
          <w:lang w:eastAsia="es-MX"/>
        </w:rPr>
        <w:t xml:space="preserve"> el cobr</w:t>
      </w:r>
      <w:r w:rsidR="0099574F" w:rsidRPr="00525DB6">
        <w:rPr>
          <w:rFonts w:ascii="ITC Avant Garde" w:eastAsia="Calibri" w:hAnsi="ITC Avant Garde"/>
          <w:bCs/>
          <w:color w:val="000000"/>
          <w:sz w:val="22"/>
          <w:szCs w:val="22"/>
          <w:lang w:eastAsia="es-MX"/>
        </w:rPr>
        <w:t xml:space="preserve">o del aprovechamiento que deberían </w:t>
      </w:r>
      <w:r w:rsidRPr="00525DB6">
        <w:rPr>
          <w:rFonts w:ascii="ITC Avant Garde" w:eastAsia="Calibri" w:hAnsi="ITC Avant Garde"/>
          <w:bCs/>
          <w:color w:val="000000"/>
          <w:sz w:val="22"/>
          <w:szCs w:val="22"/>
          <w:lang w:eastAsia="es-MX"/>
        </w:rPr>
        <w:t xml:space="preserve">pagar </w:t>
      </w:r>
      <w:r w:rsidR="0099574F" w:rsidRPr="00525DB6">
        <w:rPr>
          <w:rFonts w:ascii="ITC Avant Garde" w:eastAsia="Calibri" w:hAnsi="ITC Avant Garde"/>
          <w:bCs/>
          <w:color w:val="000000"/>
          <w:sz w:val="22"/>
          <w:szCs w:val="22"/>
          <w:lang w:eastAsia="es-MX"/>
        </w:rPr>
        <w:t xml:space="preserve">diversos concesionarios por las solicitudes de prórroga relacionadas con la prestación del servicio móvil de radiocomunicación especializada de flotillas, entre los que se encontraba, </w:t>
      </w:r>
      <w:proofErr w:type="spellStart"/>
      <w:r w:rsidRPr="00525DB6">
        <w:rPr>
          <w:rFonts w:ascii="ITC Avant Garde" w:eastAsia="Calibri" w:hAnsi="ITC Avant Garde"/>
          <w:bCs/>
          <w:color w:val="000000"/>
          <w:sz w:val="22"/>
          <w:szCs w:val="22"/>
          <w:lang w:eastAsia="es-MX"/>
        </w:rPr>
        <w:t>Troncatel</w:t>
      </w:r>
      <w:proofErr w:type="spellEnd"/>
      <w:r w:rsidRPr="00525DB6">
        <w:rPr>
          <w:rFonts w:ascii="ITC Avant Garde" w:eastAsia="Calibri" w:hAnsi="ITC Avant Garde"/>
          <w:bCs/>
          <w:color w:val="000000"/>
          <w:sz w:val="22"/>
          <w:szCs w:val="22"/>
          <w:lang w:eastAsia="es-MX"/>
        </w:rPr>
        <w:t>, S.A. de C.V., por el otorgamiento de la prórroga de la Concesión.</w:t>
      </w:r>
    </w:p>
    <w:p w14:paraId="64B7E8F6" w14:textId="77777777" w:rsidR="0099574F" w:rsidRPr="00525DB6" w:rsidRDefault="0099574F" w:rsidP="00B72009">
      <w:pPr>
        <w:ind w:left="567"/>
        <w:jc w:val="both"/>
        <w:rPr>
          <w:rFonts w:ascii="ITC Avant Garde" w:eastAsia="Calibri" w:hAnsi="ITC Avant Garde"/>
          <w:bCs/>
          <w:color w:val="000000"/>
          <w:sz w:val="22"/>
          <w:szCs w:val="22"/>
          <w:lang w:eastAsia="es-MX"/>
        </w:rPr>
      </w:pPr>
    </w:p>
    <w:p w14:paraId="243E3E3A" w14:textId="430BE4EC" w:rsidR="0099574F" w:rsidRPr="00525DB6" w:rsidRDefault="0099574F" w:rsidP="0099574F">
      <w:pPr>
        <w:pStyle w:val="Prrafodelista"/>
        <w:numPr>
          <w:ilvl w:val="0"/>
          <w:numId w:val="1"/>
        </w:numPr>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Actualización del monto del aprovechamiento autorizado por la Secretaría de Hacienda y Crédito Público.</w:t>
      </w:r>
      <w:r w:rsidRPr="00525DB6">
        <w:rPr>
          <w:rFonts w:ascii="ITC Avant Garde" w:eastAsia="Calibri" w:hAnsi="ITC Avant Garde"/>
          <w:bCs/>
          <w:color w:val="000000"/>
          <w:sz w:val="22"/>
          <w:szCs w:val="22"/>
          <w:lang w:eastAsia="es-MX"/>
        </w:rPr>
        <w:t xml:space="preserve"> Mediante oficio IFT/222/DG-EERO/008/2016 de fecha 11 de enero de 2016, la Dirección General de Economía del Espectro y Recursos Orbitales, adscrita a la Unidad de Espectro Radioeléctrico, actualizó al mes de enero de 2016, el monto de los aprovechamientos autorizados en su momento por la Secretaría de Hacienda y Crédito Público y que se señalan en el Antecedente X</w:t>
      </w:r>
      <w:r w:rsidR="009814FC">
        <w:rPr>
          <w:rFonts w:ascii="ITC Avant Garde" w:eastAsia="Calibri" w:hAnsi="ITC Avant Garde"/>
          <w:bCs/>
          <w:color w:val="000000"/>
          <w:sz w:val="22"/>
          <w:szCs w:val="22"/>
          <w:lang w:eastAsia="es-MX"/>
        </w:rPr>
        <w:t>I</w:t>
      </w:r>
      <w:r w:rsidRPr="00525DB6">
        <w:rPr>
          <w:rFonts w:ascii="ITC Avant Garde" w:eastAsia="Calibri" w:hAnsi="ITC Avant Garde"/>
          <w:bCs/>
          <w:color w:val="000000"/>
          <w:sz w:val="22"/>
          <w:szCs w:val="22"/>
          <w:lang w:eastAsia="es-MX"/>
        </w:rPr>
        <w:t xml:space="preserve">II de la presente Resolución. </w:t>
      </w:r>
    </w:p>
    <w:p w14:paraId="4AD79C02" w14:textId="77777777" w:rsidR="000B0759" w:rsidRPr="00525DB6" w:rsidRDefault="000B0759" w:rsidP="000B0759">
      <w:pPr>
        <w:jc w:val="both"/>
        <w:rPr>
          <w:rFonts w:ascii="ITC Avant Garde" w:eastAsia="Calibri" w:hAnsi="ITC Avant Garde"/>
          <w:bCs/>
          <w:color w:val="000000"/>
          <w:sz w:val="22"/>
          <w:szCs w:val="22"/>
          <w:lang w:eastAsia="es-MX"/>
        </w:rPr>
      </w:pPr>
    </w:p>
    <w:p w14:paraId="13A2B39D" w14:textId="3C02A169" w:rsidR="0036129A" w:rsidRPr="00525DB6" w:rsidRDefault="00A248D7" w:rsidP="007A2645">
      <w:pPr>
        <w:ind w:right="99"/>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 xml:space="preserve">En virtud de los antecedentes referidos, y </w:t>
      </w:r>
    </w:p>
    <w:p w14:paraId="35D52F70" w14:textId="77777777" w:rsidR="000B0759" w:rsidRPr="00525DB6" w:rsidRDefault="000B0759" w:rsidP="007A2645">
      <w:pPr>
        <w:ind w:right="99"/>
        <w:jc w:val="both"/>
        <w:rPr>
          <w:rFonts w:ascii="ITC Avant Garde" w:eastAsia="Calibri" w:hAnsi="ITC Avant Garde"/>
          <w:bCs/>
          <w:color w:val="000000"/>
          <w:sz w:val="22"/>
          <w:szCs w:val="22"/>
          <w:lang w:eastAsia="es-MX"/>
        </w:rPr>
      </w:pPr>
    </w:p>
    <w:p w14:paraId="6D19EBF4" w14:textId="77777777" w:rsidR="005131CB" w:rsidRPr="00FE3CB4" w:rsidRDefault="00A248D7" w:rsidP="00FE3CB4">
      <w:pPr>
        <w:pStyle w:val="Ttulo5"/>
        <w:rPr>
          <w:rFonts w:ascii="ITC Avant Garde" w:eastAsia="Calibri" w:hAnsi="ITC Avant Garde"/>
          <w:sz w:val="22"/>
          <w:szCs w:val="22"/>
          <w:lang w:eastAsia="es-MX"/>
        </w:rPr>
      </w:pPr>
      <w:r w:rsidRPr="00FE3CB4">
        <w:rPr>
          <w:rFonts w:ascii="ITC Avant Garde" w:eastAsia="Calibri" w:hAnsi="ITC Avant Garde"/>
          <w:sz w:val="22"/>
          <w:szCs w:val="22"/>
          <w:lang w:eastAsia="es-MX"/>
        </w:rPr>
        <w:t>CONSIDERANDO</w:t>
      </w:r>
    </w:p>
    <w:p w14:paraId="4E89AEEF" w14:textId="77777777" w:rsidR="000B0759" w:rsidRPr="00525DB6" w:rsidRDefault="000B0759" w:rsidP="007A2645">
      <w:pPr>
        <w:autoSpaceDE w:val="0"/>
        <w:autoSpaceDN w:val="0"/>
        <w:adjustRightInd w:val="0"/>
        <w:jc w:val="both"/>
        <w:rPr>
          <w:rFonts w:ascii="ITC Avant Garde" w:eastAsia="Calibri" w:hAnsi="ITC Avant Garde"/>
          <w:bCs/>
          <w:color w:val="000000"/>
          <w:sz w:val="22"/>
          <w:szCs w:val="22"/>
          <w:lang w:eastAsia="es-MX"/>
        </w:rPr>
      </w:pPr>
    </w:p>
    <w:p w14:paraId="09AFC6CE" w14:textId="77777777" w:rsidR="00E2588A" w:rsidRPr="00525DB6" w:rsidRDefault="005131CB" w:rsidP="00E2588A">
      <w:pPr>
        <w:autoSpaceDE w:val="0"/>
        <w:autoSpaceDN w:val="0"/>
        <w:adjustRightInd w:val="0"/>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Primero.- Competencia.</w:t>
      </w:r>
      <w:r w:rsidRPr="00525DB6">
        <w:rPr>
          <w:rFonts w:ascii="ITC Avant Garde" w:hAnsi="ITC Avant Garde" w:cstheme="minorHAnsi"/>
          <w:bCs/>
          <w:sz w:val="22"/>
          <w:szCs w:val="22"/>
        </w:rPr>
        <w:t xml:space="preserve"> </w:t>
      </w:r>
      <w:r w:rsidR="00E2588A" w:rsidRPr="00525DB6">
        <w:rPr>
          <w:rFonts w:ascii="ITC Avant Garde" w:eastAsia="Calibri" w:hAnsi="ITC Avant Garde"/>
          <w:bCs/>
          <w:color w:val="000000"/>
          <w:sz w:val="22"/>
          <w:szCs w:val="22"/>
          <w:lang w:eastAsia="es-MX"/>
        </w:rPr>
        <w:t>Conforme lo dispone el artículo 28 párrafo décimo quinto de la Constitución Política de los Estados Unidos Mexicanos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376A7FCA"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p>
    <w:p w14:paraId="0BB52FA5"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 xml:space="preserve">Asimismo, en términos del párrafo décimo sexto del artículo constitucional antes mencionado,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525DB6">
        <w:rPr>
          <w:rFonts w:ascii="ITC Avant Garde" w:eastAsia="Calibri" w:hAnsi="ITC Avant Garde"/>
          <w:bCs/>
          <w:color w:val="000000"/>
          <w:sz w:val="22"/>
          <w:szCs w:val="22"/>
          <w:lang w:eastAsia="es-MX"/>
        </w:rPr>
        <w:t>concesionamiento</w:t>
      </w:r>
      <w:proofErr w:type="spellEnd"/>
      <w:r w:rsidRPr="00525DB6">
        <w:rPr>
          <w:rFonts w:ascii="ITC Avant Garde" w:eastAsia="Calibri" w:hAnsi="ITC Avant Garde"/>
          <w:bCs/>
          <w:color w:val="000000"/>
          <w:sz w:val="22"/>
          <w:szCs w:val="22"/>
          <w:lang w:eastAsia="es-MX"/>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40F17674"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p>
    <w:p w14:paraId="0A5A0BBF"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Por su parte, el artículo Sexto Transitorio del Decreto de Ley establece que la atención, trámite y resolución de los asuntos y procedimientos iniciados con anterioridad a la entrada en vigor del mismo, como es el caso en particular, se realizará en los términos establecidos en el artículo Séptimo Transitorio del Decreto de Reforma Constitucional.</w:t>
      </w:r>
    </w:p>
    <w:p w14:paraId="3B815C6E"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p>
    <w:p w14:paraId="6CC3AAB8"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Al respecto, el Decreto de Reforma Constitucional establece en el segundo párrafo</w:t>
      </w:r>
      <w:r w:rsidRPr="00525DB6" w:rsidDel="002E62CB">
        <w:rPr>
          <w:rFonts w:ascii="ITC Avant Garde" w:eastAsia="Calibri" w:hAnsi="ITC Avant Garde"/>
          <w:bCs/>
          <w:color w:val="000000"/>
          <w:sz w:val="22"/>
          <w:szCs w:val="22"/>
          <w:lang w:eastAsia="es-MX"/>
        </w:rPr>
        <w:t xml:space="preserve"> </w:t>
      </w:r>
      <w:r w:rsidRPr="00525DB6">
        <w:rPr>
          <w:rFonts w:ascii="ITC Avant Garde" w:eastAsia="Calibri" w:hAnsi="ITC Avant Garde"/>
          <w:bCs/>
          <w:color w:val="000000"/>
          <w:sz w:val="22"/>
          <w:szCs w:val="22"/>
          <w:lang w:eastAsia="es-MX"/>
        </w:rPr>
        <w:t>del artículo Séptimo Transitorio que los procedimientos iniciados con anterioridad a la integración del Instituto, siendo el caso del asunto que nos ocupa, continuarán su trámite ante dicho órgano, en los términos de la legislación aplicable al momento de su inicio.</w:t>
      </w:r>
    </w:p>
    <w:p w14:paraId="29794EFB"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p>
    <w:p w14:paraId="2DD7A9A8"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Ahora bien, corresponde al Pleno del Instituto, conforme a lo establecido en los artículos 15 fracción IV y 17 fracción I de la Ley Federal de Telecomunicaciones y Radiodifusión (la “Ley”), el otorgamiento de concesiones, así como resolver respecto de las prórrogas, modificación o terminación de las mismas.</w:t>
      </w:r>
    </w:p>
    <w:p w14:paraId="45946DE5"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p>
    <w:p w14:paraId="6A48B831"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Por otra parte, en términos del artículo 6 fracción, I del Estatuto Orgánico, corresponde al Pleno del Instituto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02CF0D04"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p>
    <w:p w14:paraId="5C33046E"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Finalmente, conforme al artículo 33 fracción II del Estatuto Orgánico corresponde a la Dirección General de Concesiones de Telecomunicaciones, adscrita a la Unidad de Concesiones y Servicios, tramitar y evaluar, entre otras, las solicitudes de prórroga de las concesiones en materia de telecomunicaciones para someterlas a consideración del Pleno, previa opinión de la Unidad de Competencia Económica.</w:t>
      </w:r>
    </w:p>
    <w:p w14:paraId="2C3DCFB9"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p>
    <w:p w14:paraId="5A56BBEE" w14:textId="77777777" w:rsidR="00E2588A" w:rsidRPr="00525DB6" w:rsidRDefault="00E2588A" w:rsidP="00E2588A">
      <w:pPr>
        <w:pStyle w:val="Textoindependiente"/>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En este orden de ideas, resulta conveniente considerar que el Instituto está facultado para otorgar concesiones en materia de telecomunicaciones, así como resolver respecto de su prórroga, modificación o terminación, además de tener a su cargo la regulación, promoción y supervisión de las telecomunicaciones. En relación con lo anterior, el Pleno, como órgano máximo de gobierno y decisión del Instituto, se encuentra plenamente facultado para resolver la Solicitud de Prórroga de mérito.</w:t>
      </w:r>
    </w:p>
    <w:p w14:paraId="6D81E00D" w14:textId="77777777" w:rsidR="000B0759" w:rsidRPr="00525DB6" w:rsidRDefault="000B0759" w:rsidP="007A2645">
      <w:pPr>
        <w:pStyle w:val="Textoindependiente"/>
        <w:rPr>
          <w:rFonts w:ascii="ITC Avant Garde" w:eastAsia="Calibri" w:hAnsi="ITC Avant Garde"/>
          <w:bCs/>
          <w:color w:val="000000"/>
          <w:sz w:val="22"/>
          <w:szCs w:val="22"/>
          <w:lang w:eastAsia="es-MX"/>
        </w:rPr>
      </w:pPr>
    </w:p>
    <w:p w14:paraId="73C82B51" w14:textId="77777777" w:rsidR="00E2588A" w:rsidRPr="00525DB6" w:rsidRDefault="005131CB" w:rsidP="00E2588A">
      <w:pPr>
        <w:pStyle w:val="Textoindependiente"/>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 xml:space="preserve">Segundo.- </w:t>
      </w:r>
      <w:r w:rsidR="001F3658" w:rsidRPr="00525DB6">
        <w:rPr>
          <w:rFonts w:ascii="ITC Avant Garde" w:eastAsia="Calibri" w:hAnsi="ITC Avant Garde"/>
          <w:b/>
          <w:bCs/>
          <w:color w:val="000000"/>
          <w:sz w:val="22"/>
          <w:szCs w:val="22"/>
          <w:lang w:eastAsia="es-MX"/>
        </w:rPr>
        <w:t xml:space="preserve">Marco legal aplicable </w:t>
      </w:r>
      <w:r w:rsidR="006779A6" w:rsidRPr="00525DB6">
        <w:rPr>
          <w:rFonts w:ascii="ITC Avant Garde" w:eastAsia="Calibri" w:hAnsi="ITC Avant Garde"/>
          <w:b/>
          <w:bCs/>
          <w:color w:val="000000"/>
          <w:sz w:val="22"/>
          <w:szCs w:val="22"/>
          <w:lang w:eastAsia="es-MX"/>
        </w:rPr>
        <w:t xml:space="preserve">a la </w:t>
      </w:r>
      <w:r w:rsidR="00E25CC7" w:rsidRPr="00525DB6">
        <w:rPr>
          <w:rFonts w:ascii="ITC Avant Garde" w:eastAsia="Calibri" w:hAnsi="ITC Avant Garde"/>
          <w:b/>
          <w:bCs/>
          <w:color w:val="000000"/>
          <w:sz w:val="22"/>
          <w:szCs w:val="22"/>
          <w:lang w:eastAsia="es-MX"/>
        </w:rPr>
        <w:t>Solicitud de P</w:t>
      </w:r>
      <w:r w:rsidR="006779A6" w:rsidRPr="00525DB6">
        <w:rPr>
          <w:rFonts w:ascii="ITC Avant Garde" w:eastAsia="Calibri" w:hAnsi="ITC Avant Garde"/>
          <w:b/>
          <w:bCs/>
          <w:color w:val="000000"/>
          <w:sz w:val="22"/>
          <w:szCs w:val="22"/>
          <w:lang w:eastAsia="es-MX"/>
        </w:rPr>
        <w:t>rórroga</w:t>
      </w:r>
      <w:r w:rsidR="001F3658" w:rsidRPr="00525DB6">
        <w:rPr>
          <w:rFonts w:ascii="ITC Avant Garde" w:eastAsia="Calibri" w:hAnsi="ITC Avant Garde"/>
          <w:b/>
          <w:bCs/>
          <w:color w:val="000000"/>
          <w:sz w:val="22"/>
          <w:szCs w:val="22"/>
          <w:lang w:eastAsia="es-MX"/>
        </w:rPr>
        <w:t>.</w:t>
      </w:r>
      <w:r w:rsidR="001F3658" w:rsidRPr="00525DB6">
        <w:rPr>
          <w:rFonts w:ascii="ITC Avant Garde" w:hAnsi="ITC Avant Garde"/>
          <w:bCs/>
          <w:sz w:val="22"/>
          <w:szCs w:val="22"/>
        </w:rPr>
        <w:t xml:space="preserve"> </w:t>
      </w:r>
      <w:r w:rsidR="00E2588A" w:rsidRPr="00525DB6">
        <w:rPr>
          <w:rFonts w:ascii="ITC Avant Garde" w:eastAsia="Calibri" w:hAnsi="ITC Avant Garde"/>
          <w:bCs/>
          <w:color w:val="000000"/>
          <w:sz w:val="22"/>
          <w:szCs w:val="22"/>
          <w:lang w:eastAsia="es-MX"/>
        </w:rPr>
        <w:t>Como quedó señalado en el Considerando Primero, la atención, trámite y resolución de los asuntos y procedimientos iniciados con anterioridad a la entrada en vigor de la Ley, serán resueltos en los términos establecidos en el artículo Séptimo Transitorio del Decreto de Reforma Constitucional, por lo que la normatividad aplicable que establece los requisitos de procedencia para el análisis de la Solicitud de Prórroga se encuentra contenida en la Ley Federal de Telecomunicaciones (la “LFT)”.</w:t>
      </w:r>
    </w:p>
    <w:p w14:paraId="6132C83F"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p>
    <w:p w14:paraId="7439029C" w14:textId="77777777" w:rsidR="00E2588A" w:rsidRPr="00525DB6" w:rsidRDefault="00E2588A" w:rsidP="00E2588A">
      <w:pPr>
        <w:pStyle w:val="Textoindependiente"/>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En virtud de que la Solicitud de Prórroga se presentó durante la vigencia de la LFT, es aplicable lo señalado en los artículos 19 y 27 del citado ordenamiento, los cuales disponen lo siguiente:</w:t>
      </w:r>
    </w:p>
    <w:p w14:paraId="4A25FFD3" w14:textId="77777777" w:rsidR="00E2588A" w:rsidRPr="00525DB6" w:rsidRDefault="00E2588A" w:rsidP="00E2588A">
      <w:pPr>
        <w:pStyle w:val="Textoindependiente"/>
        <w:rPr>
          <w:rFonts w:ascii="ITC Avant Garde" w:eastAsia="Calibri" w:hAnsi="ITC Avant Garde"/>
          <w:bCs/>
          <w:color w:val="000000"/>
          <w:sz w:val="22"/>
          <w:szCs w:val="22"/>
          <w:lang w:eastAsia="es-MX"/>
        </w:rPr>
      </w:pPr>
    </w:p>
    <w:p w14:paraId="2ED423E2" w14:textId="77777777" w:rsidR="00E2588A" w:rsidRPr="00525DB6" w:rsidRDefault="00E2588A" w:rsidP="00E2588A">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525DB6">
        <w:rPr>
          <w:rFonts w:ascii="ITC Avant Garde" w:eastAsia="Calibri" w:hAnsi="ITC Avant Garde" w:cs="Times New Roman"/>
          <w:bCs/>
          <w:i/>
          <w:color w:val="000000"/>
          <w:sz w:val="16"/>
          <w:szCs w:val="16"/>
          <w:lang w:val="es-MX"/>
        </w:rPr>
        <w:t>“</w:t>
      </w:r>
      <w:r w:rsidRPr="00525DB6">
        <w:rPr>
          <w:rFonts w:ascii="ITC Avant Garde" w:eastAsia="Calibri" w:hAnsi="ITC Avant Garde" w:cs="Times New Roman"/>
          <w:b/>
          <w:bCs/>
          <w:i/>
          <w:color w:val="000000"/>
          <w:sz w:val="16"/>
          <w:szCs w:val="16"/>
          <w:lang w:val="es-MX"/>
        </w:rPr>
        <w:t>Artículo 19.</w:t>
      </w:r>
      <w:r w:rsidRPr="00525DB6">
        <w:rPr>
          <w:rFonts w:ascii="ITC Avant Garde" w:hAnsi="ITC Avant Garde" w:cs="Times New Roman"/>
          <w:b/>
          <w:bCs/>
          <w:i/>
          <w:color w:val="000000"/>
          <w:sz w:val="16"/>
          <w:szCs w:val="16"/>
          <w:lang w:val="es-ES"/>
        </w:rPr>
        <w:t xml:space="preserve"> </w:t>
      </w:r>
      <w:r w:rsidRPr="00525DB6">
        <w:rPr>
          <w:rFonts w:ascii="ITC Avant Garde" w:eastAsia="Calibri" w:hAnsi="ITC Avant Garde" w:cs="Times New Roman"/>
          <w:bCs/>
          <w:i/>
          <w:color w:val="000000"/>
          <w:sz w:val="16"/>
          <w:szCs w:val="16"/>
          <w:lang w:val="es-MX"/>
        </w:rPr>
        <w:t>Las concesiones sobre bandas de frecuencias se otorgarán por un plazo hasta de 20 años y podrán ser prorrogadas hasta por plazos iguales a los originalmente establecidos, a juicio de la Secretaría.</w:t>
      </w:r>
    </w:p>
    <w:p w14:paraId="1B7173F7" w14:textId="77777777" w:rsidR="00E2588A" w:rsidRPr="00525DB6" w:rsidRDefault="00E2588A" w:rsidP="00E2588A">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6A7A7C8E" w14:textId="77777777" w:rsidR="00E2588A" w:rsidRPr="00525DB6" w:rsidRDefault="00E2588A" w:rsidP="00E2588A">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525DB6">
        <w:rPr>
          <w:rFonts w:ascii="ITC Avant Garde" w:eastAsia="Calibri" w:hAnsi="ITC Avant Garde" w:cs="Times New Roman"/>
          <w:bCs/>
          <w:i/>
          <w:color w:val="000000"/>
          <w:sz w:val="16"/>
          <w:szCs w:val="16"/>
          <w:lang w:val="es-MX"/>
        </w:rPr>
        <w:t xml:space="preserve">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w:t>
      </w:r>
      <w:r w:rsidRPr="00525DB6">
        <w:rPr>
          <w:rFonts w:ascii="ITC Avant Garde" w:eastAsia="Calibri" w:hAnsi="ITC Avant Garde" w:cs="Times New Roman"/>
          <w:bCs/>
          <w:i/>
          <w:color w:val="000000"/>
          <w:sz w:val="16"/>
          <w:szCs w:val="16"/>
          <w:lang w:val="es-MX"/>
        </w:rPr>
        <w:lastRenderedPageBreak/>
        <w:t>Ley y demás disposiciones aplicables. La Secretaría resolverá lo conducente en un plazo no mayor a 180 días naturales.”</w:t>
      </w:r>
    </w:p>
    <w:p w14:paraId="78094BC5" w14:textId="77777777" w:rsidR="00E2588A" w:rsidRPr="00525DB6" w:rsidRDefault="00E2588A" w:rsidP="00E2588A">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17ACABE5" w14:textId="77777777" w:rsidR="00E2588A" w:rsidRPr="00525DB6" w:rsidRDefault="00E2588A" w:rsidP="00E2588A">
      <w:pPr>
        <w:autoSpaceDE w:val="0"/>
        <w:autoSpaceDN w:val="0"/>
        <w:adjustRightInd w:val="0"/>
        <w:jc w:val="both"/>
        <w:rPr>
          <w:rFonts w:ascii="ITC Avant Garde" w:eastAsia="Calibri" w:hAnsi="ITC Avant Garde"/>
          <w:bCs/>
          <w:color w:val="000000"/>
          <w:sz w:val="16"/>
          <w:szCs w:val="16"/>
          <w:lang w:eastAsia="es-MX"/>
        </w:rPr>
      </w:pPr>
    </w:p>
    <w:p w14:paraId="564B3640" w14:textId="77777777" w:rsidR="00E2588A" w:rsidRPr="00525DB6" w:rsidRDefault="00E2588A" w:rsidP="00E2588A">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525DB6">
        <w:rPr>
          <w:rFonts w:ascii="ITC Avant Garde" w:eastAsia="Calibri" w:hAnsi="ITC Avant Garde" w:cs="Times New Roman"/>
          <w:bCs/>
          <w:i/>
          <w:color w:val="000000"/>
          <w:sz w:val="16"/>
          <w:szCs w:val="16"/>
          <w:lang w:val="es-MX"/>
        </w:rPr>
        <w:t>“</w:t>
      </w:r>
      <w:r w:rsidRPr="00525DB6">
        <w:rPr>
          <w:rFonts w:ascii="ITC Avant Garde" w:eastAsia="Calibri" w:hAnsi="ITC Avant Garde" w:cs="Times New Roman"/>
          <w:b/>
          <w:bCs/>
          <w:i/>
          <w:color w:val="000000"/>
          <w:sz w:val="16"/>
          <w:szCs w:val="16"/>
          <w:lang w:val="es-MX"/>
        </w:rPr>
        <w:t>Artículo 27.</w:t>
      </w:r>
      <w:r w:rsidRPr="00525DB6">
        <w:rPr>
          <w:rFonts w:ascii="ITC Avant Garde" w:hAnsi="ITC Avant Garde" w:cs="Times New Roman"/>
          <w:b/>
          <w:bCs/>
          <w:i/>
          <w:color w:val="000000"/>
          <w:sz w:val="16"/>
          <w:szCs w:val="16"/>
          <w:lang w:val="es-ES"/>
        </w:rPr>
        <w:t xml:space="preserve"> </w:t>
      </w:r>
      <w:r w:rsidRPr="00525DB6">
        <w:rPr>
          <w:rFonts w:ascii="ITC Avant Garde" w:eastAsia="Calibri" w:hAnsi="ITC Avant Garde" w:cs="Times New Roman"/>
          <w:bCs/>
          <w:i/>
          <w:color w:val="000000"/>
          <w:sz w:val="16"/>
          <w:szCs w:val="16"/>
          <w:lang w:val="es-MX"/>
        </w:rPr>
        <w:t>Las concesiones sobre redes públicas de telecomunicaciones se otorgarán por un plazo hasta de 30 años y podrán ser prorrogadas hasta por plazos iguales a los originalmente establecidos.</w:t>
      </w:r>
    </w:p>
    <w:p w14:paraId="1E6D08B9" w14:textId="77777777" w:rsidR="00E2588A" w:rsidRPr="00525DB6" w:rsidRDefault="00E2588A" w:rsidP="00E2588A">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57F46205" w14:textId="77777777" w:rsidR="00E2588A" w:rsidRPr="00525DB6" w:rsidRDefault="00E2588A" w:rsidP="00E2588A">
      <w:pPr>
        <w:pStyle w:val="texto"/>
        <w:spacing w:after="0" w:line="240" w:lineRule="auto"/>
        <w:ind w:left="567" w:right="670" w:firstLine="4"/>
        <w:rPr>
          <w:rFonts w:ascii="ITC Avant Garde" w:eastAsia="Calibri" w:hAnsi="ITC Avant Garde" w:cs="Times New Roman"/>
          <w:bCs/>
          <w:i/>
          <w:color w:val="000000"/>
          <w:sz w:val="22"/>
          <w:szCs w:val="22"/>
          <w:lang w:val="es-MX"/>
        </w:rPr>
      </w:pPr>
      <w:r w:rsidRPr="00525DB6">
        <w:rPr>
          <w:rFonts w:ascii="ITC Avant Garde" w:eastAsia="Calibri" w:hAnsi="ITC Avant Garde" w:cs="Times New Roman"/>
          <w:bCs/>
          <w:i/>
          <w:color w:val="000000"/>
          <w:sz w:val="16"/>
          <w:szCs w:val="16"/>
          <w:lang w:val="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5561383A" w14:textId="77777777" w:rsidR="00E2588A" w:rsidRPr="00525DB6" w:rsidRDefault="00E2588A" w:rsidP="00E2588A">
      <w:pPr>
        <w:autoSpaceDE w:val="0"/>
        <w:autoSpaceDN w:val="0"/>
        <w:adjustRightInd w:val="0"/>
        <w:jc w:val="both"/>
        <w:rPr>
          <w:rFonts w:ascii="ITC Avant Garde" w:eastAsia="Calibri" w:hAnsi="ITC Avant Garde"/>
          <w:bCs/>
          <w:color w:val="000000"/>
          <w:sz w:val="22"/>
          <w:szCs w:val="22"/>
          <w:lang w:eastAsia="es-MX"/>
        </w:rPr>
      </w:pPr>
    </w:p>
    <w:p w14:paraId="64D9A4B2" w14:textId="77777777" w:rsidR="00255412" w:rsidRPr="00525DB6" w:rsidRDefault="00255412" w:rsidP="00255412">
      <w:pPr>
        <w:autoSpaceDE w:val="0"/>
        <w:autoSpaceDN w:val="0"/>
        <w:adjustRightInd w:val="0"/>
        <w:jc w:val="both"/>
        <w:rPr>
          <w:rFonts w:ascii="ITC Avant Garde" w:hAnsi="ITC Avant Garde"/>
          <w:bCs/>
          <w:sz w:val="22"/>
          <w:szCs w:val="22"/>
        </w:rPr>
      </w:pPr>
      <w:r w:rsidRPr="00525DB6">
        <w:rPr>
          <w:rFonts w:ascii="ITC Avant Garde" w:eastAsia="Calibri" w:hAnsi="ITC Avant Garde"/>
          <w:bCs/>
          <w:color w:val="000000"/>
          <w:sz w:val="22"/>
          <w:szCs w:val="22"/>
          <w:lang w:eastAsia="es-MX"/>
        </w:rPr>
        <w:t xml:space="preserve">Por otra parte, si bien es cierto que el análisis que realice el Instituto respecto de la Solicitud de Prórroga debe llevarse a cabo en estricto apego a los términos y requisitos previstos en la LFT, </w:t>
      </w:r>
      <w:r w:rsidRPr="00525DB6">
        <w:rPr>
          <w:rFonts w:ascii="ITC Avant Garde" w:hAnsi="ITC Avant Garde"/>
          <w:bCs/>
          <w:color w:val="000000"/>
          <w:sz w:val="22"/>
          <w:szCs w:val="22"/>
          <w:lang w:eastAsia="es-MX"/>
        </w:rPr>
        <w:t xml:space="preserve">disposición legal vigente al momento de iniciar el trámite de la Solicitud de Prórroga de mérito, también lo es que el Instituto, al resolver en definitiva dicha Solicitud de Prórroga, debe apegarse al procedimiento de </w:t>
      </w:r>
      <w:proofErr w:type="spellStart"/>
      <w:r w:rsidRPr="00525DB6">
        <w:rPr>
          <w:rFonts w:ascii="ITC Avant Garde" w:hAnsi="ITC Avant Garde"/>
          <w:bCs/>
          <w:color w:val="000000"/>
          <w:sz w:val="22"/>
          <w:szCs w:val="22"/>
          <w:lang w:eastAsia="es-MX"/>
        </w:rPr>
        <w:t>concesionamiento</w:t>
      </w:r>
      <w:proofErr w:type="spellEnd"/>
      <w:r w:rsidRPr="00525DB6">
        <w:rPr>
          <w:rFonts w:ascii="ITC Avant Garde" w:hAnsi="ITC Avant Garde"/>
          <w:bCs/>
          <w:color w:val="000000"/>
          <w:sz w:val="22"/>
          <w:szCs w:val="22"/>
          <w:lang w:eastAsia="es-MX"/>
        </w:rPr>
        <w:t xml:space="preserve"> que se encuentra previsto en la Ley. Es por ello que en la resolución del trámite de la Solicitud de Prórroga, debe observarse el actual régimen de </w:t>
      </w:r>
      <w:proofErr w:type="spellStart"/>
      <w:r w:rsidRPr="00525DB6">
        <w:rPr>
          <w:rFonts w:ascii="ITC Avant Garde" w:hAnsi="ITC Avant Garde"/>
          <w:bCs/>
          <w:color w:val="000000"/>
          <w:sz w:val="22"/>
          <w:szCs w:val="22"/>
          <w:lang w:eastAsia="es-MX"/>
        </w:rPr>
        <w:t>concesionamiento</w:t>
      </w:r>
      <w:proofErr w:type="spellEnd"/>
      <w:r w:rsidRPr="00525DB6">
        <w:rPr>
          <w:rFonts w:ascii="ITC Avant Garde" w:hAnsi="ITC Avant Garde"/>
          <w:bCs/>
          <w:color w:val="000000"/>
          <w:sz w:val="22"/>
          <w:szCs w:val="22"/>
          <w:lang w:eastAsia="es-MX"/>
        </w:rPr>
        <w:t xml:space="preserve"> previsto en los </w:t>
      </w:r>
      <w:r w:rsidRPr="00525DB6">
        <w:rPr>
          <w:rFonts w:ascii="ITC Avant Garde" w:hAnsi="ITC Avant Garde"/>
          <w:bCs/>
          <w:sz w:val="22"/>
          <w:szCs w:val="22"/>
        </w:rPr>
        <w:t xml:space="preserve">artículos 66 y 67 </w:t>
      </w:r>
      <w:proofErr w:type="gramStart"/>
      <w:r w:rsidRPr="00525DB6">
        <w:rPr>
          <w:rFonts w:ascii="ITC Avant Garde" w:hAnsi="ITC Avant Garde"/>
          <w:bCs/>
          <w:sz w:val="22"/>
          <w:szCs w:val="22"/>
        </w:rPr>
        <w:t>fracción</w:t>
      </w:r>
      <w:proofErr w:type="gramEnd"/>
      <w:r w:rsidRPr="00525DB6">
        <w:rPr>
          <w:rFonts w:ascii="ITC Avant Garde" w:hAnsi="ITC Avant Garde"/>
          <w:bCs/>
          <w:sz w:val="22"/>
          <w:szCs w:val="22"/>
        </w:rPr>
        <w:t xml:space="preserve"> I, así como 75 y 76 de la Ley.</w:t>
      </w:r>
    </w:p>
    <w:p w14:paraId="3B685F1C" w14:textId="77777777" w:rsidR="00E2588A" w:rsidRPr="00525DB6" w:rsidRDefault="00E2588A" w:rsidP="00E2588A">
      <w:pPr>
        <w:pStyle w:val="Textoindependiente"/>
        <w:rPr>
          <w:rFonts w:ascii="ITC Avant Garde" w:hAnsi="ITC Avant Garde"/>
          <w:bCs/>
          <w:sz w:val="22"/>
          <w:szCs w:val="22"/>
        </w:rPr>
      </w:pPr>
    </w:p>
    <w:p w14:paraId="1879F2AC" w14:textId="11B9DCD6" w:rsidR="004527C9" w:rsidRPr="00525DB6" w:rsidRDefault="004527C9" w:rsidP="004527C9">
      <w:pPr>
        <w:tabs>
          <w:tab w:val="num" w:pos="540"/>
        </w:tabs>
        <w:jc w:val="both"/>
        <w:rPr>
          <w:rFonts w:ascii="ITC Avant Garde" w:hAnsi="ITC Avant Garde"/>
          <w:bCs/>
          <w:sz w:val="22"/>
          <w:szCs w:val="22"/>
        </w:rPr>
      </w:pPr>
      <w:r w:rsidRPr="00525DB6">
        <w:rPr>
          <w:rFonts w:ascii="ITC Avant Garde" w:hAnsi="ITC Avant Garde"/>
          <w:bCs/>
          <w:sz w:val="22"/>
          <w:szCs w:val="22"/>
        </w:rPr>
        <w:t>Finalmente, en seguimiento a otras disposiciones legales aplicables, y atendiendo al tipo de título sobre el cual se solicitó la prórroga que nos ocupa originalmente, debe acatarse el requisito de procedencia señalado por los artículos 93 fracción III y 94 fracción III de la Ley Federal de Derechos, vigente al momento de presentar la Solicitud de Prórroga.</w:t>
      </w:r>
    </w:p>
    <w:p w14:paraId="523EF2FE" w14:textId="77777777" w:rsidR="000B0759" w:rsidRPr="00525DB6" w:rsidRDefault="000B0759" w:rsidP="007A2645">
      <w:pPr>
        <w:autoSpaceDE w:val="0"/>
        <w:autoSpaceDN w:val="0"/>
        <w:adjustRightInd w:val="0"/>
        <w:jc w:val="both"/>
        <w:rPr>
          <w:rFonts w:ascii="ITC Avant Garde" w:hAnsi="ITC Avant Garde"/>
          <w:bCs/>
          <w:sz w:val="22"/>
          <w:szCs w:val="22"/>
        </w:rPr>
      </w:pPr>
    </w:p>
    <w:p w14:paraId="101CB39A" w14:textId="77777777" w:rsidR="00E2588A" w:rsidRPr="00525DB6" w:rsidRDefault="00E2588A" w:rsidP="00E2588A">
      <w:pPr>
        <w:autoSpaceDE w:val="0"/>
        <w:autoSpaceDN w:val="0"/>
        <w:adjustRightInd w:val="0"/>
        <w:contextualSpacing/>
        <w:jc w:val="both"/>
        <w:rPr>
          <w:rFonts w:ascii="ITC Avant Garde" w:hAnsi="ITC Avant Garde"/>
          <w:bCs/>
          <w:sz w:val="22"/>
          <w:szCs w:val="22"/>
        </w:rPr>
      </w:pPr>
      <w:r w:rsidRPr="00525DB6">
        <w:rPr>
          <w:rFonts w:ascii="ITC Avant Garde" w:hAnsi="ITC Avant Garde"/>
          <w:b/>
          <w:bCs/>
          <w:sz w:val="22"/>
          <w:szCs w:val="22"/>
        </w:rPr>
        <w:t>Tercero.- Otorgamiento de Concesión Única para uso Comercial.</w:t>
      </w:r>
      <w:r w:rsidRPr="00525DB6">
        <w:rPr>
          <w:rFonts w:ascii="ITC Avant Garde" w:hAnsi="ITC Avant Garde"/>
          <w:bCs/>
          <w:sz w:val="22"/>
          <w:szCs w:val="22"/>
        </w:rPr>
        <w:t xml:space="preserve"> Si bien es cierto que el artículo 72 de la Ley únicamente señala a las concesiones únicas como susceptibles de prórroga de su vigencia,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a la interpretación de que los mismos no se encuentran regulados por el actual marco normativo.</w:t>
      </w:r>
    </w:p>
    <w:p w14:paraId="3822E799" w14:textId="77777777" w:rsidR="00E2588A" w:rsidRPr="00525DB6" w:rsidRDefault="00E2588A" w:rsidP="00E2588A">
      <w:pPr>
        <w:autoSpaceDE w:val="0"/>
        <w:autoSpaceDN w:val="0"/>
        <w:adjustRightInd w:val="0"/>
        <w:jc w:val="both"/>
        <w:rPr>
          <w:rFonts w:ascii="ITC Avant Garde" w:hAnsi="ITC Avant Garde"/>
          <w:bCs/>
          <w:sz w:val="22"/>
          <w:szCs w:val="22"/>
        </w:rPr>
      </w:pPr>
    </w:p>
    <w:p w14:paraId="2E1BAB74" w14:textId="77777777" w:rsidR="00E2588A" w:rsidRPr="00525DB6" w:rsidRDefault="00E2588A" w:rsidP="00E2588A">
      <w:pPr>
        <w:autoSpaceDE w:val="0"/>
        <w:autoSpaceDN w:val="0"/>
        <w:adjustRightInd w:val="0"/>
        <w:jc w:val="both"/>
        <w:rPr>
          <w:rFonts w:ascii="ITC Avant Garde" w:hAnsi="ITC Avant Garde"/>
          <w:bCs/>
          <w:sz w:val="22"/>
          <w:szCs w:val="22"/>
        </w:rPr>
      </w:pPr>
      <w:r w:rsidRPr="00525DB6">
        <w:rPr>
          <w:rFonts w:ascii="ITC Avant Garde" w:hAnsi="ITC Avant Garde"/>
          <w:bCs/>
          <w:sz w:val="22"/>
          <w:szCs w:val="22"/>
        </w:rPr>
        <w:t xml:space="preserve">Así, no debe pasarse por alto que los servicios de telecomunicaciones que se prestan al amparo de la Concesión, devienen en servicios públicos de interés general en virtud de lo señalado por el artículo 6o. Apartado B fracción II de la Constitución, por lo que el Estado debe garantizar que los mismos sean prestados en condiciones de competencia y continuidad, entre otras. </w:t>
      </w:r>
    </w:p>
    <w:p w14:paraId="768D56EE" w14:textId="77777777" w:rsidR="00E2588A" w:rsidRPr="00525DB6" w:rsidRDefault="00E2588A" w:rsidP="00E2588A">
      <w:pPr>
        <w:autoSpaceDE w:val="0"/>
        <w:autoSpaceDN w:val="0"/>
        <w:adjustRightInd w:val="0"/>
        <w:jc w:val="both"/>
        <w:rPr>
          <w:rFonts w:ascii="ITC Avant Garde" w:hAnsi="ITC Avant Garde"/>
          <w:bCs/>
          <w:sz w:val="22"/>
          <w:szCs w:val="22"/>
        </w:rPr>
      </w:pPr>
    </w:p>
    <w:p w14:paraId="274CE7D7" w14:textId="77777777" w:rsidR="00E2588A" w:rsidRPr="00525DB6" w:rsidRDefault="00E2588A" w:rsidP="00E2588A">
      <w:pPr>
        <w:autoSpaceDE w:val="0"/>
        <w:autoSpaceDN w:val="0"/>
        <w:adjustRightInd w:val="0"/>
        <w:jc w:val="both"/>
        <w:rPr>
          <w:rFonts w:ascii="ITC Avant Garde" w:hAnsi="ITC Avant Garde"/>
          <w:bCs/>
          <w:sz w:val="22"/>
          <w:szCs w:val="22"/>
        </w:rPr>
      </w:pPr>
      <w:r w:rsidRPr="00525DB6">
        <w:rPr>
          <w:rFonts w:ascii="ITC Avant Garde" w:hAnsi="ITC Avant Garde"/>
          <w:bCs/>
          <w:sz w:val="22"/>
          <w:szCs w:val="22"/>
        </w:rPr>
        <w:t xml:space="preserve">En ese sentido, el artículo 3 </w:t>
      </w:r>
      <w:proofErr w:type="gramStart"/>
      <w:r w:rsidRPr="00525DB6">
        <w:rPr>
          <w:rFonts w:ascii="ITC Avant Garde" w:hAnsi="ITC Avant Garde"/>
          <w:bCs/>
          <w:sz w:val="22"/>
          <w:szCs w:val="22"/>
        </w:rPr>
        <w:t>fracción</w:t>
      </w:r>
      <w:proofErr w:type="gramEnd"/>
      <w:r w:rsidRPr="00525DB6">
        <w:rPr>
          <w:rFonts w:ascii="ITC Avant Garde" w:hAnsi="ITC Avant Garde"/>
          <w:bCs/>
          <w:sz w:val="22"/>
          <w:szCs w:val="22"/>
        </w:rPr>
        <w:t xml:space="preserve"> XII de la Ley define a la concesión única como el acto administrativo mediante el cual el Instituto confiere el derecho para prestar de manera convergente todo tipo de servicios públicos de telecomunicaciones o radiodifusión.</w:t>
      </w:r>
    </w:p>
    <w:p w14:paraId="4C66F4DA" w14:textId="77777777" w:rsidR="00E2588A" w:rsidRPr="00525DB6" w:rsidRDefault="00E2588A" w:rsidP="00E2588A">
      <w:pPr>
        <w:autoSpaceDE w:val="0"/>
        <w:autoSpaceDN w:val="0"/>
        <w:adjustRightInd w:val="0"/>
        <w:jc w:val="both"/>
        <w:rPr>
          <w:rFonts w:ascii="ITC Avant Garde" w:hAnsi="ITC Avant Garde"/>
          <w:bCs/>
          <w:sz w:val="22"/>
          <w:szCs w:val="22"/>
        </w:rPr>
      </w:pPr>
    </w:p>
    <w:p w14:paraId="24CC2F8E" w14:textId="77777777" w:rsidR="00E2588A" w:rsidRPr="00525DB6" w:rsidRDefault="00E2588A" w:rsidP="00E2588A">
      <w:pPr>
        <w:autoSpaceDE w:val="0"/>
        <w:autoSpaceDN w:val="0"/>
        <w:adjustRightInd w:val="0"/>
        <w:jc w:val="both"/>
        <w:rPr>
          <w:rFonts w:ascii="ITC Avant Garde" w:hAnsi="ITC Avant Garde"/>
          <w:bCs/>
          <w:sz w:val="22"/>
          <w:szCs w:val="22"/>
        </w:rPr>
      </w:pPr>
      <w:r w:rsidRPr="00525DB6">
        <w:rPr>
          <w:rFonts w:ascii="ITC Avant Garde" w:hAnsi="ITC Avant Garde"/>
          <w:bCs/>
          <w:sz w:val="22"/>
          <w:szCs w:val="22"/>
        </w:rPr>
        <w:t>Derivado de lo anterior y como ya ha sido resuelto previamente por el Instituto, para el caso de solicitudes de prórroga de vigencia de concesiones de redes públicas de telecomunicaciones que el Instituto resuelva de manera favorable, la regla general implica, como consecuencia, el otorgamiento de una concesión única.</w:t>
      </w:r>
    </w:p>
    <w:p w14:paraId="484924B1" w14:textId="77777777" w:rsidR="00E2588A" w:rsidRPr="00525DB6" w:rsidRDefault="00E2588A" w:rsidP="00E2588A">
      <w:pPr>
        <w:autoSpaceDE w:val="0"/>
        <w:autoSpaceDN w:val="0"/>
        <w:adjustRightInd w:val="0"/>
        <w:jc w:val="both"/>
        <w:rPr>
          <w:rFonts w:ascii="ITC Avant Garde" w:hAnsi="ITC Avant Garde"/>
          <w:bCs/>
          <w:sz w:val="22"/>
          <w:szCs w:val="22"/>
        </w:rPr>
      </w:pPr>
    </w:p>
    <w:p w14:paraId="3911666E" w14:textId="77777777" w:rsidR="00E2588A" w:rsidRPr="00525DB6" w:rsidRDefault="00E2588A" w:rsidP="00E2588A">
      <w:pPr>
        <w:autoSpaceDE w:val="0"/>
        <w:autoSpaceDN w:val="0"/>
        <w:adjustRightInd w:val="0"/>
        <w:jc w:val="both"/>
        <w:rPr>
          <w:rFonts w:ascii="ITC Avant Garde" w:hAnsi="ITC Avant Garde"/>
          <w:bCs/>
          <w:sz w:val="22"/>
          <w:szCs w:val="22"/>
        </w:rPr>
      </w:pPr>
      <w:r w:rsidRPr="00525DB6">
        <w:rPr>
          <w:rFonts w:ascii="ITC Avant Garde" w:hAnsi="ITC Avant Garde"/>
          <w:bCs/>
          <w:sz w:val="22"/>
          <w:szCs w:val="22"/>
        </w:rPr>
        <w:t xml:space="preserve">Es por ello que, en la resolución que emita el Instituto respecto de la Solicitud de Prórroga, debe observarse el actual régimen de </w:t>
      </w:r>
      <w:proofErr w:type="spellStart"/>
      <w:r w:rsidRPr="00525DB6">
        <w:rPr>
          <w:rFonts w:ascii="ITC Avant Garde" w:hAnsi="ITC Avant Garde"/>
          <w:bCs/>
          <w:sz w:val="22"/>
          <w:szCs w:val="22"/>
        </w:rPr>
        <w:t>concesionamiento</w:t>
      </w:r>
      <w:proofErr w:type="spellEnd"/>
      <w:r w:rsidRPr="00525DB6">
        <w:rPr>
          <w:rFonts w:ascii="ITC Avant Garde" w:hAnsi="ITC Avant Garde"/>
          <w:bCs/>
          <w:sz w:val="22"/>
          <w:szCs w:val="22"/>
        </w:rPr>
        <w:t xml:space="preserve">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telecomunicaciones y de radiodifusión con fines de lucro, utilizando para ello una red pública de telecomunicaciones, como sucede en el caso que nos ocupa.</w:t>
      </w:r>
    </w:p>
    <w:p w14:paraId="0DCD9F27" w14:textId="77777777" w:rsidR="00E2588A" w:rsidRPr="00525DB6" w:rsidRDefault="00E2588A" w:rsidP="00E2588A">
      <w:pPr>
        <w:pStyle w:val="Textoindependiente"/>
        <w:spacing w:line="230" w:lineRule="auto"/>
        <w:rPr>
          <w:rFonts w:ascii="ITC Avant Garde" w:hAnsi="ITC Avant Garde"/>
          <w:b/>
          <w:bCs/>
          <w:color w:val="000000"/>
          <w:sz w:val="22"/>
          <w:szCs w:val="22"/>
          <w:lang w:val="es-ES" w:eastAsia="es-MX"/>
        </w:rPr>
      </w:pPr>
    </w:p>
    <w:p w14:paraId="245F4B59" w14:textId="77777777" w:rsidR="00E2588A" w:rsidRPr="00525DB6" w:rsidRDefault="00E2588A" w:rsidP="00E2588A">
      <w:pPr>
        <w:ind w:right="-94"/>
        <w:jc w:val="both"/>
        <w:rPr>
          <w:rFonts w:ascii="ITC Avant Garde" w:hAnsi="ITC Avant Garde"/>
          <w:bCs/>
          <w:sz w:val="22"/>
          <w:szCs w:val="22"/>
        </w:rPr>
      </w:pPr>
      <w:r w:rsidRPr="00525DB6">
        <w:rPr>
          <w:rFonts w:ascii="ITC Avant Garde" w:hAnsi="ITC Avant Garde"/>
          <w:b/>
          <w:bCs/>
          <w:sz w:val="22"/>
          <w:szCs w:val="22"/>
        </w:rPr>
        <w:t>Cuarto.- Otorgamiento de Concesión de Bandas de Frecuencias para uso Comercial.</w:t>
      </w:r>
      <w:r w:rsidRPr="00525DB6">
        <w:rPr>
          <w:rFonts w:ascii="ITC Avant Garde" w:hAnsi="ITC Avant Garde"/>
          <w:bCs/>
          <w:sz w:val="22"/>
          <w:szCs w:val="22"/>
        </w:rPr>
        <w:t xml:space="preserve"> El artículo 10 </w:t>
      </w:r>
      <w:proofErr w:type="gramStart"/>
      <w:r w:rsidRPr="00525DB6">
        <w:rPr>
          <w:rFonts w:ascii="ITC Avant Garde" w:hAnsi="ITC Avant Garde"/>
          <w:bCs/>
          <w:sz w:val="22"/>
          <w:szCs w:val="22"/>
        </w:rPr>
        <w:t>fracción</w:t>
      </w:r>
      <w:proofErr w:type="gramEnd"/>
      <w:r w:rsidRPr="00525DB6">
        <w:rPr>
          <w:rFonts w:ascii="ITC Avant Garde" w:hAnsi="ITC Avant Garde"/>
          <w:bCs/>
          <w:sz w:val="22"/>
          <w:szCs w:val="22"/>
        </w:rPr>
        <w:t xml:space="preserve"> II de la LFT señalaba que el espectro para usos determinados eran aquellas bandas de frecuencias otorgadas mediante concesión y que podían ser utilizadas para los servicios que autorizara la Secretaría en el título correspondiente. Por su parte, el artículo 11 </w:t>
      </w:r>
      <w:proofErr w:type="gramStart"/>
      <w:r w:rsidRPr="00525DB6">
        <w:rPr>
          <w:rFonts w:ascii="ITC Avant Garde" w:hAnsi="ITC Avant Garde"/>
          <w:bCs/>
          <w:sz w:val="22"/>
          <w:szCs w:val="22"/>
        </w:rPr>
        <w:t>fracción</w:t>
      </w:r>
      <w:proofErr w:type="gramEnd"/>
      <w:r w:rsidRPr="00525DB6">
        <w:rPr>
          <w:rFonts w:ascii="ITC Avant Garde" w:hAnsi="ITC Avant Garde"/>
          <w:bCs/>
          <w:sz w:val="22"/>
          <w:szCs w:val="22"/>
        </w:rPr>
        <w:t xml:space="preserve"> I del citado ordenamiento establecía que se requería concesión para usar, aprovechar o explotar una banda de frecuencias en el territorio nacional. </w:t>
      </w:r>
    </w:p>
    <w:p w14:paraId="76DA674D" w14:textId="77777777" w:rsidR="00E2588A" w:rsidRPr="00525DB6" w:rsidRDefault="00E2588A" w:rsidP="00E2588A">
      <w:pPr>
        <w:ind w:right="-94"/>
        <w:jc w:val="both"/>
        <w:rPr>
          <w:rFonts w:ascii="ITC Avant Garde" w:hAnsi="ITC Avant Garde"/>
          <w:bCs/>
          <w:sz w:val="22"/>
          <w:szCs w:val="22"/>
        </w:rPr>
      </w:pPr>
    </w:p>
    <w:p w14:paraId="33B9EA3D" w14:textId="77777777" w:rsidR="00E2588A" w:rsidRPr="00525DB6" w:rsidRDefault="00E2588A" w:rsidP="00E2588A">
      <w:pPr>
        <w:ind w:right="-94"/>
        <w:jc w:val="both"/>
        <w:rPr>
          <w:rFonts w:ascii="ITC Avant Garde" w:hAnsi="ITC Avant Garde"/>
          <w:bCs/>
          <w:sz w:val="22"/>
          <w:szCs w:val="22"/>
        </w:rPr>
      </w:pPr>
      <w:r w:rsidRPr="00525DB6">
        <w:rPr>
          <w:rFonts w:ascii="ITC Avant Garde" w:hAnsi="ITC Avant Garde"/>
          <w:bCs/>
          <w:sz w:val="22"/>
          <w:szCs w:val="22"/>
        </w:rPr>
        <w:t xml:space="preserve">Por su parte, el artículo 3 fracción XIII de la Ley define a la concesión de espectro radioeléctrico como el acto administrativo mediante el cual el Instituto confiere el derecho para usar, aprovechar o explotar bandas de frecuencia del espectro radioeléctrico, en los términos y modalidades establecidos en dicha Ley. Al respecto, el artículo 76 de la Ley establece una nueva clasificación para este tipo de concesiones de acuerdo a sus fines, entre las que destaca la concesión para uso comercial, que de acuerdo al artículo 76 fracción I, confiere el derecho a personas físicas y morales para usar, aprovechar y explotar bandas de frecuencias del espectro radioeléctrico de uso determinado, con fines de lucro. </w:t>
      </w:r>
    </w:p>
    <w:p w14:paraId="7E5BE3F9" w14:textId="77777777" w:rsidR="00E2588A" w:rsidRPr="00525DB6" w:rsidRDefault="00E2588A" w:rsidP="00E2588A">
      <w:pPr>
        <w:ind w:right="-94"/>
        <w:jc w:val="both"/>
        <w:rPr>
          <w:rFonts w:ascii="ITC Avant Garde" w:hAnsi="ITC Avant Garde"/>
          <w:bCs/>
          <w:sz w:val="22"/>
          <w:szCs w:val="22"/>
        </w:rPr>
      </w:pPr>
    </w:p>
    <w:p w14:paraId="2645C20B" w14:textId="1B2CF724" w:rsidR="00E2588A" w:rsidRPr="00525DB6" w:rsidRDefault="00E2588A" w:rsidP="00E2588A">
      <w:pPr>
        <w:ind w:right="-94"/>
        <w:jc w:val="both"/>
        <w:rPr>
          <w:rFonts w:ascii="ITC Avant Garde" w:hAnsi="ITC Avant Garde"/>
          <w:bCs/>
          <w:sz w:val="22"/>
          <w:szCs w:val="22"/>
        </w:rPr>
      </w:pPr>
      <w:r w:rsidRPr="00525DB6">
        <w:rPr>
          <w:rFonts w:ascii="ITC Avant Garde" w:hAnsi="ITC Avant Garde"/>
          <w:bCs/>
          <w:sz w:val="22"/>
          <w:szCs w:val="22"/>
        </w:rPr>
        <w:t xml:space="preserve">Atendiendo a lo anterior, la prórroga de vigencia de la Concesión debe otorgarse atendiendo a lo dispuesto por el nuevo régimen de </w:t>
      </w:r>
      <w:proofErr w:type="spellStart"/>
      <w:r w:rsidRPr="00525DB6">
        <w:rPr>
          <w:rFonts w:ascii="ITC Avant Garde" w:hAnsi="ITC Avant Garde"/>
          <w:bCs/>
          <w:sz w:val="22"/>
          <w:szCs w:val="22"/>
        </w:rPr>
        <w:t>concesionamiento</w:t>
      </w:r>
      <w:proofErr w:type="spellEnd"/>
      <w:r w:rsidRPr="00525DB6">
        <w:rPr>
          <w:rFonts w:ascii="ITC Avant Garde" w:hAnsi="ITC Avant Garde"/>
          <w:bCs/>
          <w:sz w:val="22"/>
          <w:szCs w:val="22"/>
        </w:rPr>
        <w:t xml:space="preserve"> previsto en la Ley, es decir, de concederse la misma, se otorgaría a </w:t>
      </w:r>
      <w:proofErr w:type="spellStart"/>
      <w:r w:rsidRPr="00525DB6">
        <w:rPr>
          <w:rFonts w:ascii="ITC Avant Garde" w:hAnsi="ITC Avant Garde"/>
          <w:bCs/>
          <w:sz w:val="22"/>
          <w:szCs w:val="22"/>
        </w:rPr>
        <w:t>Troncatel</w:t>
      </w:r>
      <w:proofErr w:type="spellEnd"/>
      <w:r w:rsidRPr="00525DB6">
        <w:rPr>
          <w:rFonts w:ascii="ITC Avant Garde" w:hAnsi="ITC Avant Garde"/>
          <w:bCs/>
          <w:sz w:val="22"/>
          <w:szCs w:val="22"/>
        </w:rPr>
        <w:t xml:space="preserve">, S.A. de C.V. una concesión para usar, aprovechar y explotar bandas de frecuencias del espectro radioeléctrico para uso comercial. </w:t>
      </w:r>
    </w:p>
    <w:p w14:paraId="232235FF" w14:textId="262DA5BC" w:rsidR="00E2588A" w:rsidRPr="00525DB6" w:rsidRDefault="00E2588A" w:rsidP="00E2588A">
      <w:pPr>
        <w:ind w:right="99"/>
        <w:jc w:val="both"/>
        <w:rPr>
          <w:rFonts w:ascii="ITC Avant Garde" w:eastAsia="Calibri" w:hAnsi="ITC Avant Garde"/>
          <w:bCs/>
          <w:color w:val="000000"/>
          <w:sz w:val="22"/>
          <w:szCs w:val="22"/>
          <w:lang w:eastAsia="es-MX"/>
        </w:rPr>
      </w:pPr>
      <w:r w:rsidRPr="00525DB6">
        <w:rPr>
          <w:rFonts w:ascii="ITC Avant Garde" w:eastAsia="Calibri" w:hAnsi="ITC Avant Garde"/>
          <w:b/>
          <w:bCs/>
          <w:color w:val="000000"/>
          <w:sz w:val="22"/>
          <w:szCs w:val="22"/>
          <w:lang w:eastAsia="es-MX"/>
        </w:rPr>
        <w:t xml:space="preserve">Quinto.- Análisis de la Solicitud de Prórroga. </w:t>
      </w:r>
      <w:r w:rsidRPr="00525DB6">
        <w:rPr>
          <w:rFonts w:ascii="ITC Avant Garde" w:eastAsia="Calibri" w:hAnsi="ITC Avant Garde"/>
          <w:bCs/>
          <w:color w:val="000000"/>
          <w:sz w:val="22"/>
          <w:szCs w:val="22"/>
          <w:lang w:eastAsia="es-MX"/>
        </w:rPr>
        <w:t>De conformidad con lo señalado por los artículos 19 y 27 de la LFT y la Ley Federal de Derechos</w:t>
      </w:r>
      <w:r w:rsidR="004527C9" w:rsidRPr="00525DB6">
        <w:rPr>
          <w:rFonts w:ascii="ITC Avant Garde" w:eastAsia="Calibri" w:hAnsi="ITC Avant Garde"/>
          <w:bCs/>
          <w:color w:val="000000"/>
          <w:sz w:val="22"/>
          <w:szCs w:val="22"/>
          <w:lang w:eastAsia="es-MX"/>
        </w:rPr>
        <w:t xml:space="preserve"> vigente al momento de presentar la Solicitud de Prórroga</w:t>
      </w:r>
      <w:r w:rsidRPr="00525DB6">
        <w:rPr>
          <w:rFonts w:ascii="ITC Avant Garde" w:eastAsia="Calibri" w:hAnsi="ITC Avant Garde"/>
          <w:bCs/>
          <w:color w:val="000000"/>
          <w:sz w:val="22"/>
          <w:szCs w:val="22"/>
          <w:lang w:eastAsia="es-MX"/>
        </w:rPr>
        <w:t xml:space="preserve">, los requisitos de procedencia que debe observar </w:t>
      </w:r>
      <w:proofErr w:type="spellStart"/>
      <w:r w:rsidR="004E37F7" w:rsidRPr="00525DB6">
        <w:rPr>
          <w:rFonts w:ascii="ITC Avant Garde" w:eastAsia="Calibri" w:hAnsi="ITC Avant Garde"/>
          <w:bCs/>
          <w:color w:val="000000"/>
          <w:sz w:val="22"/>
          <w:szCs w:val="22"/>
          <w:lang w:eastAsia="es-MX"/>
        </w:rPr>
        <w:t>Troncatel</w:t>
      </w:r>
      <w:proofErr w:type="spellEnd"/>
      <w:r w:rsidR="004E37F7" w:rsidRPr="00525DB6">
        <w:rPr>
          <w:rFonts w:ascii="ITC Avant Garde" w:eastAsia="Calibri" w:hAnsi="ITC Avant Garde"/>
          <w:bCs/>
          <w:color w:val="000000"/>
          <w:sz w:val="22"/>
          <w:szCs w:val="22"/>
          <w:lang w:eastAsia="es-MX"/>
        </w:rPr>
        <w:t>, S.A. de C.V.</w:t>
      </w:r>
      <w:r w:rsidRPr="00525DB6">
        <w:rPr>
          <w:rFonts w:ascii="ITC Avant Garde" w:eastAsia="Calibri" w:hAnsi="ITC Avant Garde"/>
          <w:bCs/>
          <w:color w:val="000000"/>
          <w:sz w:val="22"/>
          <w:szCs w:val="22"/>
          <w:lang w:eastAsia="es-MX"/>
        </w:rPr>
        <w:t>, y que se verifican durante el análisis de solicitudes de prórroga de vigencia de concesiones en materia de telecomunicaciones, son los siguientes:</w:t>
      </w:r>
    </w:p>
    <w:p w14:paraId="727E4E7A" w14:textId="77777777" w:rsidR="00E2588A" w:rsidRPr="00525DB6" w:rsidRDefault="00E2588A" w:rsidP="00E2588A">
      <w:pPr>
        <w:ind w:right="99"/>
        <w:jc w:val="both"/>
        <w:rPr>
          <w:rFonts w:ascii="ITC Avant Garde" w:eastAsia="Calibri" w:hAnsi="ITC Avant Garde"/>
          <w:bCs/>
          <w:color w:val="000000"/>
          <w:sz w:val="22"/>
          <w:szCs w:val="22"/>
          <w:lang w:eastAsia="es-MX"/>
        </w:rPr>
      </w:pPr>
    </w:p>
    <w:p w14:paraId="72958C2A" w14:textId="77777777" w:rsidR="00E2588A" w:rsidRPr="00525DB6" w:rsidRDefault="00E2588A" w:rsidP="00E2588A">
      <w:pPr>
        <w:pStyle w:val="Prrafodelista"/>
        <w:numPr>
          <w:ilvl w:val="0"/>
          <w:numId w:val="45"/>
        </w:numPr>
        <w:ind w:left="709" w:hanging="349"/>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Que la prórroga se haya solicitado antes del inicio de la última quinta parte del plazo de la concesión;</w:t>
      </w:r>
    </w:p>
    <w:p w14:paraId="6E2F0C2F" w14:textId="77777777" w:rsidR="00E2588A" w:rsidRPr="00525DB6" w:rsidRDefault="00E2588A" w:rsidP="00E2588A">
      <w:pPr>
        <w:pStyle w:val="Prrafodelista"/>
        <w:numPr>
          <w:ilvl w:val="0"/>
          <w:numId w:val="45"/>
        </w:numPr>
        <w:ind w:left="709" w:hanging="349"/>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Que el concesionario haya cumplido con las condiciones previstas en la concesión;</w:t>
      </w:r>
    </w:p>
    <w:p w14:paraId="1DF35AB1" w14:textId="77777777" w:rsidR="00E2588A" w:rsidRPr="00525DB6" w:rsidRDefault="00E2588A" w:rsidP="00E2588A">
      <w:pPr>
        <w:pStyle w:val="Prrafodelista"/>
        <w:numPr>
          <w:ilvl w:val="0"/>
          <w:numId w:val="45"/>
        </w:numPr>
        <w:ind w:left="709" w:hanging="349"/>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 xml:space="preserve">Que se exhiban los comprobantes del pago de los derechos establecidos en la Ley Federal de Derechos por el estudio de la solicitud; y </w:t>
      </w:r>
    </w:p>
    <w:p w14:paraId="1BEAF645" w14:textId="77777777" w:rsidR="00E2588A" w:rsidRPr="00525DB6" w:rsidRDefault="00E2588A" w:rsidP="00E2588A">
      <w:pPr>
        <w:pStyle w:val="Prrafodelista"/>
        <w:numPr>
          <w:ilvl w:val="0"/>
          <w:numId w:val="45"/>
        </w:numPr>
        <w:ind w:left="709" w:hanging="349"/>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Que se acepten las nuevas condiciones que establezca el Instituto, entre las que se encuentra el pago de la contraprestación correspondiente.</w:t>
      </w:r>
    </w:p>
    <w:p w14:paraId="60197F63" w14:textId="77777777" w:rsidR="00B2266E" w:rsidRPr="00525DB6" w:rsidRDefault="00B2266E" w:rsidP="00B2266E">
      <w:pPr>
        <w:ind w:right="96"/>
        <w:jc w:val="both"/>
        <w:rPr>
          <w:rFonts w:ascii="ITC Avant Garde" w:eastAsia="Calibri" w:hAnsi="ITC Avant Garde"/>
          <w:bCs/>
          <w:color w:val="000000"/>
          <w:sz w:val="22"/>
          <w:szCs w:val="22"/>
          <w:lang w:eastAsia="es-MX"/>
        </w:rPr>
      </w:pPr>
    </w:p>
    <w:p w14:paraId="69D003FF" w14:textId="1960CB59" w:rsidR="0056304B" w:rsidRPr="00525DB6" w:rsidRDefault="0056304B" w:rsidP="00B2266E">
      <w:pPr>
        <w:ind w:right="96"/>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 xml:space="preserve">Para verificar el primer requisito se debe tomar en cuenta </w:t>
      </w:r>
      <w:r w:rsidR="00757B7C" w:rsidRPr="00525DB6">
        <w:rPr>
          <w:rFonts w:ascii="ITC Avant Garde" w:eastAsia="Calibri" w:hAnsi="ITC Avant Garde"/>
          <w:bCs/>
          <w:color w:val="000000"/>
          <w:sz w:val="22"/>
          <w:szCs w:val="22"/>
          <w:lang w:eastAsia="es-MX"/>
        </w:rPr>
        <w:t xml:space="preserve">que </w:t>
      </w:r>
      <w:r w:rsidRPr="00525DB6">
        <w:rPr>
          <w:rFonts w:ascii="ITC Avant Garde" w:eastAsia="Calibri" w:hAnsi="ITC Avant Garde"/>
          <w:bCs/>
          <w:color w:val="000000"/>
          <w:sz w:val="22"/>
          <w:szCs w:val="22"/>
          <w:lang w:eastAsia="es-MX"/>
        </w:rPr>
        <w:t xml:space="preserve">la </w:t>
      </w:r>
      <w:r w:rsidR="00757B7C" w:rsidRPr="00525DB6">
        <w:rPr>
          <w:rFonts w:ascii="ITC Avant Garde" w:eastAsia="Calibri" w:hAnsi="ITC Avant Garde"/>
          <w:bCs/>
          <w:color w:val="000000"/>
          <w:sz w:val="22"/>
          <w:szCs w:val="22"/>
          <w:lang w:eastAsia="es-MX"/>
        </w:rPr>
        <w:t xml:space="preserve">vigencia de la </w:t>
      </w:r>
      <w:r w:rsidRPr="00525DB6">
        <w:rPr>
          <w:rFonts w:ascii="ITC Avant Garde" w:eastAsia="Calibri" w:hAnsi="ITC Avant Garde"/>
          <w:bCs/>
          <w:color w:val="000000"/>
          <w:sz w:val="22"/>
          <w:szCs w:val="22"/>
          <w:lang w:eastAsia="es-MX"/>
        </w:rPr>
        <w:t xml:space="preserve">Concesión </w:t>
      </w:r>
      <w:r w:rsidR="00757B7C" w:rsidRPr="00525DB6">
        <w:rPr>
          <w:rFonts w:ascii="ITC Avant Garde" w:eastAsia="Calibri" w:hAnsi="ITC Avant Garde"/>
          <w:bCs/>
          <w:color w:val="000000"/>
          <w:sz w:val="22"/>
          <w:szCs w:val="22"/>
          <w:lang w:eastAsia="es-MX"/>
        </w:rPr>
        <w:t>era</w:t>
      </w:r>
      <w:r w:rsidRPr="00525DB6">
        <w:rPr>
          <w:rFonts w:ascii="ITC Avant Garde" w:eastAsia="Calibri" w:hAnsi="ITC Avant Garde"/>
          <w:bCs/>
          <w:color w:val="000000"/>
          <w:sz w:val="22"/>
          <w:szCs w:val="22"/>
          <w:lang w:eastAsia="es-MX"/>
        </w:rPr>
        <w:t xml:space="preserve"> de 15 (quince) años, contados a partir de su otorgamiento. Es decir, su vencimiento tuvo </w:t>
      </w:r>
      <w:r w:rsidRPr="00525DB6">
        <w:rPr>
          <w:rFonts w:ascii="ITC Avant Garde" w:eastAsia="Calibri" w:hAnsi="ITC Avant Garde"/>
          <w:bCs/>
          <w:color w:val="000000"/>
          <w:sz w:val="22"/>
          <w:szCs w:val="22"/>
          <w:lang w:eastAsia="es-MX"/>
        </w:rPr>
        <w:lastRenderedPageBreak/>
        <w:t xml:space="preserve">verificativo el 24 de noviembre de 2009, por lo que </w:t>
      </w:r>
      <w:proofErr w:type="spellStart"/>
      <w:r w:rsidRPr="00525DB6">
        <w:rPr>
          <w:rFonts w:ascii="ITC Avant Garde" w:eastAsia="Calibri" w:hAnsi="ITC Avant Garde"/>
          <w:bCs/>
          <w:color w:val="000000"/>
          <w:sz w:val="22"/>
          <w:szCs w:val="22"/>
          <w:lang w:eastAsia="es-MX"/>
        </w:rPr>
        <w:t>Troncatel</w:t>
      </w:r>
      <w:proofErr w:type="spellEnd"/>
      <w:r w:rsidRPr="00525DB6">
        <w:rPr>
          <w:rFonts w:ascii="ITC Avant Garde" w:eastAsia="Calibri" w:hAnsi="ITC Avant Garde"/>
          <w:bCs/>
          <w:color w:val="000000"/>
          <w:sz w:val="22"/>
          <w:szCs w:val="22"/>
          <w:lang w:eastAsia="es-MX"/>
        </w:rPr>
        <w:t xml:space="preserve">, S.A. de C.V., debía presentar la Solicitud de Prórroga antes del 24 de </w:t>
      </w:r>
      <w:r w:rsidR="004E2260" w:rsidRPr="00525DB6">
        <w:rPr>
          <w:rFonts w:ascii="ITC Avant Garde" w:eastAsia="Calibri" w:hAnsi="ITC Avant Garde"/>
          <w:bCs/>
          <w:color w:val="000000"/>
          <w:sz w:val="22"/>
          <w:szCs w:val="22"/>
          <w:lang w:eastAsia="es-MX"/>
        </w:rPr>
        <w:t>noviembre</w:t>
      </w:r>
      <w:r w:rsidRPr="00525DB6">
        <w:rPr>
          <w:rFonts w:ascii="ITC Avant Garde" w:eastAsia="Calibri" w:hAnsi="ITC Avant Garde"/>
          <w:bCs/>
          <w:color w:val="000000"/>
          <w:sz w:val="22"/>
          <w:szCs w:val="22"/>
          <w:lang w:eastAsia="es-MX"/>
        </w:rPr>
        <w:t xml:space="preserve"> de 2006. Toda vez que </w:t>
      </w:r>
      <w:proofErr w:type="spellStart"/>
      <w:r w:rsidRPr="00525DB6">
        <w:rPr>
          <w:rFonts w:ascii="ITC Avant Garde" w:eastAsia="Calibri" w:hAnsi="ITC Avant Garde"/>
          <w:bCs/>
          <w:color w:val="000000"/>
          <w:sz w:val="22"/>
          <w:szCs w:val="22"/>
          <w:lang w:eastAsia="es-MX"/>
        </w:rPr>
        <w:t>Troncatel</w:t>
      </w:r>
      <w:proofErr w:type="spellEnd"/>
      <w:r w:rsidRPr="00525DB6">
        <w:rPr>
          <w:rFonts w:ascii="ITC Avant Garde" w:eastAsia="Calibri" w:hAnsi="ITC Avant Garde"/>
          <w:bCs/>
          <w:color w:val="000000"/>
          <w:sz w:val="22"/>
          <w:szCs w:val="22"/>
          <w:lang w:eastAsia="es-MX"/>
        </w:rPr>
        <w:t>, S.A. de C.V., presentó la Solicitud de Prórroga el 18 de noviembre de 2004, este requisito se tiene por cumplido.</w:t>
      </w:r>
    </w:p>
    <w:p w14:paraId="6C363543" w14:textId="77777777" w:rsidR="0056304B" w:rsidRPr="00525DB6" w:rsidRDefault="0056304B" w:rsidP="00B2266E">
      <w:pPr>
        <w:ind w:right="96"/>
        <w:jc w:val="both"/>
        <w:rPr>
          <w:rFonts w:ascii="ITC Avant Garde" w:eastAsia="Calibri" w:hAnsi="ITC Avant Garde"/>
          <w:bCs/>
          <w:color w:val="000000"/>
          <w:sz w:val="22"/>
          <w:szCs w:val="22"/>
          <w:lang w:eastAsia="es-MX"/>
        </w:rPr>
      </w:pPr>
    </w:p>
    <w:p w14:paraId="4A11CA46" w14:textId="6CDBA469" w:rsidR="00D255FD" w:rsidRPr="00525DB6" w:rsidRDefault="00D255FD" w:rsidP="00D255FD">
      <w:pPr>
        <w:pStyle w:val="Textoindependiente"/>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 xml:space="preserve">Por lo que respecta al segundo requisito, el mismo fue verificado por la entonces Unidad de Supervisión y Verificación de la Comisión la que, en el ámbito de sus atribuciones, emitió los oficios señalados en el Antecedente V, en donde manifestó que </w:t>
      </w:r>
      <w:proofErr w:type="spellStart"/>
      <w:r w:rsidRPr="00525DB6">
        <w:rPr>
          <w:rFonts w:ascii="ITC Avant Garde" w:eastAsia="Calibri" w:hAnsi="ITC Avant Garde"/>
          <w:bCs/>
          <w:color w:val="000000"/>
          <w:sz w:val="22"/>
          <w:szCs w:val="22"/>
          <w:lang w:eastAsia="es-MX"/>
        </w:rPr>
        <w:t>Troncatel</w:t>
      </w:r>
      <w:proofErr w:type="spellEnd"/>
      <w:r w:rsidRPr="00525DB6">
        <w:rPr>
          <w:rFonts w:ascii="ITC Avant Garde" w:eastAsia="Calibri" w:hAnsi="ITC Avant Garde"/>
          <w:bCs/>
          <w:color w:val="000000"/>
          <w:sz w:val="22"/>
          <w:szCs w:val="22"/>
          <w:lang w:eastAsia="es-MX"/>
        </w:rPr>
        <w:t>, S.A. de C.V., se encontraba al corriente en el cumplimiento de las obligaciones a su cargo derivadas de la Concesión</w:t>
      </w:r>
      <w:r w:rsidR="00BA4858" w:rsidRPr="00525DB6">
        <w:rPr>
          <w:rFonts w:ascii="ITC Avant Garde" w:eastAsia="Calibri" w:hAnsi="ITC Avant Garde"/>
          <w:bCs/>
          <w:color w:val="000000"/>
          <w:sz w:val="22"/>
          <w:szCs w:val="22"/>
          <w:lang w:eastAsia="es-MX"/>
        </w:rPr>
        <w:t>.</w:t>
      </w:r>
    </w:p>
    <w:p w14:paraId="08C661BB" w14:textId="77777777" w:rsidR="00D255FD" w:rsidRPr="00525DB6" w:rsidRDefault="00D255FD" w:rsidP="00B2266E">
      <w:pPr>
        <w:ind w:right="96"/>
        <w:jc w:val="both"/>
        <w:rPr>
          <w:rFonts w:ascii="ITC Avant Garde" w:eastAsia="Calibri" w:hAnsi="ITC Avant Garde"/>
          <w:bCs/>
          <w:color w:val="000000"/>
          <w:sz w:val="22"/>
          <w:szCs w:val="22"/>
          <w:lang w:eastAsia="es-MX"/>
        </w:rPr>
      </w:pPr>
    </w:p>
    <w:p w14:paraId="52FEF343" w14:textId="05270D6B" w:rsidR="00464BB1" w:rsidRPr="00525DB6" w:rsidRDefault="00464BB1" w:rsidP="00464BB1">
      <w:pPr>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 xml:space="preserve">Con relación al tercer requisito, se debe mencionar que al momento de presentar la Solicitud de Prórroga, </w:t>
      </w:r>
      <w:proofErr w:type="spellStart"/>
      <w:r w:rsidRPr="00525DB6">
        <w:rPr>
          <w:rFonts w:ascii="ITC Avant Garde" w:eastAsia="Calibri" w:hAnsi="ITC Avant Garde"/>
          <w:bCs/>
          <w:color w:val="000000"/>
          <w:sz w:val="22"/>
          <w:szCs w:val="22"/>
          <w:lang w:eastAsia="es-MX"/>
        </w:rPr>
        <w:t>Troncatel</w:t>
      </w:r>
      <w:proofErr w:type="spellEnd"/>
      <w:r w:rsidRPr="00525DB6">
        <w:rPr>
          <w:rFonts w:ascii="ITC Avant Garde" w:eastAsia="Calibri" w:hAnsi="ITC Avant Garde"/>
          <w:bCs/>
          <w:color w:val="000000"/>
          <w:sz w:val="22"/>
          <w:szCs w:val="22"/>
          <w:lang w:eastAsia="es-MX"/>
        </w:rPr>
        <w:t xml:space="preserve">, S.A. de C.V., adjuntó los recibos de pago previstos en los artículos 93 fracción III y 94 fracción III de la Ley Federal de Derechos, que amparan el estudio de solicitudes de prórroga de concesiones de </w:t>
      </w:r>
      <w:r w:rsidR="0035340C" w:rsidRPr="00525DB6">
        <w:rPr>
          <w:rFonts w:ascii="ITC Avant Garde" w:eastAsia="Calibri" w:hAnsi="ITC Avant Garde"/>
          <w:bCs/>
          <w:color w:val="000000"/>
          <w:sz w:val="22"/>
          <w:szCs w:val="22"/>
          <w:lang w:eastAsia="es-MX"/>
        </w:rPr>
        <w:t xml:space="preserve">bandas de frecuencias y de </w:t>
      </w:r>
      <w:r w:rsidRPr="00525DB6">
        <w:rPr>
          <w:rFonts w:ascii="ITC Avant Garde" w:eastAsia="Calibri" w:hAnsi="ITC Avant Garde"/>
          <w:bCs/>
          <w:color w:val="000000"/>
          <w:sz w:val="22"/>
          <w:szCs w:val="22"/>
          <w:lang w:eastAsia="es-MX"/>
        </w:rPr>
        <w:t>redes públicas de telecomunicaciones</w:t>
      </w:r>
      <w:r w:rsidR="0035340C" w:rsidRPr="00525DB6">
        <w:rPr>
          <w:rFonts w:ascii="ITC Avant Garde" w:eastAsia="Calibri" w:hAnsi="ITC Avant Garde"/>
          <w:bCs/>
          <w:color w:val="000000"/>
          <w:sz w:val="22"/>
          <w:szCs w:val="22"/>
          <w:lang w:eastAsia="es-MX"/>
        </w:rPr>
        <w:t>, respectivamente</w:t>
      </w:r>
      <w:r w:rsidRPr="00525DB6">
        <w:rPr>
          <w:rFonts w:ascii="ITC Avant Garde" w:eastAsia="Calibri" w:hAnsi="ITC Avant Garde"/>
          <w:bCs/>
          <w:color w:val="000000"/>
          <w:sz w:val="22"/>
          <w:szCs w:val="22"/>
          <w:lang w:eastAsia="es-MX"/>
        </w:rPr>
        <w:t xml:space="preserve">. </w:t>
      </w:r>
    </w:p>
    <w:p w14:paraId="19C73047" w14:textId="77777777" w:rsidR="00464BB1" w:rsidRPr="00525DB6" w:rsidRDefault="00464BB1" w:rsidP="00464BB1">
      <w:pPr>
        <w:jc w:val="both"/>
        <w:rPr>
          <w:rFonts w:ascii="ITC Avant Garde" w:eastAsia="Calibri" w:hAnsi="ITC Avant Garde"/>
          <w:bCs/>
          <w:color w:val="000000"/>
          <w:sz w:val="22"/>
          <w:szCs w:val="22"/>
          <w:lang w:eastAsia="es-MX"/>
        </w:rPr>
      </w:pPr>
    </w:p>
    <w:p w14:paraId="38E122DF" w14:textId="05AE3C95" w:rsidR="00757B7C" w:rsidRPr="00525DB6" w:rsidRDefault="0035340C" w:rsidP="00757B7C">
      <w:pPr>
        <w:jc w:val="both"/>
        <w:rPr>
          <w:rFonts w:ascii="ITC Avant Garde" w:eastAsia="Calibri" w:hAnsi="ITC Avant Garde"/>
          <w:bCs/>
          <w:color w:val="000000"/>
          <w:sz w:val="22"/>
          <w:szCs w:val="22"/>
          <w:lang w:eastAsia="es-MX"/>
        </w:rPr>
      </w:pPr>
      <w:r w:rsidRPr="00525DB6">
        <w:rPr>
          <w:rFonts w:ascii="ITC Avant Garde" w:hAnsi="ITC Avant Garde"/>
          <w:bCs/>
          <w:color w:val="000000"/>
          <w:sz w:val="22"/>
          <w:szCs w:val="22"/>
          <w:lang w:val="es-ES" w:eastAsia="es-MX"/>
        </w:rPr>
        <w:t>Con respecto al cuarto requisito</w:t>
      </w:r>
      <w:r w:rsidRPr="00525DB6">
        <w:rPr>
          <w:rFonts w:ascii="ITC Avant Garde" w:eastAsia="Calibri" w:hAnsi="ITC Avant Garde"/>
          <w:bCs/>
          <w:color w:val="000000"/>
          <w:sz w:val="22"/>
          <w:szCs w:val="22"/>
          <w:lang w:eastAsia="es-MX"/>
        </w:rPr>
        <w:t xml:space="preserve">, éste se cumplirá una vez que </w:t>
      </w:r>
      <w:proofErr w:type="spellStart"/>
      <w:r w:rsidRPr="00525DB6">
        <w:rPr>
          <w:rFonts w:ascii="ITC Avant Garde" w:eastAsia="Calibri" w:hAnsi="ITC Avant Garde"/>
          <w:bCs/>
          <w:color w:val="000000"/>
          <w:sz w:val="22"/>
          <w:szCs w:val="22"/>
          <w:lang w:eastAsia="es-MX"/>
        </w:rPr>
        <w:t>Troncatel</w:t>
      </w:r>
      <w:proofErr w:type="spellEnd"/>
      <w:r w:rsidRPr="00525DB6">
        <w:rPr>
          <w:rFonts w:ascii="ITC Avant Garde" w:eastAsia="Calibri" w:hAnsi="ITC Avant Garde"/>
          <w:bCs/>
          <w:color w:val="000000"/>
          <w:sz w:val="22"/>
          <w:szCs w:val="22"/>
          <w:lang w:eastAsia="es-MX"/>
        </w:rPr>
        <w:t xml:space="preserve">, S.A. de C.V., acepte de manera expresa e indubitable las nuevas condiciones que al efecto establezca el Instituto. Entre las nuevas condiciones que deberá aceptar </w:t>
      </w:r>
      <w:proofErr w:type="spellStart"/>
      <w:r w:rsidRPr="00525DB6">
        <w:rPr>
          <w:rFonts w:ascii="ITC Avant Garde" w:eastAsia="Calibri" w:hAnsi="ITC Avant Garde"/>
          <w:bCs/>
          <w:color w:val="000000"/>
          <w:sz w:val="22"/>
          <w:szCs w:val="22"/>
          <w:lang w:eastAsia="es-MX"/>
        </w:rPr>
        <w:t>Troncatel</w:t>
      </w:r>
      <w:proofErr w:type="spellEnd"/>
      <w:r w:rsidRPr="00525DB6">
        <w:rPr>
          <w:rFonts w:ascii="ITC Avant Garde" w:eastAsia="Calibri" w:hAnsi="ITC Avant Garde"/>
          <w:bCs/>
          <w:color w:val="000000"/>
          <w:sz w:val="22"/>
          <w:szCs w:val="22"/>
          <w:lang w:eastAsia="es-MX"/>
        </w:rPr>
        <w:t xml:space="preserve">, S.A. de C.V., </w:t>
      </w:r>
      <w:r w:rsidR="00757B7C" w:rsidRPr="00525DB6">
        <w:rPr>
          <w:rFonts w:ascii="ITC Avant Garde" w:eastAsia="Calibri" w:hAnsi="ITC Avant Garde"/>
          <w:bCs/>
          <w:color w:val="000000"/>
          <w:sz w:val="22"/>
          <w:szCs w:val="22"/>
          <w:lang w:eastAsia="es-MX"/>
        </w:rPr>
        <w:t xml:space="preserve">se encuentran los términos y las condiciones técnico-operativas de la prórroga de la Concesión, el otorgamiento de la concesión única para uso comercial, y el pago de la contraprestación por el otorgamiento del título de concesión de bandas de frecuencias del espectro radioeléctrico </w:t>
      </w:r>
      <w:r w:rsidR="004527C9" w:rsidRPr="00525DB6">
        <w:rPr>
          <w:rFonts w:ascii="ITC Avant Garde" w:eastAsia="Calibri" w:hAnsi="ITC Avant Garde"/>
          <w:bCs/>
          <w:color w:val="000000"/>
          <w:sz w:val="22"/>
          <w:szCs w:val="22"/>
          <w:lang w:eastAsia="es-MX"/>
        </w:rPr>
        <w:t>para uso comercial.</w:t>
      </w:r>
    </w:p>
    <w:p w14:paraId="1758E42A" w14:textId="77777777" w:rsidR="0035340C" w:rsidRDefault="0035340C" w:rsidP="00464BB1">
      <w:pPr>
        <w:jc w:val="both"/>
        <w:rPr>
          <w:rFonts w:ascii="ITC Avant Garde" w:eastAsia="Calibri" w:hAnsi="ITC Avant Garde"/>
          <w:bCs/>
          <w:color w:val="000000"/>
          <w:sz w:val="22"/>
          <w:szCs w:val="22"/>
          <w:lang w:eastAsia="es-MX"/>
        </w:rPr>
      </w:pPr>
    </w:p>
    <w:p w14:paraId="22E61282" w14:textId="77777777" w:rsidR="00D56ADB" w:rsidRPr="00C371F1" w:rsidRDefault="00D56ADB" w:rsidP="00D56ADB">
      <w:pPr>
        <w:jc w:val="both"/>
        <w:rPr>
          <w:rFonts w:ascii="ITC Avant Garde" w:hAnsi="ITC Avant Garde"/>
          <w:color w:val="000000"/>
          <w:sz w:val="22"/>
          <w:szCs w:val="22"/>
          <w:lang w:eastAsia="es-MX"/>
        </w:rPr>
      </w:pPr>
      <w:r w:rsidRPr="00C371F1">
        <w:rPr>
          <w:rFonts w:ascii="ITC Avant Garde" w:hAnsi="ITC Avant Garde"/>
          <w:b/>
          <w:bCs/>
          <w:color w:val="000000"/>
          <w:sz w:val="22"/>
          <w:szCs w:val="22"/>
          <w:lang w:eastAsia="es-MX"/>
        </w:rPr>
        <w:t xml:space="preserve">Sexto.- Cobro sobre el pago de derechos por diversos trámites ante la entrada en vigor de la Ley Federal de Derechos vigente para 2016. </w:t>
      </w:r>
      <w:r w:rsidRPr="00C371F1">
        <w:rPr>
          <w:rFonts w:ascii="ITC Avant Garde" w:hAnsi="ITC Avant Garde"/>
          <w:color w:val="000000"/>
          <w:sz w:val="22"/>
          <w:szCs w:val="22"/>
          <w:lang w:eastAsia="es-MX"/>
        </w:rPr>
        <w:t>El pasado 18 de noviembre de 2015 se publicó en el Diario Oficial de la Federación el “</w:t>
      </w:r>
      <w:r w:rsidRPr="00C371F1">
        <w:rPr>
          <w:rFonts w:ascii="ITC Avant Garde" w:hAnsi="ITC Avant Garde"/>
          <w:i/>
          <w:iCs/>
          <w:color w:val="000000"/>
          <w:sz w:val="22"/>
          <w:szCs w:val="22"/>
          <w:lang w:eastAsia="es-MX"/>
        </w:rPr>
        <w:t>Decreto por el que se reforman, adicionan y derogan diversas disposiciones de la Ley Federal de Derechos</w:t>
      </w:r>
      <w:r w:rsidRPr="00C371F1">
        <w:rPr>
          <w:rFonts w:ascii="ITC Avant Garde" w:hAnsi="ITC Avant Garde"/>
          <w:color w:val="000000"/>
          <w:sz w:val="22"/>
          <w:szCs w:val="22"/>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6F60C091" w14:textId="77777777" w:rsidR="00D56ADB" w:rsidRPr="00C371F1" w:rsidRDefault="00D56ADB" w:rsidP="00D56ADB">
      <w:pPr>
        <w:jc w:val="both"/>
        <w:rPr>
          <w:rFonts w:ascii="ITC Avant Garde" w:hAnsi="ITC Avant Garde"/>
          <w:color w:val="000000"/>
          <w:sz w:val="22"/>
          <w:szCs w:val="22"/>
          <w:lang w:eastAsia="es-MX"/>
        </w:rPr>
      </w:pPr>
    </w:p>
    <w:p w14:paraId="6DC8757B" w14:textId="77777777" w:rsidR="00D56ADB" w:rsidRPr="00C371F1" w:rsidRDefault="00D56ADB" w:rsidP="00D56ADB">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Derivado de lo anterior, y en atención a lo establecido por el artículo 6o. del Código Fiscal de la Federación, se debe tener en cuenta que el hecho generador de los derechos derivados de la autorización de prórroga se actualizan al momento de la emisión y notificación de la presente resolución y que los artículos 93 y 94 de la Ley Federal de Derechos, al haber sido derogados, no pueden ser aplicados a los trámites de prórrogas de títulos de concesiones para el uso, aprovechamiento o explotación de bandas de frecuencias del espectro radioeléctrico, así como para la instalación, operación o explotación de redes públicas de telecomunicaciones.</w:t>
      </w:r>
    </w:p>
    <w:p w14:paraId="3E4FE4CC" w14:textId="77777777" w:rsidR="00D56ADB" w:rsidRPr="00C371F1" w:rsidRDefault="00D56ADB" w:rsidP="00D56ADB">
      <w:pPr>
        <w:jc w:val="both"/>
        <w:rPr>
          <w:rFonts w:ascii="ITC Avant Garde" w:hAnsi="ITC Avant Garde"/>
          <w:color w:val="000000"/>
          <w:sz w:val="22"/>
          <w:szCs w:val="22"/>
          <w:lang w:eastAsia="es-MX"/>
        </w:rPr>
      </w:pPr>
    </w:p>
    <w:p w14:paraId="1A093C5B" w14:textId="77777777" w:rsidR="00D56ADB" w:rsidRPr="00C371F1" w:rsidRDefault="00D56ADB" w:rsidP="00D56ADB">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lastRenderedPageBreak/>
        <w:t>En este sentido, la Ley Federal de Derechos vigente a partir del 1º de enero de 2016 estableció en su artículo 173 un nuevo sistema de cobro de derechos para los trámites relativos a las prórrogas de concesiones en materia de telecomunicaciones o radiodifusión que hagan uso del espectro radioeléctrico, señalando que en un único cobro va integrado el estudio, y en su caso la autorización de la misma, situación distinta a la prevista en la Ley Federal de Derechos vigente hasta 2015, que establecía de manera diferenciada los cobros para el estudio y, en su caso, autorización.</w:t>
      </w:r>
    </w:p>
    <w:p w14:paraId="6F5D2527" w14:textId="77777777" w:rsidR="00D56ADB" w:rsidRPr="00C371F1" w:rsidRDefault="00D56ADB" w:rsidP="00D56ADB">
      <w:pPr>
        <w:jc w:val="both"/>
        <w:rPr>
          <w:rFonts w:ascii="ITC Avant Garde" w:hAnsi="ITC Avant Garde"/>
          <w:color w:val="000000"/>
          <w:sz w:val="22"/>
          <w:szCs w:val="22"/>
          <w:lang w:eastAsia="es-MX"/>
        </w:rPr>
      </w:pPr>
    </w:p>
    <w:p w14:paraId="63674EEA" w14:textId="77777777" w:rsidR="00D56ADB" w:rsidRPr="00C371F1" w:rsidRDefault="00D56ADB" w:rsidP="00D56ADB">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Al momento de iniciar el trámite que nos ocupa, únicamente se presentó el pago por el estudio del mismo. Sin embargo, si bien ahora procedería realizar el cobro por la autorización correspondiente, este Instituto se encuentra imposibilitado para diferenciar el cobro que debiera corresponder a la autorización de la prórroga de mérito, toda vez que como ya quedó señalado en el párrafo que antecede, actualmente se prevé un único pago por el estudio y en su caso la autorización respectiva. Finalmente, tratándose de disposiciones de carácter fiscal, se debe atender al principio de exacta aplicación de las mismas, por lo que no procede aplicar el cobro por la autorización de la prórroga que nos ocupa, toda vez que no puede ser diferenciado.</w:t>
      </w:r>
    </w:p>
    <w:p w14:paraId="0D4B49B1" w14:textId="77777777" w:rsidR="00D56ADB" w:rsidRPr="00C371F1" w:rsidRDefault="00D56ADB" w:rsidP="00D56ADB">
      <w:pPr>
        <w:jc w:val="both"/>
        <w:rPr>
          <w:rFonts w:ascii="ITC Avant Garde" w:hAnsi="ITC Avant Garde"/>
          <w:color w:val="000000"/>
          <w:sz w:val="22"/>
          <w:szCs w:val="22"/>
          <w:lang w:eastAsia="es-MX"/>
        </w:rPr>
      </w:pPr>
    </w:p>
    <w:p w14:paraId="1C56C73F" w14:textId="77777777" w:rsidR="00D56ADB" w:rsidRPr="00C371F1" w:rsidRDefault="00D56ADB" w:rsidP="00D56ADB">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Finalmente, la Ley Federal de Derechos señala en el actual artículo 173 penúltimo párrafo, que cuando la explotación de los servicios objeto de la concesión de bandas de frecuencias a las que se refieren los apartado A, B, fracciones I y II y C, requiera el otorgamiento de un título de concesión única, en términos del artículo 75 de la Ley Federal de Telecomunicaciones y Radiodifusión, el pago de derechos correspondiente al de bandas de frecuencias, comprenderá la expedición de la concesión única respectiva.</w:t>
      </w:r>
    </w:p>
    <w:p w14:paraId="48267B5A" w14:textId="77777777" w:rsidR="00D56ADB" w:rsidRPr="00C371F1" w:rsidRDefault="00D56ADB" w:rsidP="00D56ADB">
      <w:pPr>
        <w:jc w:val="both"/>
        <w:rPr>
          <w:rFonts w:ascii="ITC Avant Garde" w:hAnsi="ITC Avant Garde"/>
          <w:color w:val="000000"/>
          <w:sz w:val="22"/>
          <w:szCs w:val="22"/>
          <w:lang w:eastAsia="es-MX"/>
        </w:rPr>
      </w:pPr>
    </w:p>
    <w:p w14:paraId="0756FFC5" w14:textId="77777777" w:rsidR="00D56ADB" w:rsidRPr="00C371F1" w:rsidRDefault="00D56ADB" w:rsidP="00D56ADB">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En ese sentido, y considerando que ya no se otorgaría una concesión de red pública de telecomunicaciones, sino una concesión única para uso comercial, dado que para el caso que nos ocupa se actualiza lo señalado en el párrafo que antecede, tampoco se realizará el cobro por el otorg</w:t>
      </w:r>
      <w:r>
        <w:rPr>
          <w:rFonts w:ascii="ITC Avant Garde" w:hAnsi="ITC Avant Garde"/>
          <w:color w:val="000000"/>
          <w:sz w:val="22"/>
          <w:szCs w:val="22"/>
          <w:lang w:eastAsia="es-MX"/>
        </w:rPr>
        <w:t>amiento de la concesión única.</w:t>
      </w:r>
    </w:p>
    <w:p w14:paraId="469710E3" w14:textId="77777777" w:rsidR="00D56ADB" w:rsidRDefault="00D56ADB" w:rsidP="00464BB1">
      <w:pPr>
        <w:jc w:val="both"/>
        <w:rPr>
          <w:rFonts w:ascii="ITC Avant Garde" w:eastAsia="Calibri" w:hAnsi="ITC Avant Garde"/>
          <w:bCs/>
          <w:color w:val="000000"/>
          <w:sz w:val="22"/>
          <w:szCs w:val="22"/>
          <w:lang w:eastAsia="es-MX"/>
        </w:rPr>
      </w:pPr>
    </w:p>
    <w:p w14:paraId="57888AE8" w14:textId="5BCE36BF" w:rsidR="00B72000" w:rsidRDefault="00B72000" w:rsidP="00B72000">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t>S</w:t>
      </w:r>
      <w:r w:rsidR="00D56ADB">
        <w:rPr>
          <w:rFonts w:ascii="ITC Avant Garde" w:eastAsia="Calibri" w:hAnsi="ITC Avant Garde"/>
          <w:b/>
          <w:bCs/>
          <w:color w:val="000000"/>
          <w:sz w:val="22"/>
          <w:szCs w:val="22"/>
          <w:lang w:eastAsia="es-MX"/>
        </w:rPr>
        <w:t>éptim</w:t>
      </w:r>
      <w:r>
        <w:rPr>
          <w:rFonts w:ascii="ITC Avant Garde" w:eastAsia="Calibri" w:hAnsi="ITC Avant Garde"/>
          <w:b/>
          <w:bCs/>
          <w:color w:val="000000"/>
          <w:sz w:val="22"/>
          <w:szCs w:val="22"/>
          <w:lang w:eastAsia="es-MX"/>
        </w:rPr>
        <w:t xml:space="preserve">o.- Política de Planeación del Espectro Radioeléctrico para las bandas de frecuencias de </w:t>
      </w:r>
      <w:r w:rsidRPr="00CF5A20">
        <w:rPr>
          <w:rFonts w:ascii="ITC Avant Garde" w:eastAsia="Calibri" w:hAnsi="ITC Avant Garde"/>
          <w:b/>
          <w:bCs/>
          <w:color w:val="000000"/>
          <w:sz w:val="22"/>
          <w:szCs w:val="22"/>
          <w:lang w:eastAsia="es-MX"/>
        </w:rPr>
        <w:t xml:space="preserve">806-824/851-869 </w:t>
      </w:r>
      <w:r>
        <w:rPr>
          <w:rFonts w:ascii="ITC Avant Garde" w:eastAsia="Calibri" w:hAnsi="ITC Avant Garde"/>
          <w:b/>
          <w:bCs/>
          <w:color w:val="000000"/>
          <w:sz w:val="22"/>
          <w:szCs w:val="22"/>
          <w:lang w:eastAsia="es-MX"/>
        </w:rPr>
        <w:t>MHz y 410-430 MHz</w:t>
      </w:r>
      <w:r w:rsidRPr="00675A9E">
        <w:rPr>
          <w:rFonts w:ascii="ITC Avant Garde" w:hAnsi="ITC Avant Garde"/>
          <w:b/>
          <w:bCs/>
          <w:color w:val="000000"/>
          <w:sz w:val="22"/>
          <w:szCs w:val="22"/>
          <w:lang w:val="es-ES" w:eastAsia="es-MX"/>
        </w:rPr>
        <w:t>.</w:t>
      </w:r>
      <w:r w:rsidRPr="00675A9E">
        <w:rPr>
          <w:rFonts w:ascii="ITC Avant Garde" w:hAnsi="ITC Avant Garde"/>
          <w:bCs/>
          <w:color w:val="000000"/>
          <w:sz w:val="22"/>
          <w:szCs w:val="22"/>
          <w:lang w:val="es-ES" w:eastAsia="es-MX"/>
        </w:rPr>
        <w:t xml:space="preserve"> </w:t>
      </w:r>
      <w:r>
        <w:rPr>
          <w:rFonts w:ascii="ITC Avant Garde" w:hAnsi="ITC Avant Garde"/>
          <w:bCs/>
          <w:color w:val="000000"/>
          <w:sz w:val="22"/>
          <w:szCs w:val="22"/>
          <w:lang w:val="es-ES" w:eastAsia="es-MX"/>
        </w:rPr>
        <w:t xml:space="preserve">El espectro radioeléctrico constituye un recurso escaso y de gran valor estratégico en el contexto económico y tecnológico actual a nivel internacional, de tal forma que es primordial garantizar el uso eficiente de dicho recurso. Para tal efecto, el 20 de octubre de 2015 se publicó en el </w:t>
      </w:r>
      <w:r w:rsidRPr="009F74AC">
        <w:rPr>
          <w:rFonts w:ascii="ITC Avant Garde" w:hAnsi="ITC Avant Garde"/>
          <w:bCs/>
          <w:color w:val="000000"/>
          <w:sz w:val="22"/>
          <w:szCs w:val="22"/>
          <w:lang w:val="es-ES" w:eastAsia="es-MX"/>
        </w:rPr>
        <w:t>Diario Oficial de la Federación el Cuadro Nacional de Atribución de Frecuencias</w:t>
      </w:r>
      <w:r>
        <w:rPr>
          <w:rFonts w:ascii="ITC Avant Garde" w:hAnsi="ITC Avant Garde"/>
          <w:bCs/>
          <w:color w:val="000000"/>
          <w:sz w:val="22"/>
          <w:szCs w:val="22"/>
          <w:lang w:val="es-ES" w:eastAsia="es-MX"/>
        </w:rPr>
        <w:t xml:space="preserve">, </w:t>
      </w:r>
      <w:r w:rsidRPr="009F74AC">
        <w:rPr>
          <w:rFonts w:ascii="ITC Avant Garde" w:hAnsi="ITC Avant Garde"/>
          <w:bCs/>
          <w:color w:val="000000"/>
          <w:sz w:val="22"/>
          <w:szCs w:val="22"/>
          <w:lang w:val="es-ES" w:eastAsia="es-MX"/>
        </w:rPr>
        <w:t xml:space="preserve">disposición administrativa que </w:t>
      </w:r>
      <w:r>
        <w:rPr>
          <w:rFonts w:ascii="ITC Avant Garde" w:hAnsi="ITC Avant Garde"/>
          <w:bCs/>
          <w:color w:val="000000"/>
          <w:sz w:val="22"/>
          <w:szCs w:val="22"/>
          <w:lang w:val="es-ES" w:eastAsia="es-MX"/>
        </w:rPr>
        <w:t>indica el servicio o servicios de radiocomunicaciones a los que se encuentra atribuida una determinada banda de frecuencias del espectro radioeléctrico, así como información adicional sobre el uso y planificación de determinadas bandas de frecuencias</w:t>
      </w:r>
      <w:r w:rsidRPr="009F74AC">
        <w:rPr>
          <w:rFonts w:ascii="ITC Avant Garde" w:hAnsi="ITC Avant Garde"/>
          <w:bCs/>
          <w:color w:val="000000"/>
          <w:sz w:val="22"/>
          <w:szCs w:val="22"/>
          <w:lang w:val="es-ES" w:eastAsia="es-MX"/>
        </w:rPr>
        <w:t xml:space="preserve">. Con respecto a </w:t>
      </w:r>
      <w:r>
        <w:rPr>
          <w:rFonts w:ascii="ITC Avant Garde" w:hAnsi="ITC Avant Garde"/>
          <w:bCs/>
          <w:color w:val="000000"/>
          <w:sz w:val="22"/>
          <w:szCs w:val="22"/>
          <w:lang w:val="es-ES" w:eastAsia="es-MX"/>
        </w:rPr>
        <w:t>la</w:t>
      </w:r>
      <w:r w:rsidRPr="009F74AC">
        <w:rPr>
          <w:rFonts w:ascii="ITC Avant Garde" w:hAnsi="ITC Avant Garde"/>
          <w:bCs/>
          <w:color w:val="000000"/>
          <w:sz w:val="22"/>
          <w:szCs w:val="22"/>
          <w:lang w:val="es-ES" w:eastAsia="es-MX"/>
        </w:rPr>
        <w:t xml:space="preserve"> banda de frecuencias 806-824/851-869 MHz </w:t>
      </w:r>
      <w:r>
        <w:rPr>
          <w:rFonts w:ascii="ITC Avant Garde" w:hAnsi="ITC Avant Garde"/>
          <w:bCs/>
          <w:color w:val="000000"/>
          <w:sz w:val="22"/>
          <w:szCs w:val="22"/>
          <w:lang w:val="es-ES" w:eastAsia="es-MX"/>
        </w:rPr>
        <w:t>destaca la</w:t>
      </w:r>
      <w:r w:rsidRPr="009F74AC">
        <w:rPr>
          <w:rFonts w:ascii="ITC Avant Garde" w:hAnsi="ITC Avant Garde"/>
          <w:bCs/>
          <w:color w:val="000000"/>
          <w:sz w:val="22"/>
          <w:szCs w:val="22"/>
          <w:lang w:val="es-ES" w:eastAsia="es-MX"/>
        </w:rPr>
        <w:t xml:space="preserve"> siguiente</w:t>
      </w:r>
      <w:r>
        <w:rPr>
          <w:rFonts w:ascii="ITC Avant Garde" w:hAnsi="ITC Avant Garde"/>
          <w:bCs/>
          <w:color w:val="000000"/>
          <w:sz w:val="22"/>
          <w:szCs w:val="22"/>
          <w:lang w:val="es-ES" w:eastAsia="es-MX"/>
        </w:rPr>
        <w:t xml:space="preserve"> nota</w:t>
      </w:r>
      <w:r w:rsidRPr="009F74AC">
        <w:rPr>
          <w:rFonts w:ascii="ITC Avant Garde" w:hAnsi="ITC Avant Garde"/>
          <w:bCs/>
          <w:color w:val="000000"/>
          <w:sz w:val="22"/>
          <w:szCs w:val="22"/>
          <w:lang w:val="es-ES" w:eastAsia="es-MX"/>
        </w:rPr>
        <w:t xml:space="preserve"> </w:t>
      </w:r>
      <w:r>
        <w:rPr>
          <w:rFonts w:ascii="ITC Avant Garde" w:hAnsi="ITC Avant Garde"/>
          <w:bCs/>
          <w:color w:val="000000"/>
          <w:sz w:val="22"/>
          <w:szCs w:val="22"/>
          <w:lang w:val="es-ES" w:eastAsia="es-MX"/>
        </w:rPr>
        <w:t>nacional</w:t>
      </w:r>
      <w:r w:rsidRPr="009F74AC">
        <w:rPr>
          <w:rFonts w:ascii="ITC Avant Garde" w:hAnsi="ITC Avant Garde"/>
          <w:bCs/>
          <w:color w:val="000000"/>
          <w:sz w:val="22"/>
          <w:szCs w:val="22"/>
          <w:lang w:val="es-ES" w:eastAsia="es-MX"/>
        </w:rPr>
        <w:t>:</w:t>
      </w:r>
    </w:p>
    <w:p w14:paraId="2C45BB7A" w14:textId="77777777" w:rsidR="00B72000" w:rsidRDefault="00B72000" w:rsidP="00B72000">
      <w:pPr>
        <w:jc w:val="both"/>
        <w:rPr>
          <w:rFonts w:ascii="ITC Avant Garde" w:hAnsi="ITC Avant Garde"/>
          <w:bCs/>
          <w:color w:val="000000"/>
          <w:sz w:val="22"/>
          <w:szCs w:val="22"/>
          <w:lang w:val="es-ES" w:eastAsia="es-MX"/>
        </w:rPr>
      </w:pPr>
    </w:p>
    <w:p w14:paraId="0A35FEF5" w14:textId="77777777" w:rsidR="00B72000" w:rsidRPr="00E431D5" w:rsidRDefault="00B72000" w:rsidP="00B72000">
      <w:pPr>
        <w:ind w:left="567" w:right="474"/>
        <w:jc w:val="both"/>
        <w:rPr>
          <w:rFonts w:ascii="ITC Avant Garde" w:hAnsi="ITC Avant Garde"/>
          <w:bCs/>
          <w:i/>
          <w:color w:val="000000"/>
          <w:sz w:val="18"/>
          <w:szCs w:val="22"/>
          <w:lang w:val="es-ES" w:eastAsia="es-MX"/>
        </w:rPr>
      </w:pPr>
      <w:r w:rsidRPr="00E431D5">
        <w:rPr>
          <w:rFonts w:ascii="ITC Avant Garde" w:hAnsi="ITC Avant Garde"/>
          <w:bCs/>
          <w:i/>
          <w:color w:val="000000"/>
          <w:sz w:val="18"/>
          <w:szCs w:val="22"/>
          <w:lang w:val="es-ES" w:eastAsia="es-MX"/>
        </w:rPr>
        <w:t>“</w:t>
      </w:r>
      <w:r w:rsidRPr="00E431D5">
        <w:rPr>
          <w:rFonts w:ascii="ITC Avant Garde" w:hAnsi="ITC Avant Garde"/>
          <w:b/>
          <w:bCs/>
          <w:i/>
          <w:color w:val="000000"/>
          <w:sz w:val="18"/>
          <w:szCs w:val="22"/>
          <w:lang w:val="es-ES" w:eastAsia="es-MX"/>
        </w:rPr>
        <w:t>MX150</w:t>
      </w:r>
      <w:r w:rsidRPr="00E431D5">
        <w:rPr>
          <w:rFonts w:ascii="ITC Avant Garde" w:hAnsi="ITC Avant Garde"/>
          <w:bCs/>
          <w:i/>
          <w:color w:val="000000"/>
          <w:sz w:val="18"/>
          <w:szCs w:val="22"/>
          <w:lang w:val="es-ES" w:eastAsia="es-MX"/>
        </w:rPr>
        <w:t xml:space="preserve"> La banda de frecuencias 806 – 824/851 – 869 MHz se encuentra bajo un proceso de revisión para su posible reordenamiento. Dicho reordenamiento contempla la determinación del segmento 806 – 814/851 – 859 MHz para la operación de sistemas de radio </w:t>
      </w:r>
      <w:proofErr w:type="spellStart"/>
      <w:r w:rsidRPr="00E431D5">
        <w:rPr>
          <w:rFonts w:ascii="ITC Avant Garde" w:hAnsi="ITC Avant Garde"/>
          <w:bCs/>
          <w:i/>
          <w:color w:val="000000"/>
          <w:sz w:val="18"/>
          <w:szCs w:val="22"/>
          <w:lang w:val="es-ES" w:eastAsia="es-MX"/>
        </w:rPr>
        <w:t>troncalizado</w:t>
      </w:r>
      <w:proofErr w:type="spellEnd"/>
      <w:r w:rsidRPr="00E431D5">
        <w:rPr>
          <w:rFonts w:ascii="ITC Avant Garde" w:hAnsi="ITC Avant Garde"/>
          <w:bCs/>
          <w:i/>
          <w:color w:val="000000"/>
          <w:sz w:val="18"/>
          <w:szCs w:val="22"/>
          <w:lang w:val="es-ES" w:eastAsia="es-MX"/>
        </w:rPr>
        <w:t xml:space="preserve"> de uso público para aplicaciones de misión crítica, así como la determinación del segmento 814 – 824/859 – 869 MHz para la provisión de servicios móviles de banda ancha</w:t>
      </w:r>
      <w:r>
        <w:rPr>
          <w:rFonts w:ascii="ITC Avant Garde" w:hAnsi="ITC Avant Garde"/>
          <w:bCs/>
          <w:i/>
          <w:color w:val="000000"/>
          <w:sz w:val="18"/>
          <w:szCs w:val="22"/>
          <w:lang w:val="es-ES" w:eastAsia="es-MX"/>
        </w:rPr>
        <w:t xml:space="preserve"> [</w:t>
      </w:r>
      <w:r w:rsidRPr="00E431D5">
        <w:rPr>
          <w:rFonts w:ascii="ITC Avant Garde" w:hAnsi="ITC Avant Garde"/>
          <w:bCs/>
          <w:i/>
          <w:color w:val="000000"/>
          <w:sz w:val="18"/>
          <w:szCs w:val="22"/>
          <w:lang w:val="es-ES" w:eastAsia="es-MX"/>
        </w:rPr>
        <w:t>…</w:t>
      </w:r>
      <w:r>
        <w:rPr>
          <w:rFonts w:ascii="ITC Avant Garde" w:hAnsi="ITC Avant Garde"/>
          <w:bCs/>
          <w:i/>
          <w:color w:val="000000"/>
          <w:sz w:val="18"/>
          <w:szCs w:val="22"/>
          <w:lang w:val="es-ES" w:eastAsia="es-MX"/>
        </w:rPr>
        <w:t>]</w:t>
      </w:r>
      <w:r w:rsidRPr="00E431D5">
        <w:rPr>
          <w:rFonts w:ascii="ITC Avant Garde" w:hAnsi="ITC Avant Garde"/>
          <w:bCs/>
          <w:i/>
          <w:color w:val="000000"/>
          <w:sz w:val="18"/>
          <w:szCs w:val="22"/>
          <w:lang w:val="es-ES" w:eastAsia="es-MX"/>
        </w:rPr>
        <w:t>”</w:t>
      </w:r>
    </w:p>
    <w:p w14:paraId="5482A2FE" w14:textId="77777777" w:rsidR="00B72000" w:rsidRDefault="00B72000" w:rsidP="00B72000">
      <w:pPr>
        <w:jc w:val="both"/>
        <w:rPr>
          <w:rFonts w:ascii="ITC Avant Garde" w:hAnsi="ITC Avant Garde"/>
          <w:bCs/>
          <w:color w:val="000000"/>
          <w:sz w:val="22"/>
          <w:szCs w:val="22"/>
          <w:lang w:val="es-ES" w:eastAsia="es-MX"/>
        </w:rPr>
      </w:pPr>
    </w:p>
    <w:p w14:paraId="32B3C7A3" w14:textId="77777777" w:rsidR="00B72000" w:rsidRDefault="00B72000" w:rsidP="00B72000">
      <w:pPr>
        <w:jc w:val="both"/>
        <w:rPr>
          <w:rFonts w:ascii="ITC Avant Garde" w:hAnsi="ITC Avant Garde"/>
          <w:bCs/>
          <w:color w:val="000000"/>
          <w:sz w:val="22"/>
          <w:szCs w:val="22"/>
          <w:lang w:val="es-ES" w:eastAsia="es-MX"/>
        </w:rPr>
      </w:pPr>
      <w:r>
        <w:rPr>
          <w:rFonts w:ascii="ITC Avant Garde" w:hAnsi="ITC Avant Garde"/>
          <w:bCs/>
          <w:color w:val="000000"/>
          <w:sz w:val="22"/>
          <w:szCs w:val="22"/>
          <w:lang w:val="es-ES" w:eastAsia="es-MX"/>
        </w:rPr>
        <w:lastRenderedPageBreak/>
        <w:t>De igual forma, en lo tocante a la banda de frecuencias 410-430 MHz, destaca la siguiente nota nacional:</w:t>
      </w:r>
    </w:p>
    <w:p w14:paraId="35FE7821" w14:textId="77777777" w:rsidR="00B72000" w:rsidRDefault="00B72000" w:rsidP="00B72000">
      <w:pPr>
        <w:jc w:val="both"/>
        <w:rPr>
          <w:rFonts w:ascii="ITC Avant Garde" w:hAnsi="ITC Avant Garde"/>
          <w:bCs/>
          <w:color w:val="000000"/>
          <w:sz w:val="22"/>
          <w:szCs w:val="22"/>
          <w:lang w:val="es-ES" w:eastAsia="es-MX"/>
        </w:rPr>
      </w:pPr>
    </w:p>
    <w:p w14:paraId="7E536180" w14:textId="77777777" w:rsidR="00B72000" w:rsidRPr="00E431D5" w:rsidRDefault="00B72000" w:rsidP="00B72000">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t>“</w:t>
      </w:r>
      <w:r w:rsidRPr="00E431D5">
        <w:rPr>
          <w:rFonts w:ascii="ITC Avant Garde" w:hAnsi="ITC Avant Garde"/>
          <w:b/>
          <w:bCs/>
          <w:i/>
          <w:color w:val="000000"/>
          <w:sz w:val="18"/>
          <w:szCs w:val="22"/>
          <w:lang w:val="es-ES" w:eastAsia="es-MX"/>
        </w:rPr>
        <w:t>MX134</w:t>
      </w:r>
      <w:r w:rsidRPr="00E431D5">
        <w:rPr>
          <w:rFonts w:ascii="ITC Avant Garde" w:hAnsi="ITC Avant Garde"/>
          <w:bCs/>
          <w:i/>
          <w:color w:val="000000"/>
          <w:sz w:val="18"/>
          <w:szCs w:val="22"/>
          <w:lang w:val="es-ES" w:eastAsia="es-MX"/>
        </w:rPr>
        <w:t xml:space="preserve"> La banda 410 – 430 MHz se tiene prevista para la provisión exclusiva del servicio móvil de radiocomunicación especializado de flotillas. La sub-banda 410 – 415/420 – 425 MHz se destina a operaciones de uso comercial, mientras que la sub-banda 415 – 420/425 – 430 MHz se destina para las operaciones de uso público.</w:t>
      </w:r>
      <w:r>
        <w:rPr>
          <w:rFonts w:ascii="ITC Avant Garde" w:hAnsi="ITC Avant Garde"/>
          <w:bCs/>
          <w:i/>
          <w:color w:val="000000"/>
          <w:sz w:val="18"/>
          <w:szCs w:val="22"/>
          <w:lang w:val="es-ES" w:eastAsia="es-MX"/>
        </w:rPr>
        <w:t>”</w:t>
      </w:r>
    </w:p>
    <w:p w14:paraId="5FD071B2" w14:textId="77777777" w:rsidR="00B72000" w:rsidRDefault="00B72000" w:rsidP="00B72000">
      <w:pPr>
        <w:jc w:val="both"/>
        <w:rPr>
          <w:rFonts w:ascii="ITC Avant Garde" w:hAnsi="ITC Avant Garde"/>
          <w:bCs/>
          <w:color w:val="000000"/>
          <w:sz w:val="22"/>
          <w:szCs w:val="22"/>
          <w:lang w:val="es-ES" w:eastAsia="es-MX"/>
        </w:rPr>
      </w:pPr>
    </w:p>
    <w:p w14:paraId="5AA69FCA" w14:textId="77777777" w:rsidR="00B72000" w:rsidRPr="00E431D5" w:rsidRDefault="00B72000" w:rsidP="00B72000">
      <w:pPr>
        <w:autoSpaceDE w:val="0"/>
        <w:autoSpaceDN w:val="0"/>
        <w:adjustRightInd w:val="0"/>
        <w:jc w:val="both"/>
        <w:rPr>
          <w:rFonts w:ascii="ITC Avant Garde" w:hAnsi="ITC Avant Garde"/>
          <w:bCs/>
          <w:color w:val="000000"/>
          <w:sz w:val="22"/>
          <w:szCs w:val="22"/>
          <w:lang w:val="es-ES" w:eastAsia="es-MX"/>
        </w:rPr>
      </w:pPr>
      <w:r w:rsidRPr="00E431D5">
        <w:rPr>
          <w:rFonts w:ascii="ITC Avant Garde" w:hAnsi="ITC Avant Garde"/>
          <w:bCs/>
          <w:color w:val="000000"/>
          <w:sz w:val="22"/>
          <w:szCs w:val="22"/>
          <w:lang w:val="es-ES" w:eastAsia="es-MX"/>
        </w:rPr>
        <w:t>Por su parte, el Reglamento de Radiocomunicaciones de la Unión Internacional de Telecomunicaciones, instrumento administrativo que complementa y regula el uso de las telecomunicaciones y que es vinculante para nuestro país, como Estado Miembro de la Unión Internacional de Telecomunicaciones, señala en la Nota Internacional Relevante 5.</w:t>
      </w:r>
      <w:r>
        <w:rPr>
          <w:rFonts w:ascii="ITC Avant Garde" w:hAnsi="ITC Avant Garde"/>
          <w:bCs/>
          <w:color w:val="000000"/>
          <w:sz w:val="22"/>
          <w:szCs w:val="22"/>
          <w:lang w:val="es-ES" w:eastAsia="es-MX"/>
        </w:rPr>
        <w:t>317</w:t>
      </w:r>
      <w:r w:rsidRPr="00E431D5">
        <w:rPr>
          <w:rFonts w:ascii="ITC Avant Garde" w:hAnsi="ITC Avant Garde"/>
          <w:bCs/>
          <w:color w:val="000000"/>
          <w:sz w:val="22"/>
          <w:szCs w:val="22"/>
          <w:lang w:val="es-ES" w:eastAsia="es-MX"/>
        </w:rPr>
        <w:t>A lo siguiente:</w:t>
      </w:r>
    </w:p>
    <w:p w14:paraId="454CF853" w14:textId="77777777" w:rsidR="00B72000" w:rsidRDefault="00B72000" w:rsidP="00B72000">
      <w:pPr>
        <w:jc w:val="both"/>
        <w:rPr>
          <w:rFonts w:ascii="ITC Avant Garde" w:hAnsi="ITC Avant Garde"/>
          <w:bCs/>
          <w:color w:val="000000"/>
          <w:sz w:val="22"/>
          <w:szCs w:val="22"/>
          <w:lang w:val="es-ES" w:eastAsia="es-MX"/>
        </w:rPr>
      </w:pPr>
    </w:p>
    <w:p w14:paraId="34DF703B" w14:textId="37B8C526" w:rsidR="00B72000" w:rsidRPr="000F0D8F" w:rsidRDefault="00B72000" w:rsidP="00B72000">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t>“</w:t>
      </w:r>
      <w:r w:rsidRPr="000F0D8F">
        <w:rPr>
          <w:rFonts w:ascii="ITC Avant Garde" w:hAnsi="ITC Avant Garde"/>
          <w:b/>
          <w:bCs/>
          <w:i/>
          <w:color w:val="000000"/>
          <w:sz w:val="18"/>
          <w:szCs w:val="22"/>
          <w:lang w:val="es-ES" w:eastAsia="es-MX"/>
        </w:rPr>
        <w:t>5.317A</w:t>
      </w:r>
      <w:r w:rsidRPr="000F0D8F">
        <w:rPr>
          <w:rFonts w:ascii="ITC Avant Garde" w:hAnsi="ITC Avant Garde"/>
          <w:bCs/>
          <w:i/>
          <w:color w:val="000000"/>
          <w:sz w:val="18"/>
          <w:szCs w:val="22"/>
          <w:lang w:val="es-ES" w:eastAsia="es-MX"/>
        </w:rPr>
        <w:t xml:space="preserve"> Las partes de la banda 698-960 MHz en la Región 2 y de la banda 790-960 MHz en las Regiones 1 y 3 atribuidas al servicio móvil a titulo primario se han identificado para su utilización por las administraciones que deseen introducir las Telecomunicaciones Móviles Internacionales (IMT) </w:t>
      </w:r>
      <w:r w:rsidRPr="000F0D8F">
        <w:rPr>
          <w:rFonts w:ascii="ITC Avant Garde" w:hAnsi="ITC Avant Garde" w:hint="eastAsia"/>
          <w:bCs/>
          <w:i/>
          <w:color w:val="000000"/>
          <w:sz w:val="18"/>
          <w:szCs w:val="22"/>
          <w:lang w:val="es-ES" w:eastAsia="es-MX"/>
        </w:rPr>
        <w:t>–</w:t>
      </w:r>
      <w:r w:rsidRPr="000F0D8F">
        <w:rPr>
          <w:rFonts w:ascii="ITC Avant Garde" w:hAnsi="ITC Avant Garde"/>
          <w:bCs/>
          <w:i/>
          <w:color w:val="000000"/>
          <w:sz w:val="18"/>
          <w:szCs w:val="22"/>
          <w:lang w:val="es-ES" w:eastAsia="es-MX"/>
        </w:rPr>
        <w:t xml:space="preserve"> Véanse las Resoluciones </w:t>
      </w:r>
      <w:r w:rsidRPr="000F0D8F">
        <w:rPr>
          <w:rFonts w:ascii="ITC Avant Garde" w:hAnsi="ITC Avant Garde"/>
          <w:b/>
          <w:bCs/>
          <w:i/>
          <w:color w:val="000000"/>
          <w:sz w:val="18"/>
          <w:szCs w:val="22"/>
          <w:lang w:val="es-ES" w:eastAsia="es-MX"/>
        </w:rPr>
        <w:t>224 (Rev.CMR-12)</w:t>
      </w:r>
      <w:r w:rsidRPr="000F0D8F">
        <w:rPr>
          <w:rFonts w:ascii="ITC Avant Garde" w:hAnsi="ITC Avant Garde"/>
          <w:bCs/>
          <w:i/>
          <w:color w:val="000000"/>
          <w:sz w:val="18"/>
          <w:szCs w:val="22"/>
          <w:lang w:val="es-ES" w:eastAsia="es-MX"/>
        </w:rPr>
        <w:t xml:space="preserve"> y </w:t>
      </w:r>
      <w:r w:rsidRPr="000F0D8F">
        <w:rPr>
          <w:rFonts w:ascii="ITC Avant Garde" w:hAnsi="ITC Avant Garde"/>
          <w:b/>
          <w:bCs/>
          <w:i/>
          <w:color w:val="000000"/>
          <w:sz w:val="18"/>
          <w:szCs w:val="22"/>
          <w:lang w:val="es-ES" w:eastAsia="es-MX"/>
        </w:rPr>
        <w:t>749 (Rev.CMR-12)</w:t>
      </w:r>
      <w:r w:rsidR="006E6DCB">
        <w:rPr>
          <w:rFonts w:ascii="ITC Avant Garde" w:hAnsi="ITC Avant Garde"/>
          <w:bCs/>
          <w:i/>
          <w:color w:val="000000"/>
          <w:sz w:val="18"/>
          <w:szCs w:val="22"/>
          <w:lang w:val="es-ES" w:eastAsia="es-MX"/>
        </w:rPr>
        <w:t>, segú</w:t>
      </w:r>
      <w:r w:rsidRPr="000F0D8F">
        <w:rPr>
          <w:rFonts w:ascii="ITC Avant Garde" w:hAnsi="ITC Avant Garde"/>
          <w:bCs/>
          <w:i/>
          <w:color w:val="000000"/>
          <w:sz w:val="18"/>
          <w:szCs w:val="22"/>
          <w:lang w:val="es-ES" w:eastAsia="es-MX"/>
        </w:rPr>
        <w:t>n proceda. La identificación de estas bandas no excluye que se utilicen para otras aplicaciones de los servicios a los que están atribuidas y no implica prioridad alguna en el Reglamento de Radiocomunicaciones. (CMR-12)</w:t>
      </w:r>
      <w:r>
        <w:rPr>
          <w:rFonts w:ascii="ITC Avant Garde" w:hAnsi="ITC Avant Garde"/>
          <w:bCs/>
          <w:i/>
          <w:color w:val="000000"/>
          <w:sz w:val="18"/>
          <w:szCs w:val="22"/>
          <w:lang w:val="es-ES" w:eastAsia="es-MX"/>
        </w:rPr>
        <w:t>”</w:t>
      </w:r>
    </w:p>
    <w:p w14:paraId="7AE1465F" w14:textId="77777777" w:rsidR="00B72000" w:rsidRDefault="00B72000" w:rsidP="00B72000">
      <w:pPr>
        <w:jc w:val="both"/>
        <w:rPr>
          <w:rFonts w:ascii="ITC Avant Garde" w:hAnsi="ITC Avant Garde"/>
          <w:bCs/>
          <w:color w:val="000000"/>
          <w:sz w:val="22"/>
          <w:szCs w:val="22"/>
          <w:lang w:val="es-ES" w:eastAsia="es-MX"/>
        </w:rPr>
      </w:pPr>
    </w:p>
    <w:p w14:paraId="2F559A88" w14:textId="77777777" w:rsidR="00B72000" w:rsidRDefault="00B72000" w:rsidP="00B72000">
      <w:pPr>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t xml:space="preserve">Del análisis de las notas nacionales e internacionales relevantes antes transcritas y como parte de las medidas de prospectiva con respecto a la administración del espectro radioeléctrico en nuestro </w:t>
      </w:r>
      <w:r>
        <w:rPr>
          <w:rFonts w:ascii="ITC Avant Garde" w:eastAsia="Calibri" w:hAnsi="ITC Avant Garde"/>
          <w:bCs/>
          <w:color w:val="000000"/>
          <w:sz w:val="22"/>
          <w:szCs w:val="22"/>
          <w:lang w:eastAsia="es-MX"/>
        </w:rPr>
        <w:t xml:space="preserve">país, se desprende </w:t>
      </w:r>
      <w:r>
        <w:rPr>
          <w:rFonts w:ascii="ITC Avant Garde" w:hAnsi="ITC Avant Garde"/>
          <w:bCs/>
          <w:color w:val="000000"/>
          <w:sz w:val="22"/>
          <w:szCs w:val="22"/>
          <w:lang w:val="es-ES" w:eastAsia="es-MX"/>
        </w:rPr>
        <w:t xml:space="preserve">que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se ha identificado a nivel mundial por la Unión Internacional de Telecomunicaciones como una banda de frecuencias propicia para su uso por sistemas de banda ancha móvil. En tal virtud, la utilización de dicha banda por tales sistemas, significa un uso más eficiente del espectro radioeléctrico en comparación con su utilización por sistemas de banda angosta como es el caso de los sistemas del servicio móvil de radiocomunicación especializada de flotillas.</w:t>
      </w:r>
    </w:p>
    <w:p w14:paraId="02161C2A" w14:textId="77777777" w:rsidR="00B72000" w:rsidRDefault="00B72000" w:rsidP="00B72000">
      <w:pPr>
        <w:jc w:val="both"/>
        <w:rPr>
          <w:rFonts w:ascii="ITC Avant Garde" w:eastAsia="Calibri" w:hAnsi="ITC Avant Garde"/>
          <w:bCs/>
          <w:color w:val="000000"/>
          <w:sz w:val="22"/>
          <w:szCs w:val="22"/>
          <w:lang w:eastAsia="es-MX"/>
        </w:rPr>
      </w:pPr>
    </w:p>
    <w:p w14:paraId="2543390C" w14:textId="77777777" w:rsidR="00B72000" w:rsidRDefault="00B72000" w:rsidP="00B72000">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En consistencia con lo anterior,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xml:space="preserve"> es objeto del </w:t>
      </w:r>
      <w:r w:rsidRPr="006B76DA">
        <w:rPr>
          <w:rFonts w:ascii="ITC Avant Garde" w:eastAsia="Calibri" w:hAnsi="ITC Avant Garde"/>
          <w:bCs/>
          <w:i/>
          <w:color w:val="000000"/>
          <w:sz w:val="22"/>
          <w:szCs w:val="22"/>
          <w:lang w:eastAsia="es-MX"/>
        </w:rPr>
        <w:t>“Protocolo entre la Secretaría y el Departamento de Estado de los Estados Unidos de América relativo a la adjudicación, asignación y uso de las bandas de 806-824/851-869 MHz y 896-901/935-940 MHz para el servicios terrenales de radiocomunicación excepto radiodifusión, a lo largo de la frontera común en una franja de 110 km a cada lado de la misma”</w:t>
      </w:r>
      <w:r w:rsidRPr="007E5D65">
        <w:rPr>
          <w:rFonts w:ascii="ITC Avant Garde" w:eastAsia="Calibri" w:hAnsi="ITC Avant Garde"/>
          <w:bCs/>
          <w:color w:val="000000"/>
          <w:sz w:val="22"/>
          <w:szCs w:val="22"/>
          <w:lang w:eastAsia="es-MX"/>
        </w:rPr>
        <w:t xml:space="preserve"> (el “Protocolo”)</w:t>
      </w:r>
      <w:r>
        <w:rPr>
          <w:rFonts w:ascii="ITC Avant Garde" w:eastAsia="Calibri" w:hAnsi="ITC Avant Garde"/>
          <w:bCs/>
          <w:color w:val="000000"/>
          <w:sz w:val="22"/>
          <w:szCs w:val="22"/>
          <w:lang w:eastAsia="es-MX"/>
        </w:rPr>
        <w:t xml:space="preserve">, mismo fue suscrito el 8 de junio de 2012 por ambas administraciones. </w:t>
      </w:r>
    </w:p>
    <w:p w14:paraId="1EF04746" w14:textId="77777777" w:rsidR="00B72000" w:rsidRDefault="00B72000" w:rsidP="00B72000">
      <w:pPr>
        <w:contextualSpacing/>
        <w:jc w:val="both"/>
        <w:rPr>
          <w:rFonts w:ascii="ITC Avant Garde" w:eastAsia="Calibri" w:hAnsi="ITC Avant Garde"/>
          <w:bCs/>
          <w:color w:val="000000"/>
          <w:sz w:val="22"/>
          <w:szCs w:val="22"/>
          <w:lang w:eastAsia="es-MX"/>
        </w:rPr>
      </w:pPr>
    </w:p>
    <w:p w14:paraId="02EAFE9B" w14:textId="77777777" w:rsidR="00B72000" w:rsidRDefault="00B72000" w:rsidP="00B72000">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Dicho Protocolo establece</w:t>
      </w:r>
      <w:r w:rsidRPr="007E5D65">
        <w:rPr>
          <w:rFonts w:ascii="ITC Avant Garde" w:eastAsia="Calibri" w:hAnsi="ITC Avant Garde"/>
          <w:bCs/>
          <w:color w:val="000000"/>
          <w:sz w:val="22"/>
          <w:szCs w:val="22"/>
          <w:lang w:eastAsia="es-MX"/>
        </w:rPr>
        <w:t xml:space="preserve"> un nuevo plan de adjudicación para el uso equitativo de las citadas bandas de frecuencias en la zona fronteriza</w:t>
      </w:r>
      <w:r>
        <w:rPr>
          <w:rFonts w:ascii="ITC Avant Garde" w:eastAsia="Calibri" w:hAnsi="ITC Avant Garde"/>
          <w:bCs/>
          <w:color w:val="000000"/>
          <w:sz w:val="22"/>
          <w:szCs w:val="22"/>
          <w:lang w:eastAsia="es-MX"/>
        </w:rPr>
        <w:t>, para ello, entre otros aspectos, y c</w:t>
      </w:r>
      <w:r w:rsidRPr="00100102">
        <w:rPr>
          <w:rFonts w:ascii="ITC Avant Garde" w:eastAsia="Calibri" w:hAnsi="ITC Avant Garde"/>
          <w:bCs/>
          <w:color w:val="000000"/>
          <w:sz w:val="22"/>
          <w:szCs w:val="22"/>
          <w:lang w:eastAsia="es-MX"/>
        </w:rPr>
        <w:t>on el objet</w:t>
      </w:r>
      <w:r>
        <w:rPr>
          <w:rFonts w:ascii="ITC Avant Garde" w:eastAsia="Calibri" w:hAnsi="ITC Avant Garde"/>
          <w:bCs/>
          <w:color w:val="000000"/>
          <w:sz w:val="22"/>
          <w:szCs w:val="22"/>
          <w:lang w:eastAsia="es-MX"/>
        </w:rPr>
        <w:t>ivo de</w:t>
      </w:r>
      <w:r w:rsidRPr="00100102">
        <w:rPr>
          <w:rFonts w:ascii="ITC Avant Garde" w:eastAsia="Calibri" w:hAnsi="ITC Avant Garde"/>
          <w:bCs/>
          <w:color w:val="000000"/>
          <w:sz w:val="22"/>
          <w:szCs w:val="22"/>
          <w:lang w:eastAsia="es-MX"/>
        </w:rPr>
        <w:t xml:space="preserve"> instrumentar </w:t>
      </w:r>
      <w:r>
        <w:rPr>
          <w:rFonts w:ascii="ITC Avant Garde" w:eastAsia="Calibri" w:hAnsi="ITC Avant Garde"/>
          <w:bCs/>
          <w:color w:val="000000"/>
          <w:sz w:val="22"/>
          <w:szCs w:val="22"/>
          <w:lang w:eastAsia="es-MX"/>
        </w:rPr>
        <w:t xml:space="preserve">el citado </w:t>
      </w:r>
      <w:r w:rsidRPr="00100102">
        <w:rPr>
          <w:rFonts w:ascii="ITC Avant Garde" w:eastAsia="Calibri" w:hAnsi="ITC Avant Garde"/>
          <w:bCs/>
          <w:color w:val="000000"/>
          <w:sz w:val="22"/>
          <w:szCs w:val="22"/>
          <w:lang w:eastAsia="es-MX"/>
        </w:rPr>
        <w:t xml:space="preserve">plan, el artículo V del </w:t>
      </w:r>
      <w:r>
        <w:rPr>
          <w:rFonts w:ascii="ITC Avant Garde" w:eastAsia="Calibri" w:hAnsi="ITC Avant Garde"/>
          <w:bCs/>
          <w:color w:val="000000"/>
          <w:sz w:val="22"/>
          <w:szCs w:val="22"/>
          <w:lang w:eastAsia="es-MX"/>
        </w:rPr>
        <w:t xml:space="preserve">Protocolo </w:t>
      </w:r>
      <w:r w:rsidRPr="00100102">
        <w:rPr>
          <w:rFonts w:ascii="ITC Avant Garde" w:eastAsia="Calibri" w:hAnsi="ITC Avant Garde"/>
          <w:bCs/>
          <w:color w:val="000000"/>
          <w:sz w:val="22"/>
          <w:szCs w:val="22"/>
          <w:lang w:eastAsia="es-MX"/>
        </w:rPr>
        <w:t xml:space="preserve">señala que las </w:t>
      </w:r>
      <w:r>
        <w:rPr>
          <w:rFonts w:ascii="ITC Avant Garde" w:eastAsia="Calibri" w:hAnsi="ITC Avant Garde"/>
          <w:bCs/>
          <w:color w:val="000000"/>
          <w:sz w:val="22"/>
          <w:szCs w:val="22"/>
          <w:lang w:eastAsia="es-MX"/>
        </w:rPr>
        <w:t>a</w:t>
      </w:r>
      <w:r w:rsidRPr="00100102">
        <w:rPr>
          <w:rFonts w:ascii="ITC Avant Garde" w:eastAsia="Calibri" w:hAnsi="ITC Avant Garde"/>
          <w:bCs/>
          <w:color w:val="000000"/>
          <w:sz w:val="22"/>
          <w:szCs w:val="22"/>
          <w:lang w:eastAsia="es-MX"/>
        </w:rPr>
        <w:t xml:space="preserve">dministraciones deberán implementar ciertas acciones para la migración de los concesionarios </w:t>
      </w:r>
      <w:r>
        <w:rPr>
          <w:rFonts w:ascii="ITC Avant Garde" w:eastAsia="Calibri" w:hAnsi="ITC Avant Garde"/>
          <w:bCs/>
          <w:color w:val="000000"/>
          <w:sz w:val="22"/>
          <w:szCs w:val="22"/>
          <w:lang w:eastAsia="es-MX"/>
        </w:rPr>
        <w:t>que operan actualmente en esta banda de frecuencias, para el caso de México, los concesionarios del servicio móvil de radiocomunicación especializada de flotillas,</w:t>
      </w:r>
      <w:r w:rsidRPr="00100102">
        <w:rPr>
          <w:rFonts w:ascii="ITC Avant Garde" w:eastAsia="Calibri" w:hAnsi="ITC Avant Garde"/>
          <w:bCs/>
          <w:color w:val="000000"/>
          <w:sz w:val="22"/>
          <w:szCs w:val="22"/>
          <w:lang w:eastAsia="es-MX"/>
        </w:rPr>
        <w:t xml:space="preserve"> </w:t>
      </w:r>
      <w:r>
        <w:rPr>
          <w:rFonts w:ascii="ITC Avant Garde" w:eastAsia="Calibri" w:hAnsi="ITC Avant Garde"/>
          <w:bCs/>
          <w:color w:val="000000"/>
          <w:sz w:val="22"/>
          <w:szCs w:val="22"/>
          <w:lang w:eastAsia="es-MX"/>
        </w:rPr>
        <w:t>deberán migrar a</w:t>
      </w:r>
      <w:r w:rsidRPr="00100102">
        <w:rPr>
          <w:rFonts w:ascii="ITC Avant Garde" w:eastAsia="Calibri" w:hAnsi="ITC Avant Garde"/>
          <w:bCs/>
          <w:color w:val="000000"/>
          <w:sz w:val="22"/>
          <w:szCs w:val="22"/>
          <w:lang w:eastAsia="es-MX"/>
        </w:rPr>
        <w:t xml:space="preserve"> canales de reemplazo dentro o fuera de la banda de frecuencias</w:t>
      </w:r>
      <w:r>
        <w:rPr>
          <w:rFonts w:ascii="ITC Avant Garde" w:eastAsia="Calibri" w:hAnsi="ITC Avant Garde"/>
          <w:bCs/>
          <w:color w:val="000000"/>
          <w:sz w:val="22"/>
          <w:szCs w:val="22"/>
          <w:lang w:eastAsia="es-MX"/>
        </w:rPr>
        <w:t xml:space="preserve"> en comento</w:t>
      </w:r>
      <w:r w:rsidRPr="00100102">
        <w:rPr>
          <w:rFonts w:ascii="ITC Avant Garde" w:eastAsia="Calibri" w:hAnsi="ITC Avant Garde"/>
          <w:bCs/>
          <w:color w:val="000000"/>
          <w:sz w:val="22"/>
          <w:szCs w:val="22"/>
          <w:lang w:eastAsia="es-MX"/>
        </w:rPr>
        <w:t>.</w:t>
      </w:r>
    </w:p>
    <w:p w14:paraId="0C36404D" w14:textId="77777777" w:rsidR="00B72000" w:rsidRDefault="00B72000" w:rsidP="00B72000">
      <w:pPr>
        <w:contextualSpacing/>
        <w:jc w:val="both"/>
        <w:rPr>
          <w:rFonts w:ascii="ITC Avant Garde" w:eastAsia="Calibri" w:hAnsi="ITC Avant Garde"/>
          <w:bCs/>
          <w:color w:val="000000"/>
          <w:sz w:val="22"/>
          <w:szCs w:val="22"/>
          <w:lang w:eastAsia="es-MX"/>
        </w:rPr>
      </w:pPr>
    </w:p>
    <w:p w14:paraId="184D8219" w14:textId="77777777" w:rsidR="00B72000" w:rsidRDefault="00B72000" w:rsidP="00B72000">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Por otro lado, como ya se señaló, el Cuadro Nacional de Atribución de Frecuencias estable que la banda de frecuencias 410-430 MHz se ha previsto para la provisión exclusiva del servicio </w:t>
      </w:r>
      <w:r>
        <w:rPr>
          <w:rFonts w:ascii="ITC Avant Garde" w:eastAsia="Calibri" w:hAnsi="ITC Avant Garde"/>
          <w:bCs/>
          <w:color w:val="000000"/>
          <w:sz w:val="22"/>
          <w:szCs w:val="22"/>
          <w:lang w:eastAsia="es-MX"/>
        </w:rPr>
        <w:lastRenderedPageBreak/>
        <w:t xml:space="preserve">móvil de radiocomunicación especializada de flotillas, debido a que dicha banda cuenta con diversas soluciones tecnológicas para la prestación de tales servicios, además de que no se encuentra identificada por la Unión Internacional de Telecomunicaciones como una banda propicia para la prestación de servicios de banda ancha. </w:t>
      </w:r>
    </w:p>
    <w:p w14:paraId="7084C56C" w14:textId="77777777" w:rsidR="00B72000" w:rsidRDefault="00B72000" w:rsidP="00B72000">
      <w:pPr>
        <w:contextualSpacing/>
        <w:jc w:val="both"/>
        <w:rPr>
          <w:rFonts w:ascii="ITC Avant Garde" w:eastAsia="Calibri" w:hAnsi="ITC Avant Garde"/>
          <w:bCs/>
          <w:color w:val="000000"/>
          <w:sz w:val="22"/>
          <w:szCs w:val="22"/>
          <w:lang w:eastAsia="es-MX"/>
        </w:rPr>
      </w:pPr>
    </w:p>
    <w:p w14:paraId="3096B4B6" w14:textId="77777777" w:rsidR="00B72000" w:rsidRDefault="00B72000" w:rsidP="00B72000">
      <w:pPr>
        <w:contextualSpacing/>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t>En virtud de todo lo anterior, y con el objeto de propiciar un uso más eficiente del espectro radioeléctrico y al mismo tiempo dar cumplimiento a lo establecido por el Cuadro Nacional de Atribución de Frecuencias, el Reglamento de Radiocomunicaciones de la Unión Internacional de Telecomunicaciones, y el Protocolo, la banda de frecuencias 410-430 MHz se ha identificado como una alternativa para la reubicación de las operaciones de los concesionarios de sistemas de radiocomunicación</w:t>
      </w:r>
      <w:r w:rsidRPr="00E26E64">
        <w:rPr>
          <w:rFonts w:ascii="ITC Avant Garde" w:eastAsia="Calibri" w:hAnsi="ITC Avant Garde"/>
          <w:bCs/>
          <w:color w:val="000000"/>
          <w:sz w:val="22"/>
          <w:szCs w:val="22"/>
          <w:lang w:eastAsia="es-MX"/>
        </w:rPr>
        <w:t xml:space="preserve"> especializada de flotillas provenientes de</w:t>
      </w:r>
      <w:r>
        <w:rPr>
          <w:rFonts w:ascii="ITC Avant Garde" w:eastAsia="Calibri" w:hAnsi="ITC Avant Garde"/>
          <w:bCs/>
          <w:color w:val="000000"/>
          <w:sz w:val="22"/>
          <w:szCs w:val="22"/>
          <w:lang w:eastAsia="es-MX"/>
        </w:rPr>
        <w:t xml:space="preserve"> las bandas 806-821/851-866 MHz.</w:t>
      </w:r>
    </w:p>
    <w:p w14:paraId="6736B0D9" w14:textId="77777777" w:rsidR="00B72000" w:rsidRDefault="00B72000" w:rsidP="00464BB1">
      <w:pPr>
        <w:jc w:val="both"/>
        <w:rPr>
          <w:rFonts w:ascii="ITC Avant Garde" w:eastAsia="Calibri" w:hAnsi="ITC Avant Garde"/>
          <w:bCs/>
          <w:color w:val="000000"/>
          <w:sz w:val="22"/>
          <w:szCs w:val="22"/>
          <w:lang w:eastAsia="es-MX"/>
        </w:rPr>
      </w:pPr>
    </w:p>
    <w:p w14:paraId="2B695612" w14:textId="119D5680" w:rsidR="007D38A2" w:rsidRPr="00525DB6" w:rsidRDefault="00D56ADB" w:rsidP="007D38A2">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t>Octav</w:t>
      </w:r>
      <w:r w:rsidR="00C9406B" w:rsidRPr="00525DB6">
        <w:rPr>
          <w:rFonts w:ascii="ITC Avant Garde" w:eastAsia="Calibri" w:hAnsi="ITC Avant Garde"/>
          <w:b/>
          <w:bCs/>
          <w:color w:val="000000"/>
          <w:sz w:val="22"/>
          <w:szCs w:val="22"/>
          <w:lang w:eastAsia="es-MX"/>
        </w:rPr>
        <w:t>o</w:t>
      </w:r>
      <w:r w:rsidR="007D38A2" w:rsidRPr="00525DB6">
        <w:rPr>
          <w:rFonts w:ascii="ITC Avant Garde" w:eastAsia="Calibri" w:hAnsi="ITC Avant Garde"/>
          <w:b/>
          <w:bCs/>
          <w:color w:val="000000"/>
          <w:sz w:val="22"/>
          <w:szCs w:val="22"/>
          <w:lang w:eastAsia="es-MX"/>
        </w:rPr>
        <w:t xml:space="preserve">.- </w:t>
      </w:r>
      <w:r w:rsidR="004527C9" w:rsidRPr="00525DB6">
        <w:rPr>
          <w:rFonts w:ascii="ITC Avant Garde" w:eastAsia="Calibri" w:hAnsi="ITC Avant Garde"/>
          <w:b/>
          <w:bCs/>
          <w:color w:val="000000"/>
          <w:sz w:val="22"/>
          <w:szCs w:val="22"/>
          <w:lang w:eastAsia="es-MX"/>
        </w:rPr>
        <w:t xml:space="preserve">Opiniones técnicas respecto a la Solicitud de </w:t>
      </w:r>
      <w:r w:rsidR="007D38A2" w:rsidRPr="00525DB6">
        <w:rPr>
          <w:rFonts w:ascii="ITC Avant Garde" w:hAnsi="ITC Avant Garde"/>
          <w:b/>
          <w:bCs/>
          <w:color w:val="000000"/>
          <w:sz w:val="22"/>
          <w:szCs w:val="22"/>
          <w:lang w:val="es-ES" w:eastAsia="es-MX"/>
        </w:rPr>
        <w:t>Pr</w:t>
      </w:r>
      <w:r w:rsidR="004527C9" w:rsidRPr="00525DB6">
        <w:rPr>
          <w:rFonts w:ascii="ITC Avant Garde" w:hAnsi="ITC Avant Garde"/>
          <w:b/>
          <w:bCs/>
          <w:color w:val="000000"/>
          <w:sz w:val="22"/>
          <w:szCs w:val="22"/>
          <w:lang w:val="es-ES" w:eastAsia="es-MX"/>
        </w:rPr>
        <w:t>órroga</w:t>
      </w:r>
      <w:r w:rsidR="007D38A2" w:rsidRPr="00525DB6">
        <w:rPr>
          <w:rFonts w:ascii="ITC Avant Garde" w:hAnsi="ITC Avant Garde"/>
          <w:b/>
          <w:bCs/>
          <w:color w:val="000000"/>
          <w:sz w:val="22"/>
          <w:szCs w:val="22"/>
          <w:lang w:val="es-ES" w:eastAsia="es-MX"/>
        </w:rPr>
        <w:t>.</w:t>
      </w:r>
      <w:r w:rsidR="007D38A2" w:rsidRPr="00525DB6">
        <w:rPr>
          <w:rFonts w:ascii="ITC Avant Garde" w:hAnsi="ITC Avant Garde"/>
          <w:bCs/>
          <w:color w:val="000000"/>
          <w:sz w:val="22"/>
          <w:szCs w:val="22"/>
          <w:lang w:val="es-ES" w:eastAsia="es-MX"/>
        </w:rPr>
        <w:t xml:space="preserve"> Con la finalidad de contar con los elementos necesarios para la atención de la Solicitud de Prórroga, se requirió la opinión a la entonces Unidad de Prospectiva y Regulación de la Comisión que, conforme a lo señalado en el Antecedente </w:t>
      </w:r>
      <w:r w:rsidR="00965DCC" w:rsidRPr="00525DB6">
        <w:rPr>
          <w:rFonts w:ascii="ITC Avant Garde" w:hAnsi="ITC Avant Garde"/>
          <w:bCs/>
          <w:color w:val="000000"/>
          <w:sz w:val="22"/>
          <w:szCs w:val="22"/>
          <w:lang w:val="es-ES" w:eastAsia="es-MX"/>
        </w:rPr>
        <w:t>VII</w:t>
      </w:r>
      <w:r w:rsidR="007D38A2" w:rsidRPr="00525DB6">
        <w:rPr>
          <w:rFonts w:ascii="ITC Avant Garde" w:hAnsi="ITC Avant Garde"/>
          <w:bCs/>
          <w:color w:val="000000"/>
          <w:sz w:val="22"/>
          <w:szCs w:val="22"/>
          <w:lang w:val="es-ES" w:eastAsia="es-MX"/>
        </w:rPr>
        <w:t>, informó entre otras cosas, lo siguiente:</w:t>
      </w:r>
    </w:p>
    <w:p w14:paraId="0317A9F0" w14:textId="77777777" w:rsidR="007D38A2" w:rsidRPr="00525DB6" w:rsidRDefault="007D38A2" w:rsidP="007D38A2">
      <w:pPr>
        <w:jc w:val="both"/>
        <w:rPr>
          <w:rFonts w:ascii="ITC Avant Garde" w:hAnsi="ITC Avant Garde"/>
          <w:bCs/>
          <w:color w:val="000000"/>
          <w:sz w:val="22"/>
          <w:szCs w:val="22"/>
          <w:lang w:val="es-ES" w:eastAsia="es-MX"/>
        </w:rPr>
      </w:pPr>
    </w:p>
    <w:p w14:paraId="6551F8F6" w14:textId="77777777" w:rsidR="00965DCC" w:rsidRPr="00525DB6" w:rsidRDefault="00965DCC" w:rsidP="00965DCC">
      <w:pPr>
        <w:ind w:right="670" w:firstLine="708"/>
        <w:jc w:val="both"/>
        <w:rPr>
          <w:rFonts w:ascii="ITC Avant Garde" w:hAnsi="ITC Avant Garde"/>
          <w:bCs/>
          <w:i/>
          <w:color w:val="000000"/>
          <w:sz w:val="16"/>
          <w:szCs w:val="16"/>
          <w:lang w:val="es-ES" w:eastAsia="es-MX"/>
        </w:rPr>
      </w:pPr>
      <w:r w:rsidRPr="00525DB6">
        <w:rPr>
          <w:rFonts w:ascii="ITC Avant Garde" w:hAnsi="ITC Avant Garde"/>
          <w:bCs/>
          <w:i/>
          <w:color w:val="000000"/>
          <w:sz w:val="16"/>
          <w:szCs w:val="16"/>
          <w:lang w:val="es-ES" w:eastAsia="es-MX"/>
        </w:rPr>
        <w:t>“[…]</w:t>
      </w:r>
    </w:p>
    <w:p w14:paraId="14C8E922" w14:textId="77777777" w:rsidR="00965DCC" w:rsidRPr="00525DB6" w:rsidRDefault="00965DCC" w:rsidP="00965DCC">
      <w:pPr>
        <w:ind w:right="670" w:firstLine="708"/>
        <w:jc w:val="both"/>
        <w:rPr>
          <w:rFonts w:ascii="ITC Avant Garde" w:hAnsi="ITC Avant Garde"/>
          <w:bCs/>
          <w:i/>
          <w:color w:val="000000"/>
          <w:sz w:val="16"/>
          <w:szCs w:val="16"/>
          <w:lang w:val="es-ES" w:eastAsia="es-MX"/>
        </w:rPr>
      </w:pPr>
    </w:p>
    <w:p w14:paraId="7AA4892D" w14:textId="77777777" w:rsidR="00965DCC" w:rsidRPr="00525DB6" w:rsidRDefault="00965DCC" w:rsidP="00965DCC">
      <w:pPr>
        <w:ind w:right="670" w:firstLine="708"/>
        <w:jc w:val="both"/>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II. Planificación espectral para la banda 806-824/851-869 MHz</w:t>
      </w:r>
    </w:p>
    <w:p w14:paraId="152F7CA9" w14:textId="77777777" w:rsidR="00965DCC" w:rsidRPr="00525DB6" w:rsidRDefault="00965DCC" w:rsidP="00965DCC">
      <w:pPr>
        <w:ind w:right="670" w:firstLine="708"/>
        <w:jc w:val="both"/>
        <w:rPr>
          <w:rFonts w:ascii="ITC Avant Garde" w:hAnsi="ITC Avant Garde"/>
          <w:b/>
          <w:bCs/>
          <w:i/>
          <w:color w:val="000000"/>
          <w:sz w:val="16"/>
          <w:szCs w:val="16"/>
          <w:lang w:val="es-ES" w:eastAsia="es-MX"/>
        </w:rPr>
      </w:pPr>
    </w:p>
    <w:p w14:paraId="59CE15DE" w14:textId="77777777" w:rsidR="00965DCC" w:rsidRPr="00525DB6" w:rsidRDefault="00965DCC" w:rsidP="00965DCC">
      <w:pPr>
        <w:ind w:right="670" w:firstLine="708"/>
        <w:jc w:val="both"/>
        <w:rPr>
          <w:rFonts w:ascii="ITC Avant Garde" w:hAnsi="ITC Avant Garde"/>
          <w:bCs/>
          <w:i/>
          <w:color w:val="000000"/>
          <w:sz w:val="16"/>
          <w:szCs w:val="16"/>
          <w:lang w:val="es-ES" w:eastAsia="es-MX"/>
        </w:rPr>
      </w:pPr>
      <w:r w:rsidRPr="00525DB6">
        <w:rPr>
          <w:rFonts w:ascii="ITC Avant Garde" w:hAnsi="ITC Avant Garde"/>
          <w:bCs/>
          <w:i/>
          <w:color w:val="000000"/>
          <w:sz w:val="16"/>
          <w:szCs w:val="16"/>
          <w:lang w:val="es-ES" w:eastAsia="es-MX"/>
        </w:rPr>
        <w:t>[…]</w:t>
      </w:r>
    </w:p>
    <w:p w14:paraId="5229C182" w14:textId="77777777" w:rsidR="00965DCC" w:rsidRPr="00525DB6" w:rsidRDefault="00965DCC" w:rsidP="00965DCC">
      <w:pPr>
        <w:ind w:right="670" w:firstLine="708"/>
        <w:jc w:val="both"/>
        <w:rPr>
          <w:rFonts w:ascii="ITC Avant Garde" w:hAnsi="ITC Avant Garde"/>
          <w:bCs/>
          <w:i/>
          <w:color w:val="000000"/>
          <w:sz w:val="16"/>
          <w:szCs w:val="16"/>
          <w:lang w:val="es-ES" w:eastAsia="es-MX"/>
        </w:rPr>
      </w:pPr>
    </w:p>
    <w:p w14:paraId="26F18C98" w14:textId="77777777" w:rsidR="00965DCC" w:rsidRPr="00525DB6" w:rsidRDefault="00965DCC" w:rsidP="00965DCC">
      <w:pPr>
        <w:ind w:right="670" w:firstLine="708"/>
        <w:jc w:val="both"/>
        <w:rPr>
          <w:rFonts w:ascii="ITC Avant Garde" w:hAnsi="ITC Avant Garde"/>
          <w:bCs/>
          <w:i/>
          <w:color w:val="000000"/>
          <w:sz w:val="16"/>
          <w:szCs w:val="16"/>
          <w:u w:val="single"/>
          <w:lang w:val="es-ES" w:eastAsia="es-MX"/>
        </w:rPr>
      </w:pPr>
      <w:r w:rsidRPr="00525DB6">
        <w:rPr>
          <w:rFonts w:ascii="ITC Avant Garde" w:hAnsi="ITC Avant Garde"/>
          <w:bCs/>
          <w:i/>
          <w:color w:val="000000"/>
          <w:sz w:val="16"/>
          <w:szCs w:val="16"/>
          <w:lang w:val="es-ES" w:eastAsia="es-MX"/>
        </w:rPr>
        <w:t xml:space="preserve">4. </w:t>
      </w:r>
      <w:r w:rsidRPr="00525DB6">
        <w:rPr>
          <w:rFonts w:ascii="ITC Avant Garde" w:hAnsi="ITC Avant Garde"/>
          <w:bCs/>
          <w:i/>
          <w:color w:val="000000"/>
          <w:sz w:val="16"/>
          <w:szCs w:val="16"/>
          <w:u w:val="single"/>
          <w:lang w:val="es-ES" w:eastAsia="es-MX"/>
        </w:rPr>
        <w:t>Acciones de planificación.</w:t>
      </w:r>
    </w:p>
    <w:p w14:paraId="17AB1685" w14:textId="77777777" w:rsidR="00965DCC" w:rsidRPr="00525DB6" w:rsidRDefault="00965DCC" w:rsidP="00965DCC">
      <w:pPr>
        <w:ind w:left="708" w:right="670"/>
        <w:jc w:val="both"/>
        <w:rPr>
          <w:rFonts w:ascii="ITC Avant Garde" w:hAnsi="ITC Avant Garde"/>
          <w:bCs/>
          <w:i/>
          <w:color w:val="000000"/>
          <w:sz w:val="16"/>
          <w:szCs w:val="16"/>
          <w:lang w:val="es-ES" w:eastAsia="es-MX"/>
        </w:rPr>
      </w:pPr>
      <w:r w:rsidRPr="00525DB6">
        <w:rPr>
          <w:rFonts w:ascii="ITC Avant Garde" w:hAnsi="ITC Avant Garde"/>
          <w:bCs/>
          <w:i/>
          <w:color w:val="000000"/>
          <w:sz w:val="16"/>
          <w:szCs w:val="16"/>
          <w:u w:val="single"/>
          <w:lang w:val="es-ES" w:eastAsia="es-MX"/>
        </w:rPr>
        <w:t>La banda 698-960 MHz en la Región 2 ha sido identificada por la Unión Internacional Telecomunicaciones para su utilización por las Telecomunicaciones Móviles Internacionales (IMT)</w:t>
      </w:r>
      <w:r w:rsidRPr="00525DB6">
        <w:rPr>
          <w:rFonts w:ascii="ITC Avant Garde" w:hAnsi="ITC Avant Garde"/>
          <w:bCs/>
          <w:i/>
          <w:color w:val="000000"/>
          <w:sz w:val="16"/>
          <w:szCs w:val="16"/>
          <w:lang w:val="es-ES" w:eastAsia="es-MX"/>
        </w:rPr>
        <w:t xml:space="preserve">, toda vez que los estudios de la UIT, la cantidad de espectro utilizable y las condiciones de propagación muestran que </w:t>
      </w:r>
      <w:r w:rsidRPr="00525DB6">
        <w:rPr>
          <w:rFonts w:ascii="ITC Avant Garde" w:hAnsi="ITC Avant Garde"/>
          <w:bCs/>
          <w:i/>
          <w:color w:val="000000"/>
          <w:sz w:val="16"/>
          <w:szCs w:val="16"/>
          <w:u w:val="single"/>
          <w:lang w:val="es-ES" w:eastAsia="es-MX"/>
        </w:rPr>
        <w:t>estas banda es propicia para poder ofrecer servicios de comunicaciones móviles de banda ancha con cobertura y calidad que posibilite el eficiente uso de los dispositivos móviles en diferentes entornos y en distintas condiciones</w:t>
      </w:r>
      <w:r w:rsidRPr="00525DB6">
        <w:rPr>
          <w:rFonts w:ascii="ITC Avant Garde" w:hAnsi="ITC Avant Garde"/>
          <w:bCs/>
          <w:i/>
          <w:color w:val="000000"/>
          <w:sz w:val="16"/>
          <w:szCs w:val="16"/>
          <w:lang w:val="es-ES" w:eastAsia="es-MX"/>
        </w:rPr>
        <w:t xml:space="preserve">. </w:t>
      </w:r>
    </w:p>
    <w:p w14:paraId="198BA5B7" w14:textId="77777777" w:rsidR="00965DCC" w:rsidRPr="00525DB6" w:rsidRDefault="00965DCC" w:rsidP="00965DCC">
      <w:pPr>
        <w:ind w:left="708" w:right="670"/>
        <w:jc w:val="both"/>
        <w:rPr>
          <w:rFonts w:ascii="ITC Avant Garde" w:hAnsi="ITC Avant Garde"/>
          <w:bCs/>
          <w:i/>
          <w:color w:val="000000"/>
          <w:sz w:val="16"/>
          <w:szCs w:val="16"/>
          <w:lang w:val="es-ES" w:eastAsia="es-MX"/>
        </w:rPr>
      </w:pPr>
    </w:p>
    <w:p w14:paraId="1D611634" w14:textId="56025DFC" w:rsidR="00965DCC" w:rsidRPr="00525DB6" w:rsidRDefault="00965DCC" w:rsidP="00965DCC">
      <w:pPr>
        <w:ind w:left="708" w:right="670"/>
        <w:jc w:val="both"/>
        <w:rPr>
          <w:rFonts w:ascii="ITC Avant Garde" w:hAnsi="ITC Avant Garde"/>
          <w:bCs/>
          <w:i/>
          <w:color w:val="000000"/>
          <w:sz w:val="16"/>
          <w:szCs w:val="16"/>
          <w:lang w:val="es-ES" w:eastAsia="es-MX"/>
        </w:rPr>
      </w:pPr>
      <w:r w:rsidRPr="00525DB6">
        <w:rPr>
          <w:rFonts w:ascii="ITC Avant Garde" w:hAnsi="ITC Avant Garde"/>
          <w:bCs/>
          <w:i/>
          <w:color w:val="000000"/>
          <w:sz w:val="16"/>
          <w:szCs w:val="16"/>
          <w:lang w:val="es-ES" w:eastAsia="es-MX"/>
        </w:rPr>
        <w:t xml:space="preserve">Por otra parte, el grupo de estandarización 3GPP (3rd </w:t>
      </w:r>
      <w:proofErr w:type="spellStart"/>
      <w:r w:rsidRPr="00525DB6">
        <w:rPr>
          <w:rFonts w:ascii="ITC Avant Garde" w:hAnsi="ITC Avant Garde"/>
          <w:bCs/>
          <w:i/>
          <w:color w:val="000000"/>
          <w:sz w:val="16"/>
          <w:szCs w:val="16"/>
          <w:lang w:val="es-ES" w:eastAsia="es-MX"/>
        </w:rPr>
        <w:t>Generation</w:t>
      </w:r>
      <w:proofErr w:type="spellEnd"/>
      <w:r w:rsidRPr="00525DB6">
        <w:rPr>
          <w:rFonts w:ascii="ITC Avant Garde" w:hAnsi="ITC Avant Garde"/>
          <w:bCs/>
          <w:i/>
          <w:color w:val="000000"/>
          <w:sz w:val="16"/>
          <w:szCs w:val="16"/>
          <w:lang w:val="es-ES" w:eastAsia="es-MX"/>
        </w:rPr>
        <w:t xml:space="preserve"> </w:t>
      </w:r>
      <w:proofErr w:type="spellStart"/>
      <w:r w:rsidRPr="00525DB6">
        <w:rPr>
          <w:rFonts w:ascii="ITC Avant Garde" w:hAnsi="ITC Avant Garde"/>
          <w:bCs/>
          <w:i/>
          <w:color w:val="000000"/>
          <w:sz w:val="16"/>
          <w:szCs w:val="16"/>
          <w:lang w:val="es-ES" w:eastAsia="es-MX"/>
        </w:rPr>
        <w:t>Partnership</w:t>
      </w:r>
      <w:proofErr w:type="spellEnd"/>
      <w:r w:rsidRPr="00525DB6">
        <w:rPr>
          <w:rFonts w:ascii="ITC Avant Garde" w:hAnsi="ITC Avant Garde"/>
          <w:bCs/>
          <w:i/>
          <w:color w:val="000000"/>
          <w:sz w:val="16"/>
          <w:szCs w:val="16"/>
          <w:lang w:val="es-ES" w:eastAsia="es-MX"/>
        </w:rPr>
        <w:t xml:space="preserve"> Project), ha desarrollado las especificaciones técnicas de la interfaz aérea de LTE para aprovechar partes de la banda 698-960MHz en el despliegue de redes de co</w:t>
      </w:r>
      <w:r w:rsidR="004527C9" w:rsidRPr="00525DB6">
        <w:rPr>
          <w:rFonts w:ascii="ITC Avant Garde" w:hAnsi="ITC Avant Garde"/>
          <w:bCs/>
          <w:i/>
          <w:color w:val="000000"/>
          <w:sz w:val="16"/>
          <w:szCs w:val="16"/>
          <w:lang w:val="es-ES" w:eastAsia="es-MX"/>
        </w:rPr>
        <w:t>nectividad de banda ancha móvil. P</w:t>
      </w:r>
      <w:r w:rsidRPr="00525DB6">
        <w:rPr>
          <w:rFonts w:ascii="ITC Avant Garde" w:hAnsi="ITC Avant Garde"/>
          <w:bCs/>
          <w:i/>
          <w:color w:val="000000"/>
          <w:sz w:val="16"/>
          <w:szCs w:val="16"/>
          <w:lang w:val="es-ES" w:eastAsia="es-MX"/>
        </w:rPr>
        <w:t>ara el caso particular de la banda 806-824/851-869 MHz el 3GPP ha desarrollado los perfiles estandarizados para las bandas clase 26 (814-849/859-894 MHz) y clase 27 (806-824/851-869 MHz).</w:t>
      </w:r>
    </w:p>
    <w:p w14:paraId="309D8FA0" w14:textId="77777777" w:rsidR="00965DCC" w:rsidRPr="00525DB6" w:rsidRDefault="00965DCC" w:rsidP="00965DCC">
      <w:pPr>
        <w:ind w:left="708" w:right="670"/>
        <w:jc w:val="both"/>
        <w:rPr>
          <w:rFonts w:ascii="ITC Avant Garde" w:hAnsi="ITC Avant Garde"/>
          <w:bCs/>
          <w:i/>
          <w:color w:val="000000"/>
          <w:sz w:val="16"/>
          <w:szCs w:val="16"/>
          <w:lang w:val="es-ES" w:eastAsia="es-MX"/>
        </w:rPr>
      </w:pPr>
    </w:p>
    <w:p w14:paraId="279BB296" w14:textId="77777777" w:rsidR="00965DCC" w:rsidRPr="00525DB6" w:rsidRDefault="00965DCC" w:rsidP="00965DCC">
      <w:pPr>
        <w:ind w:left="708" w:right="670"/>
        <w:jc w:val="both"/>
        <w:rPr>
          <w:rFonts w:ascii="ITC Avant Garde" w:hAnsi="ITC Avant Garde"/>
          <w:bCs/>
          <w:i/>
          <w:color w:val="000000"/>
          <w:sz w:val="16"/>
          <w:szCs w:val="16"/>
          <w:u w:val="single"/>
          <w:lang w:val="es-ES" w:eastAsia="es-MX"/>
        </w:rPr>
      </w:pPr>
      <w:r w:rsidRPr="00525DB6">
        <w:rPr>
          <w:rFonts w:ascii="ITC Avant Garde" w:hAnsi="ITC Avant Garde"/>
          <w:bCs/>
          <w:i/>
          <w:color w:val="000000"/>
          <w:sz w:val="16"/>
          <w:szCs w:val="16"/>
          <w:lang w:val="es-ES" w:eastAsia="es-MX"/>
        </w:rPr>
        <w:t xml:space="preserve">Por lo tanto, </w:t>
      </w:r>
      <w:r w:rsidRPr="00525DB6">
        <w:rPr>
          <w:rFonts w:ascii="ITC Avant Garde" w:hAnsi="ITC Avant Garde"/>
          <w:bCs/>
          <w:i/>
          <w:color w:val="000000"/>
          <w:sz w:val="16"/>
          <w:szCs w:val="16"/>
          <w:u w:val="single"/>
          <w:lang w:val="es-ES" w:eastAsia="es-MX"/>
        </w:rPr>
        <w:t xml:space="preserve">se tiene previsto que la banda 806-824 / 851-869 MHz se sujete a un proceso de </w:t>
      </w:r>
      <w:proofErr w:type="spellStart"/>
      <w:r w:rsidRPr="00525DB6">
        <w:rPr>
          <w:rFonts w:ascii="ITC Avant Garde" w:hAnsi="ITC Avant Garde"/>
          <w:bCs/>
          <w:i/>
          <w:color w:val="000000"/>
          <w:sz w:val="16"/>
          <w:szCs w:val="16"/>
          <w:u w:val="single"/>
          <w:lang w:val="es-ES" w:eastAsia="es-MX"/>
        </w:rPr>
        <w:t>replanificación</w:t>
      </w:r>
      <w:proofErr w:type="spellEnd"/>
      <w:r w:rsidRPr="00525DB6">
        <w:rPr>
          <w:rFonts w:ascii="ITC Avant Garde" w:hAnsi="ITC Avant Garde"/>
          <w:bCs/>
          <w:i/>
          <w:color w:val="000000"/>
          <w:sz w:val="16"/>
          <w:szCs w:val="16"/>
          <w:u w:val="single"/>
          <w:lang w:val="es-ES" w:eastAsia="es-MX"/>
        </w:rPr>
        <w:t xml:space="preserve"> a fin de liberar bloques de espectro que posibiliten la introducción de servicios de banda ancha móvil a través a los estándares antes citados.</w:t>
      </w:r>
    </w:p>
    <w:p w14:paraId="1B1EE695" w14:textId="77777777" w:rsidR="00965DCC" w:rsidRPr="00525DB6" w:rsidRDefault="00965DCC" w:rsidP="00965DCC">
      <w:pPr>
        <w:ind w:left="708" w:right="670"/>
        <w:jc w:val="both"/>
        <w:rPr>
          <w:rFonts w:ascii="ITC Avant Garde" w:hAnsi="ITC Avant Garde"/>
          <w:bCs/>
          <w:i/>
          <w:color w:val="000000"/>
          <w:sz w:val="16"/>
          <w:szCs w:val="16"/>
          <w:lang w:val="es-ES" w:eastAsia="es-MX"/>
        </w:rPr>
      </w:pPr>
    </w:p>
    <w:p w14:paraId="0B809D8D" w14:textId="77777777" w:rsidR="00965DCC" w:rsidRPr="00525DB6" w:rsidRDefault="00965DCC" w:rsidP="00965DCC">
      <w:pPr>
        <w:ind w:left="708" w:right="670"/>
        <w:jc w:val="both"/>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III. Planificación espectral para la banda 410-430 MHz</w:t>
      </w:r>
    </w:p>
    <w:p w14:paraId="6028DF45" w14:textId="77777777" w:rsidR="00965DCC" w:rsidRPr="00525DB6" w:rsidRDefault="00965DCC" w:rsidP="00965DCC">
      <w:pPr>
        <w:ind w:left="708" w:right="670"/>
        <w:jc w:val="both"/>
        <w:rPr>
          <w:rFonts w:ascii="ITC Avant Garde" w:hAnsi="ITC Avant Garde"/>
          <w:bCs/>
          <w:i/>
          <w:color w:val="000000"/>
          <w:sz w:val="16"/>
          <w:szCs w:val="16"/>
          <w:lang w:val="es-ES" w:eastAsia="es-MX"/>
        </w:rPr>
      </w:pPr>
    </w:p>
    <w:p w14:paraId="1B0A4AFC" w14:textId="77777777" w:rsidR="00965DCC" w:rsidRPr="00525DB6" w:rsidRDefault="00965DCC" w:rsidP="00965DCC">
      <w:pPr>
        <w:ind w:left="708" w:right="670"/>
        <w:jc w:val="both"/>
        <w:rPr>
          <w:rFonts w:ascii="ITC Avant Garde" w:hAnsi="ITC Avant Garde"/>
          <w:bCs/>
          <w:i/>
          <w:color w:val="000000"/>
          <w:sz w:val="16"/>
          <w:szCs w:val="16"/>
          <w:lang w:val="es-ES" w:eastAsia="es-MX"/>
        </w:rPr>
      </w:pPr>
      <w:r w:rsidRPr="00525DB6">
        <w:rPr>
          <w:rFonts w:ascii="ITC Avant Garde" w:hAnsi="ITC Avant Garde"/>
          <w:bCs/>
          <w:i/>
          <w:color w:val="000000"/>
          <w:sz w:val="16"/>
          <w:szCs w:val="16"/>
          <w:lang w:val="es-ES" w:eastAsia="es-MX"/>
        </w:rPr>
        <w:t>[…]</w:t>
      </w:r>
    </w:p>
    <w:p w14:paraId="74EB751E" w14:textId="77777777" w:rsidR="00965DCC" w:rsidRPr="00525DB6" w:rsidRDefault="00965DCC" w:rsidP="00965DCC">
      <w:pPr>
        <w:ind w:left="708" w:right="670"/>
        <w:jc w:val="both"/>
        <w:rPr>
          <w:rFonts w:ascii="ITC Avant Garde" w:hAnsi="ITC Avant Garde"/>
          <w:bCs/>
          <w:i/>
          <w:color w:val="000000"/>
          <w:sz w:val="16"/>
          <w:szCs w:val="16"/>
          <w:lang w:val="es-ES" w:eastAsia="es-MX"/>
        </w:rPr>
      </w:pPr>
    </w:p>
    <w:p w14:paraId="07F8FC5C" w14:textId="77777777" w:rsidR="00965DCC" w:rsidRPr="00525DB6" w:rsidRDefault="00965DCC" w:rsidP="00965DCC">
      <w:pPr>
        <w:ind w:left="708" w:right="670"/>
        <w:jc w:val="both"/>
        <w:rPr>
          <w:rFonts w:ascii="ITC Avant Garde" w:hAnsi="ITC Avant Garde"/>
          <w:bCs/>
          <w:color w:val="000000"/>
          <w:sz w:val="16"/>
          <w:szCs w:val="16"/>
          <w:lang w:val="es-ES" w:eastAsia="es-MX"/>
        </w:rPr>
      </w:pPr>
      <w:r w:rsidRPr="00525DB6">
        <w:rPr>
          <w:rFonts w:ascii="ITC Avant Garde" w:hAnsi="ITC Avant Garde"/>
          <w:bCs/>
          <w:i/>
          <w:color w:val="000000"/>
          <w:sz w:val="16"/>
          <w:szCs w:val="16"/>
          <w:lang w:val="es-ES" w:eastAsia="es-MX"/>
        </w:rPr>
        <w:t xml:space="preserve">5. </w:t>
      </w:r>
      <w:r w:rsidRPr="00525DB6">
        <w:rPr>
          <w:rFonts w:ascii="ITC Avant Garde" w:hAnsi="ITC Avant Garde"/>
          <w:bCs/>
          <w:i/>
          <w:color w:val="000000"/>
          <w:sz w:val="16"/>
          <w:szCs w:val="16"/>
          <w:u w:val="single"/>
          <w:lang w:val="es-ES" w:eastAsia="es-MX"/>
        </w:rPr>
        <w:t xml:space="preserve">Acciones de planificación </w:t>
      </w:r>
    </w:p>
    <w:p w14:paraId="75F5FDA8" w14:textId="77777777" w:rsidR="00965DCC" w:rsidRPr="00525DB6" w:rsidRDefault="00965DCC" w:rsidP="00965DCC">
      <w:pPr>
        <w:ind w:left="708" w:right="670"/>
        <w:jc w:val="both"/>
        <w:rPr>
          <w:rFonts w:ascii="ITC Avant Garde" w:hAnsi="ITC Avant Garde"/>
          <w:bCs/>
          <w:i/>
          <w:color w:val="000000"/>
          <w:sz w:val="16"/>
          <w:szCs w:val="16"/>
          <w:lang w:val="es-ES" w:eastAsia="es-MX"/>
        </w:rPr>
      </w:pPr>
    </w:p>
    <w:p w14:paraId="7911049F" w14:textId="77777777" w:rsidR="00965DCC" w:rsidRPr="00525DB6" w:rsidRDefault="00965DCC" w:rsidP="00965DCC">
      <w:pPr>
        <w:ind w:left="708" w:right="670"/>
        <w:jc w:val="both"/>
        <w:rPr>
          <w:rFonts w:ascii="ITC Avant Garde" w:hAnsi="ITC Avant Garde"/>
          <w:bCs/>
          <w:i/>
          <w:color w:val="000000"/>
          <w:sz w:val="16"/>
          <w:szCs w:val="16"/>
          <w:lang w:val="es-ES" w:eastAsia="es-MX"/>
        </w:rPr>
      </w:pPr>
      <w:r w:rsidRPr="00525DB6">
        <w:rPr>
          <w:rFonts w:ascii="ITC Avant Garde" w:hAnsi="ITC Avant Garde"/>
          <w:bCs/>
          <w:i/>
          <w:color w:val="000000"/>
          <w:sz w:val="16"/>
          <w:szCs w:val="16"/>
          <w:lang w:val="es-ES" w:eastAsia="es-MX"/>
        </w:rPr>
        <w:t xml:space="preserve">La banda de frecuencias 410-430 MHz está considerada en las acciones propuestas que están contenidas en el documento ‘El Espectro Radioeléctrico en México, Estudio y Acciones´. </w:t>
      </w:r>
      <w:r w:rsidRPr="00525DB6">
        <w:rPr>
          <w:rFonts w:ascii="ITC Avant Garde" w:hAnsi="ITC Avant Garde"/>
          <w:bCs/>
          <w:i/>
          <w:color w:val="000000"/>
          <w:sz w:val="16"/>
          <w:szCs w:val="16"/>
          <w:u w:val="single"/>
          <w:lang w:val="es-ES" w:eastAsia="es-MX"/>
        </w:rPr>
        <w:t>La planificación para esta banda se orienta hacia su reconfiguración para albergar a los concesionarios y asignatarios del servicio de radiolocalización especializada de flotillas (</w:t>
      </w:r>
      <w:proofErr w:type="spellStart"/>
      <w:r w:rsidRPr="00525DB6">
        <w:rPr>
          <w:rFonts w:ascii="ITC Avant Garde" w:hAnsi="ITC Avant Garde"/>
          <w:bCs/>
          <w:i/>
          <w:color w:val="000000"/>
          <w:sz w:val="16"/>
          <w:szCs w:val="16"/>
          <w:u w:val="single"/>
          <w:lang w:val="es-ES" w:eastAsia="es-MX"/>
        </w:rPr>
        <w:t>trunking</w:t>
      </w:r>
      <w:proofErr w:type="spellEnd"/>
      <w:r w:rsidRPr="00525DB6">
        <w:rPr>
          <w:rFonts w:ascii="ITC Avant Garde" w:hAnsi="ITC Avant Garde"/>
          <w:bCs/>
          <w:i/>
          <w:color w:val="000000"/>
          <w:sz w:val="16"/>
          <w:szCs w:val="16"/>
          <w:u w:val="single"/>
          <w:lang w:val="es-ES" w:eastAsia="es-MX"/>
        </w:rPr>
        <w:t>) que operan mayoritariamente en la banda 806-824/851-869 MHz, para permitir la liberación de espectro en esta banda para su uso en sistemas de banda ancha móvil, conforme a lo contemplado en el numeral 4 de la sección II del presente oficio</w:t>
      </w:r>
      <w:r w:rsidRPr="00525DB6">
        <w:rPr>
          <w:rFonts w:ascii="ITC Avant Garde" w:hAnsi="ITC Avant Garde"/>
          <w:bCs/>
          <w:i/>
          <w:color w:val="000000"/>
          <w:sz w:val="16"/>
          <w:szCs w:val="16"/>
          <w:lang w:val="es-ES" w:eastAsia="es-MX"/>
        </w:rPr>
        <w:t xml:space="preserve">. </w:t>
      </w:r>
    </w:p>
    <w:p w14:paraId="1CEB4BDD" w14:textId="77777777" w:rsidR="00965DCC" w:rsidRPr="00525DB6" w:rsidRDefault="00965DCC" w:rsidP="00965DCC">
      <w:pPr>
        <w:ind w:left="708" w:right="670"/>
        <w:jc w:val="both"/>
        <w:rPr>
          <w:rFonts w:ascii="ITC Avant Garde" w:hAnsi="ITC Avant Garde"/>
          <w:bCs/>
          <w:i/>
          <w:color w:val="000000"/>
          <w:sz w:val="16"/>
          <w:szCs w:val="16"/>
          <w:lang w:val="es-ES" w:eastAsia="es-MX"/>
        </w:rPr>
      </w:pPr>
    </w:p>
    <w:p w14:paraId="09CA19C2" w14:textId="77777777" w:rsidR="00965DCC" w:rsidRPr="00525DB6" w:rsidRDefault="00965DCC" w:rsidP="00965DCC">
      <w:pPr>
        <w:ind w:left="708" w:right="670"/>
        <w:jc w:val="both"/>
        <w:rPr>
          <w:rFonts w:ascii="ITC Avant Garde" w:hAnsi="ITC Avant Garde"/>
          <w:bCs/>
          <w:color w:val="000000"/>
          <w:sz w:val="16"/>
          <w:szCs w:val="16"/>
          <w:lang w:val="es-ES" w:eastAsia="es-MX"/>
        </w:rPr>
      </w:pPr>
      <w:r w:rsidRPr="00525DB6">
        <w:rPr>
          <w:rFonts w:ascii="ITC Avant Garde" w:hAnsi="ITC Avant Garde"/>
          <w:bCs/>
          <w:i/>
          <w:color w:val="000000"/>
          <w:sz w:val="16"/>
          <w:szCs w:val="16"/>
          <w:lang w:val="es-ES" w:eastAsia="es-MX"/>
        </w:rPr>
        <w:t xml:space="preserve">[…].” </w:t>
      </w:r>
      <w:proofErr w:type="gramStart"/>
      <w:r w:rsidRPr="00525DB6">
        <w:rPr>
          <w:rFonts w:ascii="ITC Avant Garde" w:hAnsi="ITC Avant Garde"/>
          <w:bCs/>
          <w:color w:val="000000"/>
          <w:sz w:val="16"/>
          <w:szCs w:val="16"/>
          <w:lang w:val="es-ES" w:eastAsia="es-MX"/>
        </w:rPr>
        <w:t>sic</w:t>
      </w:r>
      <w:proofErr w:type="gramEnd"/>
      <w:r w:rsidRPr="00525DB6">
        <w:rPr>
          <w:rFonts w:ascii="ITC Avant Garde" w:hAnsi="ITC Avant Garde"/>
          <w:bCs/>
          <w:color w:val="000000"/>
          <w:sz w:val="16"/>
          <w:szCs w:val="16"/>
          <w:lang w:val="es-ES" w:eastAsia="es-MX"/>
        </w:rPr>
        <w:t xml:space="preserve"> (énfasis añadido)</w:t>
      </w:r>
    </w:p>
    <w:p w14:paraId="294ACAFF" w14:textId="77777777" w:rsidR="00965DCC" w:rsidRPr="00525DB6" w:rsidRDefault="00965DCC" w:rsidP="00965DCC">
      <w:pPr>
        <w:jc w:val="both"/>
        <w:rPr>
          <w:rFonts w:ascii="ITC Avant Garde" w:hAnsi="ITC Avant Garde"/>
          <w:bCs/>
          <w:color w:val="000000"/>
          <w:sz w:val="22"/>
          <w:szCs w:val="22"/>
          <w:lang w:val="es-ES" w:eastAsia="es-MX"/>
        </w:rPr>
      </w:pPr>
    </w:p>
    <w:p w14:paraId="355A4FDC" w14:textId="77777777" w:rsidR="00965DCC" w:rsidRPr="00525DB6" w:rsidRDefault="00965DCC" w:rsidP="00965DCC">
      <w:pPr>
        <w:jc w:val="both"/>
        <w:rPr>
          <w:rFonts w:ascii="ITC Avant Garde" w:hAnsi="ITC Avant Garde"/>
          <w:bCs/>
          <w:color w:val="000000"/>
          <w:sz w:val="22"/>
          <w:szCs w:val="22"/>
          <w:lang w:val="es-ES" w:eastAsia="es-MX"/>
        </w:rPr>
      </w:pPr>
      <w:r w:rsidRPr="00525DB6">
        <w:rPr>
          <w:rFonts w:ascii="ITC Avant Garde" w:hAnsi="ITC Avant Garde"/>
          <w:bCs/>
          <w:color w:val="000000"/>
          <w:sz w:val="22"/>
          <w:szCs w:val="22"/>
          <w:lang w:val="es-ES" w:eastAsia="es-MX"/>
        </w:rPr>
        <w:lastRenderedPageBreak/>
        <w:t>Lo anterior es consistente con lo dispuesto por el Cuadro Nacional de Atribución de Frecuencias, publicado en el Diario Oficial de la Federación el 28 de febrero de 2012, vigente al momento de que dicha Dirección General emitió su opinión, mismo que en su artículo 5, al identificar a las Notas Internacionales, señalaba lo siguiente:</w:t>
      </w:r>
    </w:p>
    <w:p w14:paraId="64B67FBD" w14:textId="77777777" w:rsidR="00965DCC" w:rsidRPr="00525DB6" w:rsidRDefault="00965DCC" w:rsidP="00965DCC">
      <w:pPr>
        <w:ind w:right="670"/>
        <w:jc w:val="both"/>
        <w:rPr>
          <w:rFonts w:ascii="ITC Avant Garde" w:hAnsi="ITC Avant Garde"/>
          <w:bCs/>
          <w:color w:val="000000"/>
          <w:sz w:val="22"/>
          <w:szCs w:val="22"/>
          <w:lang w:val="es-ES" w:eastAsia="es-MX"/>
        </w:rPr>
      </w:pPr>
    </w:p>
    <w:p w14:paraId="484F672D" w14:textId="77777777" w:rsidR="00965DCC" w:rsidRPr="00525DB6" w:rsidRDefault="00965DCC" w:rsidP="00965DCC">
      <w:pPr>
        <w:ind w:left="708" w:right="670"/>
        <w:jc w:val="both"/>
        <w:rPr>
          <w:rFonts w:ascii="ITC Avant Garde" w:hAnsi="ITC Avant Garde"/>
          <w:bCs/>
          <w:i/>
          <w:color w:val="000000"/>
          <w:sz w:val="16"/>
          <w:szCs w:val="16"/>
          <w:lang w:val="es-ES" w:eastAsia="es-MX"/>
        </w:rPr>
      </w:pPr>
      <w:r w:rsidRPr="00525DB6">
        <w:rPr>
          <w:rFonts w:ascii="ITC Avant Garde" w:hAnsi="ITC Avant Garde"/>
          <w:bCs/>
          <w:i/>
          <w:color w:val="000000"/>
          <w:sz w:val="16"/>
          <w:szCs w:val="16"/>
          <w:lang w:val="es-ES" w:eastAsia="es-MX"/>
        </w:rPr>
        <w:t>“</w:t>
      </w:r>
      <w:r w:rsidRPr="00525DB6">
        <w:rPr>
          <w:rFonts w:ascii="ITC Avant Garde" w:hAnsi="ITC Avant Garde"/>
          <w:b/>
          <w:bCs/>
          <w:i/>
          <w:color w:val="000000"/>
          <w:sz w:val="16"/>
          <w:szCs w:val="16"/>
          <w:lang w:val="es-ES" w:eastAsia="es-MX"/>
        </w:rPr>
        <w:t xml:space="preserve">5.317A </w:t>
      </w:r>
      <w:r w:rsidRPr="00525DB6">
        <w:rPr>
          <w:rFonts w:ascii="ITC Avant Garde" w:hAnsi="ITC Avant Garde"/>
          <w:bCs/>
          <w:i/>
          <w:color w:val="000000"/>
          <w:sz w:val="16"/>
          <w:szCs w:val="16"/>
          <w:lang w:val="es-ES" w:eastAsia="es-MX"/>
        </w:rPr>
        <w:t>Las partes de la banda 698-960 MHz en la Región 2 y de la banda 790-960 MHz en las Regiones 1 y 3 atribuidas al servicio móvil a título primario se han identificado para su utilización por las administraciones que deseen introducir las Telecomunicaciones Móviles Internacionales (IMT). Véanse las Resoluciones 224 (Rev. CMR-07) y 749 (CMR-07). La identificación de estas bandas no excluye que se utilicen para otras aplicaciones de los servicios a los que estén atribuidas y no implica prioridad alguna en el Reglamento de Radiocomunicaciones. (CMR07).</w:t>
      </w:r>
    </w:p>
    <w:p w14:paraId="29360A4E" w14:textId="77777777" w:rsidR="00965DCC" w:rsidRPr="00525DB6" w:rsidRDefault="00965DCC" w:rsidP="00965DCC">
      <w:pPr>
        <w:jc w:val="both"/>
        <w:rPr>
          <w:rFonts w:ascii="ITC Avant Garde" w:hAnsi="ITC Avant Garde"/>
          <w:bCs/>
          <w:i/>
          <w:color w:val="000000"/>
          <w:sz w:val="16"/>
          <w:szCs w:val="16"/>
          <w:lang w:val="es-ES" w:eastAsia="es-MX"/>
        </w:rPr>
      </w:pPr>
    </w:p>
    <w:p w14:paraId="19362DD3" w14:textId="77777777" w:rsidR="00965DCC" w:rsidRPr="00525DB6" w:rsidRDefault="00965DCC" w:rsidP="00965DCC">
      <w:pPr>
        <w:jc w:val="both"/>
        <w:rPr>
          <w:rFonts w:ascii="ITC Avant Garde" w:hAnsi="ITC Avant Garde"/>
          <w:bCs/>
          <w:color w:val="000000"/>
          <w:sz w:val="22"/>
          <w:szCs w:val="22"/>
          <w:lang w:val="es-ES" w:eastAsia="es-MX"/>
        </w:rPr>
      </w:pPr>
      <w:r w:rsidRPr="00525DB6">
        <w:rPr>
          <w:rFonts w:ascii="ITC Avant Garde" w:hAnsi="ITC Avant Garde"/>
          <w:bCs/>
          <w:color w:val="000000"/>
          <w:sz w:val="22"/>
          <w:szCs w:val="22"/>
          <w:lang w:val="es-ES" w:eastAsia="es-MX"/>
        </w:rPr>
        <w:t>Asimismo, al identificar las Notas Nacionales, señalaba lo siguiente:</w:t>
      </w:r>
    </w:p>
    <w:p w14:paraId="4E88C92C" w14:textId="77777777" w:rsidR="00965DCC" w:rsidRPr="00525DB6" w:rsidRDefault="00965DCC" w:rsidP="00965DCC">
      <w:pPr>
        <w:jc w:val="both"/>
        <w:rPr>
          <w:rFonts w:ascii="ITC Avant Garde" w:hAnsi="ITC Avant Garde"/>
          <w:bCs/>
          <w:color w:val="000000"/>
          <w:sz w:val="22"/>
          <w:szCs w:val="22"/>
          <w:lang w:val="es-ES" w:eastAsia="es-MX"/>
        </w:rPr>
      </w:pPr>
    </w:p>
    <w:p w14:paraId="709A8ECC" w14:textId="77777777" w:rsidR="00965DCC" w:rsidRPr="00525DB6" w:rsidRDefault="00965DCC" w:rsidP="00965DCC">
      <w:pPr>
        <w:ind w:left="705"/>
        <w:jc w:val="both"/>
        <w:rPr>
          <w:rFonts w:ascii="ITC Avant Garde" w:hAnsi="ITC Avant Garde"/>
          <w:bCs/>
          <w:color w:val="000000"/>
          <w:sz w:val="16"/>
          <w:szCs w:val="16"/>
          <w:lang w:val="es-ES" w:eastAsia="es-MX"/>
        </w:rPr>
      </w:pPr>
      <w:r w:rsidRPr="00525DB6">
        <w:rPr>
          <w:rFonts w:ascii="ITC Avant Garde" w:hAnsi="ITC Avant Garde"/>
          <w:bCs/>
          <w:color w:val="000000"/>
          <w:sz w:val="16"/>
          <w:szCs w:val="16"/>
          <w:lang w:val="es-ES" w:eastAsia="es-MX"/>
        </w:rPr>
        <w:t>“</w:t>
      </w:r>
      <w:r w:rsidRPr="00525DB6">
        <w:rPr>
          <w:rFonts w:ascii="ITC Avant Garde" w:hAnsi="ITC Avant Garde"/>
          <w:b/>
          <w:bCs/>
          <w:color w:val="000000"/>
          <w:sz w:val="16"/>
          <w:szCs w:val="16"/>
          <w:lang w:val="es-ES" w:eastAsia="es-MX"/>
        </w:rPr>
        <w:t>MEX78A</w:t>
      </w:r>
      <w:r w:rsidRPr="00525DB6">
        <w:rPr>
          <w:rFonts w:ascii="ITC Avant Garde" w:hAnsi="ITC Avant Garde"/>
          <w:bCs/>
          <w:color w:val="000000"/>
          <w:sz w:val="16"/>
          <w:szCs w:val="16"/>
          <w:lang w:val="es-ES" w:eastAsia="es-MX"/>
        </w:rPr>
        <w:t xml:space="preserve"> La banda 410 – 430 MHz es apropiada para la operación de sistemas móviles </w:t>
      </w:r>
      <w:proofErr w:type="spellStart"/>
      <w:r w:rsidRPr="00525DB6">
        <w:rPr>
          <w:rFonts w:ascii="ITC Avant Garde" w:hAnsi="ITC Avant Garde"/>
          <w:bCs/>
          <w:color w:val="000000"/>
          <w:sz w:val="16"/>
          <w:szCs w:val="16"/>
          <w:lang w:val="es-ES" w:eastAsia="es-MX"/>
        </w:rPr>
        <w:t>troncalizados</w:t>
      </w:r>
      <w:proofErr w:type="spellEnd"/>
      <w:r w:rsidRPr="00525DB6">
        <w:rPr>
          <w:rFonts w:ascii="ITC Avant Garde" w:hAnsi="ITC Avant Garde"/>
          <w:bCs/>
          <w:color w:val="000000"/>
          <w:sz w:val="16"/>
          <w:szCs w:val="16"/>
          <w:lang w:val="es-ES" w:eastAsia="es-MX"/>
        </w:rPr>
        <w:t xml:space="preserve"> digitales.”</w:t>
      </w:r>
    </w:p>
    <w:p w14:paraId="746524F0" w14:textId="77777777" w:rsidR="00965DCC" w:rsidRPr="00525DB6" w:rsidRDefault="00965DCC" w:rsidP="00965DCC">
      <w:pPr>
        <w:jc w:val="both"/>
        <w:rPr>
          <w:rFonts w:ascii="ITC Avant Garde" w:hAnsi="ITC Avant Garde"/>
          <w:bCs/>
          <w:color w:val="000000"/>
          <w:sz w:val="22"/>
          <w:szCs w:val="22"/>
          <w:lang w:val="es-ES" w:eastAsia="es-MX"/>
        </w:rPr>
      </w:pPr>
    </w:p>
    <w:p w14:paraId="6746FCB4" w14:textId="77777777" w:rsidR="00965DCC" w:rsidRPr="00525DB6" w:rsidRDefault="00965DCC" w:rsidP="00965DCC">
      <w:pPr>
        <w:pStyle w:val="Prrafodelista"/>
        <w:ind w:left="0"/>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De la opinión anterior se desprende que la Solicitud de Prórroga resulta procedente desde el punto de vista de planificación espectral, siempre y cuando las prórrogas que se concedan para el servicio de radiocomunicación especializada de flotillas se otorguen dentro de la banda 410 – 430 MHz.</w:t>
      </w:r>
    </w:p>
    <w:p w14:paraId="3386B485" w14:textId="77777777" w:rsidR="007D38A2" w:rsidRPr="00525DB6" w:rsidRDefault="007D38A2" w:rsidP="007D38A2">
      <w:pPr>
        <w:pStyle w:val="Prrafodelista"/>
        <w:ind w:left="0"/>
        <w:jc w:val="both"/>
        <w:rPr>
          <w:rFonts w:ascii="ITC Avant Garde" w:hAnsi="ITC Avant Garde"/>
          <w:bCs/>
          <w:color w:val="000000"/>
          <w:sz w:val="22"/>
          <w:szCs w:val="22"/>
          <w:lang w:eastAsia="es-MX"/>
        </w:rPr>
      </w:pPr>
    </w:p>
    <w:p w14:paraId="51C81B98" w14:textId="401CBB5C" w:rsidR="007D38A2" w:rsidRPr="00525DB6" w:rsidRDefault="007D38A2" w:rsidP="007D38A2">
      <w:pPr>
        <w:tabs>
          <w:tab w:val="left" w:pos="0"/>
        </w:tabs>
        <w:ind w:right="99"/>
        <w:jc w:val="both"/>
        <w:rPr>
          <w:rFonts w:ascii="ITC Avant Garde" w:hAnsi="ITC Avant Garde"/>
          <w:bCs/>
          <w:color w:val="000000"/>
          <w:sz w:val="22"/>
          <w:szCs w:val="22"/>
          <w:lang w:val="es-ES" w:eastAsia="es-MX"/>
        </w:rPr>
      </w:pPr>
      <w:r w:rsidRPr="00525DB6">
        <w:rPr>
          <w:rFonts w:ascii="ITC Avant Garde" w:hAnsi="ITC Avant Garde"/>
          <w:bCs/>
          <w:color w:val="000000"/>
          <w:sz w:val="22"/>
          <w:szCs w:val="22"/>
          <w:lang w:val="es-ES" w:eastAsia="es-MX"/>
        </w:rPr>
        <w:t>En concordancia con lo anterior como se mencionó en el Antecedente XI, la Dirección General de Ingeniería del Espectro y Estudios Técnicos, adscrita a la Unidad de Espectro Radioeléctrico del Instituto, señaló lo siguiente respecto de la planificación espectral para la banda 410-430 MHz:</w:t>
      </w:r>
    </w:p>
    <w:p w14:paraId="04D788CA" w14:textId="77777777" w:rsidR="007D38A2" w:rsidRPr="00525DB6" w:rsidRDefault="007D38A2" w:rsidP="007D38A2">
      <w:pPr>
        <w:tabs>
          <w:tab w:val="left" w:pos="0"/>
        </w:tabs>
        <w:ind w:right="99"/>
        <w:jc w:val="both"/>
        <w:rPr>
          <w:rFonts w:ascii="ITC Avant Garde" w:hAnsi="ITC Avant Garde"/>
          <w:bCs/>
          <w:color w:val="000000"/>
          <w:sz w:val="22"/>
          <w:szCs w:val="22"/>
          <w:lang w:val="es-ES" w:eastAsia="es-MX"/>
        </w:rPr>
      </w:pPr>
    </w:p>
    <w:p w14:paraId="3A9D9A65" w14:textId="77777777" w:rsidR="004527C9" w:rsidRPr="00525DB6" w:rsidRDefault="00965DCC" w:rsidP="00965DCC">
      <w:pPr>
        <w:ind w:left="284" w:right="99"/>
        <w:jc w:val="both"/>
        <w:rPr>
          <w:rFonts w:ascii="ITC Avant Garde" w:hAnsi="ITC Avant Garde" w:cstheme="minorHAnsi"/>
          <w:i/>
          <w:sz w:val="16"/>
          <w:szCs w:val="16"/>
        </w:rPr>
      </w:pPr>
      <w:r w:rsidRPr="00525DB6">
        <w:rPr>
          <w:rFonts w:ascii="ITC Avant Garde" w:hAnsi="ITC Avant Garde" w:cstheme="minorHAnsi"/>
          <w:i/>
          <w:sz w:val="16"/>
          <w:szCs w:val="16"/>
        </w:rPr>
        <w:t>“</w:t>
      </w:r>
      <w:r w:rsidR="004527C9" w:rsidRPr="00525DB6">
        <w:rPr>
          <w:rFonts w:ascii="ITC Avant Garde" w:hAnsi="ITC Avant Garde" w:cstheme="minorHAnsi"/>
          <w:i/>
          <w:sz w:val="16"/>
          <w:szCs w:val="16"/>
        </w:rPr>
        <w:t>[…]</w:t>
      </w:r>
    </w:p>
    <w:p w14:paraId="61158C3C" w14:textId="77777777" w:rsidR="004527C9" w:rsidRPr="00525DB6" w:rsidRDefault="004527C9" w:rsidP="00965DCC">
      <w:pPr>
        <w:ind w:left="284" w:right="99"/>
        <w:jc w:val="both"/>
        <w:rPr>
          <w:rFonts w:ascii="ITC Avant Garde" w:hAnsi="ITC Avant Garde" w:cstheme="minorHAnsi"/>
          <w:b/>
          <w:i/>
          <w:sz w:val="16"/>
          <w:szCs w:val="16"/>
        </w:rPr>
      </w:pPr>
    </w:p>
    <w:p w14:paraId="0E21169E" w14:textId="4B38E77D" w:rsidR="00965DCC" w:rsidRPr="00525DB6" w:rsidRDefault="00965DCC" w:rsidP="00965DCC">
      <w:pPr>
        <w:ind w:left="284" w:right="99"/>
        <w:jc w:val="both"/>
        <w:rPr>
          <w:rFonts w:ascii="ITC Avant Garde" w:hAnsi="ITC Avant Garde" w:cstheme="minorHAnsi"/>
          <w:b/>
          <w:i/>
          <w:sz w:val="16"/>
          <w:szCs w:val="16"/>
        </w:rPr>
      </w:pPr>
      <w:r w:rsidRPr="00525DB6">
        <w:rPr>
          <w:rFonts w:ascii="ITC Avant Garde" w:hAnsi="ITC Avant Garde" w:cstheme="minorHAnsi"/>
          <w:b/>
          <w:i/>
          <w:sz w:val="16"/>
          <w:szCs w:val="16"/>
        </w:rPr>
        <w:t>II. Planificación espectral para la banda 410-430 MHz</w:t>
      </w:r>
    </w:p>
    <w:p w14:paraId="266D6DDD" w14:textId="77777777" w:rsidR="00965DCC" w:rsidRPr="00525DB6" w:rsidRDefault="00965DCC" w:rsidP="00965DCC">
      <w:pPr>
        <w:ind w:left="284" w:right="528"/>
        <w:jc w:val="both"/>
        <w:rPr>
          <w:rFonts w:ascii="ITC Avant Garde" w:hAnsi="ITC Avant Garde" w:cstheme="minorHAnsi"/>
          <w:b/>
          <w:i/>
          <w:sz w:val="16"/>
          <w:szCs w:val="16"/>
        </w:rPr>
      </w:pPr>
    </w:p>
    <w:p w14:paraId="4F1C6F2E" w14:textId="77777777" w:rsidR="00965DCC" w:rsidRPr="00525DB6" w:rsidRDefault="00965DCC" w:rsidP="00965DCC">
      <w:pPr>
        <w:pStyle w:val="Prrafodelista"/>
        <w:numPr>
          <w:ilvl w:val="0"/>
          <w:numId w:val="48"/>
        </w:numPr>
        <w:ind w:right="528"/>
        <w:jc w:val="both"/>
        <w:rPr>
          <w:rFonts w:ascii="ITC Avant Garde" w:hAnsi="ITC Avant Garde" w:cstheme="minorHAnsi"/>
          <w:i/>
          <w:sz w:val="16"/>
          <w:szCs w:val="16"/>
        </w:rPr>
      </w:pPr>
      <w:r w:rsidRPr="00525DB6">
        <w:rPr>
          <w:rFonts w:ascii="ITC Avant Garde" w:hAnsi="ITC Avant Garde" w:cstheme="minorHAnsi"/>
          <w:i/>
          <w:sz w:val="16"/>
          <w:szCs w:val="16"/>
        </w:rPr>
        <w:t>Reconfiguración de la banda 806-824 / 851-869 MHz</w:t>
      </w:r>
    </w:p>
    <w:p w14:paraId="10E224E2" w14:textId="77777777" w:rsidR="00965DCC" w:rsidRPr="00525DB6" w:rsidRDefault="00965DCC" w:rsidP="00965DCC">
      <w:pPr>
        <w:ind w:left="284" w:right="528"/>
        <w:jc w:val="both"/>
        <w:rPr>
          <w:rFonts w:ascii="ITC Avant Garde" w:hAnsi="ITC Avant Garde" w:cstheme="minorHAnsi"/>
          <w:i/>
          <w:sz w:val="16"/>
          <w:szCs w:val="16"/>
        </w:rPr>
      </w:pPr>
    </w:p>
    <w:p w14:paraId="4EADBE87" w14:textId="6E189FEB" w:rsidR="00965DCC" w:rsidRPr="00525DB6" w:rsidRDefault="00965DCC" w:rsidP="00965DCC">
      <w:pPr>
        <w:ind w:left="284" w:right="528"/>
        <w:jc w:val="both"/>
        <w:rPr>
          <w:rFonts w:ascii="ITC Avant Garde" w:hAnsi="ITC Avant Garde" w:cstheme="minorHAnsi"/>
          <w:i/>
          <w:sz w:val="16"/>
          <w:szCs w:val="16"/>
        </w:rPr>
      </w:pPr>
      <w:r w:rsidRPr="00525DB6">
        <w:rPr>
          <w:rFonts w:ascii="ITC Avant Garde" w:hAnsi="ITC Avant Garde" w:cstheme="minorHAnsi"/>
          <w:i/>
          <w:sz w:val="16"/>
          <w:szCs w:val="16"/>
        </w:rPr>
        <w:t>Las acciones de planificación respecto a la banda 806-824/851-869 MHz corresponden al proceso de reorganización de la citada band</w:t>
      </w:r>
      <w:r w:rsidR="004527C9" w:rsidRPr="00525DB6">
        <w:rPr>
          <w:rFonts w:ascii="ITC Avant Garde" w:hAnsi="ITC Avant Garde" w:cstheme="minorHAnsi"/>
          <w:i/>
          <w:sz w:val="16"/>
          <w:szCs w:val="16"/>
        </w:rPr>
        <w:t>a conforme a lo indicado en el ‘</w:t>
      </w:r>
      <w:r w:rsidRPr="00525DB6">
        <w:rPr>
          <w:rFonts w:ascii="ITC Avant Garde" w:hAnsi="ITC Avant Garde" w:cstheme="minorHAnsi"/>
          <w:i/>
          <w:sz w:val="16"/>
          <w:szCs w:val="16"/>
        </w:rPr>
        <w:t>Acuerdo mediante el cual el Pleno del Instituto Federal de Telecomunicaciones modifica el Programa Anual de Uso y Aprovechamient</w:t>
      </w:r>
      <w:r w:rsidR="004527C9" w:rsidRPr="00525DB6">
        <w:rPr>
          <w:rFonts w:ascii="ITC Avant Garde" w:hAnsi="ITC Avant Garde" w:cstheme="minorHAnsi"/>
          <w:i/>
          <w:sz w:val="16"/>
          <w:szCs w:val="16"/>
        </w:rPr>
        <w:t>o de bandas de frecuencias 2015’</w:t>
      </w:r>
      <w:r w:rsidRPr="00525DB6">
        <w:rPr>
          <w:rFonts w:ascii="ITC Avant Garde" w:hAnsi="ITC Avant Garde" w:cstheme="minorHAnsi"/>
          <w:i/>
          <w:sz w:val="16"/>
          <w:szCs w:val="16"/>
        </w:rPr>
        <w:t>, publicado  en el Diario Oficial de la Federación el 6 de abril de 2015</w:t>
      </w:r>
      <w:r w:rsidRPr="00525DB6">
        <w:rPr>
          <w:rFonts w:ascii="ITC Avant Garde" w:hAnsi="ITC Avant Garde"/>
          <w:i/>
          <w:sz w:val="16"/>
          <w:szCs w:val="16"/>
        </w:rPr>
        <w:footnoteReference w:id="1"/>
      </w:r>
      <w:r w:rsidRPr="00525DB6">
        <w:rPr>
          <w:rFonts w:ascii="ITC Avant Garde" w:hAnsi="ITC Avant Garde" w:cstheme="minorHAnsi"/>
          <w:i/>
          <w:sz w:val="16"/>
          <w:szCs w:val="16"/>
        </w:rPr>
        <w:t xml:space="preserve">; con el fin de posibilitar la introducción de servicios de banda ancha móvil en el rango de frecuencias 814-824/859-869 MHz, de conformidad con la identificación de esta banda para las Telecomunicaciones Móviles Internacionales (IMT), para la introducción de tecnologías de banda ancha compatibles con el estándar tecnológico definido para la banda 26 especificado por el 3GPP (3rd </w:t>
      </w:r>
      <w:proofErr w:type="spellStart"/>
      <w:r w:rsidRPr="00525DB6">
        <w:rPr>
          <w:rFonts w:ascii="ITC Avant Garde" w:hAnsi="ITC Avant Garde" w:cstheme="minorHAnsi"/>
          <w:i/>
          <w:sz w:val="16"/>
          <w:szCs w:val="16"/>
        </w:rPr>
        <w:t>Generation</w:t>
      </w:r>
      <w:proofErr w:type="spellEnd"/>
      <w:r w:rsidRPr="00525DB6">
        <w:rPr>
          <w:rFonts w:ascii="ITC Avant Garde" w:hAnsi="ITC Avant Garde" w:cstheme="minorHAnsi"/>
          <w:i/>
          <w:sz w:val="16"/>
          <w:szCs w:val="16"/>
        </w:rPr>
        <w:t xml:space="preserve"> </w:t>
      </w:r>
      <w:proofErr w:type="spellStart"/>
      <w:r w:rsidRPr="00525DB6">
        <w:rPr>
          <w:rFonts w:ascii="ITC Avant Garde" w:hAnsi="ITC Avant Garde" w:cstheme="minorHAnsi"/>
          <w:i/>
          <w:sz w:val="16"/>
          <w:szCs w:val="16"/>
        </w:rPr>
        <w:t>Partnership</w:t>
      </w:r>
      <w:proofErr w:type="spellEnd"/>
      <w:r w:rsidRPr="00525DB6">
        <w:rPr>
          <w:rFonts w:ascii="ITC Avant Garde" w:hAnsi="ITC Avant Garde" w:cstheme="minorHAnsi"/>
          <w:i/>
          <w:sz w:val="16"/>
          <w:szCs w:val="16"/>
        </w:rPr>
        <w:t xml:space="preserve"> Project).</w:t>
      </w:r>
    </w:p>
    <w:p w14:paraId="7A73255E" w14:textId="77777777" w:rsidR="00965DCC" w:rsidRPr="00525DB6" w:rsidRDefault="00965DCC" w:rsidP="00965DCC">
      <w:pPr>
        <w:ind w:left="284" w:right="528"/>
        <w:jc w:val="both"/>
        <w:rPr>
          <w:rFonts w:ascii="ITC Avant Garde" w:hAnsi="ITC Avant Garde" w:cstheme="minorHAnsi"/>
          <w:i/>
          <w:sz w:val="16"/>
          <w:szCs w:val="16"/>
        </w:rPr>
      </w:pPr>
    </w:p>
    <w:p w14:paraId="2E6D8FAB" w14:textId="77777777" w:rsidR="00965DCC" w:rsidRPr="00525DB6" w:rsidRDefault="00965DCC" w:rsidP="00965DCC">
      <w:pPr>
        <w:ind w:left="284" w:right="528"/>
        <w:jc w:val="both"/>
        <w:rPr>
          <w:rFonts w:ascii="ITC Avant Garde" w:hAnsi="ITC Avant Garde" w:cstheme="minorHAnsi"/>
          <w:i/>
          <w:sz w:val="16"/>
          <w:szCs w:val="16"/>
        </w:rPr>
      </w:pPr>
      <w:r w:rsidRPr="00525DB6">
        <w:rPr>
          <w:rFonts w:ascii="ITC Avant Garde" w:hAnsi="ITC Avant Garde" w:cstheme="minorHAnsi"/>
          <w:i/>
          <w:sz w:val="16"/>
          <w:szCs w:val="16"/>
        </w:rPr>
        <w:t>En este sentido, se ha identificado la banda 410-430 MHz como una de las alternativas para la reubicación de las operaciones de los concesionarios de sistemas de radiocomunicación especializada de flotillas (</w:t>
      </w:r>
      <w:proofErr w:type="spellStart"/>
      <w:r w:rsidRPr="00525DB6">
        <w:rPr>
          <w:rFonts w:ascii="ITC Avant Garde" w:hAnsi="ITC Avant Garde" w:cstheme="minorHAnsi"/>
          <w:i/>
          <w:sz w:val="16"/>
          <w:szCs w:val="16"/>
        </w:rPr>
        <w:t>trunking</w:t>
      </w:r>
      <w:proofErr w:type="spellEnd"/>
      <w:r w:rsidRPr="00525DB6">
        <w:rPr>
          <w:rFonts w:ascii="ITC Avant Garde" w:hAnsi="ITC Avant Garde" w:cstheme="minorHAnsi"/>
          <w:i/>
          <w:sz w:val="16"/>
          <w:szCs w:val="16"/>
        </w:rPr>
        <w:t>) provenientes de las bandas 806-821/851-866 MHz y 430-440 MHz. Lo anterior, debido a que el rango de frecuencias 410-430 MHz se considera propicio para la operación de sistemas de banda angosta, esto en virtud de que cuenta con soluciones tecnológicas disponibles, además de que no se encuentra identificada por la Unión Internacional de Telecomunicaciones (UIT) para el despliegue de las IMT por lo que actualmente no se tiene contemplada la introducción de tecnologías de banda ancha móvil.</w:t>
      </w:r>
    </w:p>
    <w:p w14:paraId="3C2D6B2A" w14:textId="77777777" w:rsidR="00965DCC" w:rsidRPr="00525DB6" w:rsidRDefault="00965DCC" w:rsidP="00965DCC">
      <w:pPr>
        <w:ind w:left="284" w:right="528"/>
        <w:jc w:val="both"/>
        <w:rPr>
          <w:rFonts w:ascii="ITC Avant Garde" w:hAnsi="ITC Avant Garde" w:cstheme="minorHAnsi"/>
          <w:i/>
          <w:sz w:val="16"/>
          <w:szCs w:val="16"/>
        </w:rPr>
      </w:pPr>
    </w:p>
    <w:p w14:paraId="3574EE25" w14:textId="77777777" w:rsidR="00965DCC" w:rsidRPr="00525DB6" w:rsidRDefault="00965DCC" w:rsidP="00965DCC">
      <w:pPr>
        <w:pStyle w:val="Prrafodelista"/>
        <w:numPr>
          <w:ilvl w:val="0"/>
          <w:numId w:val="48"/>
        </w:numPr>
        <w:ind w:right="528"/>
        <w:jc w:val="both"/>
        <w:rPr>
          <w:rFonts w:ascii="ITC Avant Garde" w:hAnsi="ITC Avant Garde" w:cstheme="minorHAnsi"/>
          <w:i/>
          <w:sz w:val="16"/>
          <w:szCs w:val="16"/>
        </w:rPr>
      </w:pPr>
      <w:r w:rsidRPr="00525DB6">
        <w:rPr>
          <w:rFonts w:ascii="ITC Avant Garde" w:hAnsi="ITC Avant Garde" w:cstheme="minorHAnsi"/>
          <w:i/>
          <w:sz w:val="16"/>
          <w:szCs w:val="16"/>
        </w:rPr>
        <w:t>Planificación de la banda 410-430 MHz</w:t>
      </w:r>
    </w:p>
    <w:p w14:paraId="61E0CAA5" w14:textId="77777777" w:rsidR="00965DCC" w:rsidRPr="00525DB6" w:rsidRDefault="00965DCC" w:rsidP="00965DCC">
      <w:pPr>
        <w:ind w:left="284" w:right="528"/>
        <w:jc w:val="both"/>
        <w:rPr>
          <w:rFonts w:ascii="ITC Avant Garde" w:hAnsi="ITC Avant Garde" w:cstheme="minorHAnsi"/>
          <w:i/>
          <w:sz w:val="16"/>
          <w:szCs w:val="16"/>
        </w:rPr>
      </w:pPr>
    </w:p>
    <w:p w14:paraId="07CB078B" w14:textId="77777777" w:rsidR="00965DCC" w:rsidRPr="00525DB6" w:rsidRDefault="00965DCC" w:rsidP="00965DCC">
      <w:pPr>
        <w:ind w:left="284" w:right="528"/>
        <w:jc w:val="both"/>
        <w:rPr>
          <w:rFonts w:ascii="ITC Avant Garde" w:hAnsi="ITC Avant Garde" w:cstheme="minorHAnsi"/>
          <w:i/>
          <w:sz w:val="16"/>
          <w:szCs w:val="16"/>
        </w:rPr>
      </w:pPr>
      <w:r w:rsidRPr="00525DB6">
        <w:rPr>
          <w:rFonts w:ascii="ITC Avant Garde" w:hAnsi="ITC Avant Garde" w:cstheme="minorHAnsi"/>
          <w:i/>
          <w:sz w:val="16"/>
          <w:szCs w:val="16"/>
        </w:rPr>
        <w:t>Una vez determinado que la banda de 410-430 MHz podrá alojar los servicios de radiocomunicación especializada de flotillas (</w:t>
      </w:r>
      <w:proofErr w:type="spellStart"/>
      <w:r w:rsidRPr="00525DB6">
        <w:rPr>
          <w:rFonts w:ascii="ITC Avant Garde" w:hAnsi="ITC Avant Garde" w:cstheme="minorHAnsi"/>
          <w:i/>
          <w:sz w:val="16"/>
          <w:szCs w:val="16"/>
        </w:rPr>
        <w:t>trunking</w:t>
      </w:r>
      <w:proofErr w:type="spellEnd"/>
      <w:r w:rsidRPr="00525DB6">
        <w:rPr>
          <w:rFonts w:ascii="ITC Avant Garde" w:hAnsi="ITC Avant Garde" w:cstheme="minorHAnsi"/>
          <w:i/>
          <w:sz w:val="16"/>
          <w:szCs w:val="16"/>
        </w:rPr>
        <w:t xml:space="preserve">), se tiene planeada la operación de los sistemas para uso comercial en la parte inferior de la banda, esto es, en el rango 410-415/420-425 MHz. Por otra parte, se prevé que las operaciones de los sistemas de concesiones </w:t>
      </w:r>
      <w:r w:rsidRPr="00525DB6">
        <w:rPr>
          <w:rFonts w:ascii="ITC Avant Garde" w:hAnsi="ITC Avant Garde" w:cstheme="minorHAnsi"/>
          <w:i/>
          <w:sz w:val="16"/>
          <w:szCs w:val="16"/>
        </w:rPr>
        <w:lastRenderedPageBreak/>
        <w:t>de uso público sean alojadas en el en el rango 415-420/425-430 MHz. Todo ello acorde con la Planeación espectral para la banda 410-430 MHz determinada por la Dirección General de Planeación del Espectro de la Unidad de Espectro Radioeléctrico.</w:t>
      </w:r>
    </w:p>
    <w:p w14:paraId="12ED0CAE" w14:textId="77777777" w:rsidR="00965DCC" w:rsidRPr="00525DB6" w:rsidRDefault="00965DCC" w:rsidP="00965DCC">
      <w:pPr>
        <w:ind w:left="284" w:right="528"/>
        <w:jc w:val="both"/>
        <w:rPr>
          <w:rFonts w:ascii="ITC Avant Garde" w:hAnsi="ITC Avant Garde" w:cstheme="minorHAnsi"/>
          <w:i/>
          <w:sz w:val="16"/>
          <w:szCs w:val="16"/>
        </w:rPr>
      </w:pPr>
    </w:p>
    <w:p w14:paraId="2B0C36FE" w14:textId="77777777" w:rsidR="00965DCC" w:rsidRPr="00525DB6" w:rsidRDefault="00965DCC" w:rsidP="00965DCC">
      <w:pPr>
        <w:ind w:left="284" w:right="528"/>
        <w:jc w:val="both"/>
        <w:rPr>
          <w:rFonts w:ascii="ITC Avant Garde" w:hAnsi="ITC Avant Garde" w:cstheme="minorHAnsi"/>
          <w:i/>
          <w:sz w:val="16"/>
          <w:szCs w:val="16"/>
        </w:rPr>
      </w:pPr>
      <w:r w:rsidRPr="00525DB6">
        <w:rPr>
          <w:rFonts w:ascii="ITC Avant Garde" w:hAnsi="ITC Avant Garde" w:cstheme="minorHAnsi"/>
          <w:i/>
          <w:sz w:val="16"/>
          <w:szCs w:val="16"/>
        </w:rPr>
        <w:t>[…]</w:t>
      </w:r>
    </w:p>
    <w:p w14:paraId="0EA68891" w14:textId="77777777" w:rsidR="00965DCC" w:rsidRPr="00525DB6" w:rsidRDefault="00965DCC" w:rsidP="00965DCC">
      <w:pPr>
        <w:ind w:left="284" w:right="528"/>
        <w:jc w:val="both"/>
        <w:rPr>
          <w:rFonts w:ascii="ITC Avant Garde" w:hAnsi="ITC Avant Garde" w:cstheme="minorHAnsi"/>
          <w:i/>
          <w:sz w:val="16"/>
          <w:szCs w:val="16"/>
        </w:rPr>
      </w:pPr>
    </w:p>
    <w:p w14:paraId="25D1D16F" w14:textId="77777777" w:rsidR="00965DCC" w:rsidRPr="00525DB6" w:rsidRDefault="00965DCC" w:rsidP="00965DCC">
      <w:pPr>
        <w:ind w:right="528" w:firstLine="284"/>
        <w:contextualSpacing/>
        <w:rPr>
          <w:rFonts w:ascii="ITC Avant Garde" w:hAnsi="ITC Avant Garde" w:cstheme="minorHAnsi"/>
          <w:b/>
          <w:i/>
          <w:sz w:val="16"/>
          <w:szCs w:val="16"/>
        </w:rPr>
      </w:pPr>
      <w:r w:rsidRPr="00525DB6">
        <w:rPr>
          <w:rFonts w:ascii="ITC Avant Garde" w:hAnsi="ITC Avant Garde" w:cstheme="minorHAnsi"/>
          <w:b/>
          <w:i/>
          <w:sz w:val="16"/>
          <w:szCs w:val="16"/>
        </w:rPr>
        <w:t xml:space="preserve">III. Definición de criterios respecto a las prórrogas solicitadas. </w:t>
      </w:r>
    </w:p>
    <w:p w14:paraId="7D5C4FFC" w14:textId="77777777" w:rsidR="00965DCC" w:rsidRPr="00525DB6" w:rsidRDefault="00965DCC" w:rsidP="00965DCC">
      <w:pPr>
        <w:ind w:left="284" w:right="528"/>
        <w:rPr>
          <w:rFonts w:ascii="ITC Avant Garde" w:hAnsi="ITC Avant Garde" w:cstheme="minorHAnsi"/>
          <w:b/>
          <w:i/>
          <w:sz w:val="16"/>
          <w:szCs w:val="16"/>
        </w:rPr>
      </w:pPr>
    </w:p>
    <w:p w14:paraId="59756D62" w14:textId="77777777" w:rsidR="00965DCC" w:rsidRPr="00525DB6" w:rsidRDefault="00965DCC" w:rsidP="00965DCC">
      <w:pPr>
        <w:pStyle w:val="Prrafodelista"/>
        <w:numPr>
          <w:ilvl w:val="0"/>
          <w:numId w:val="40"/>
        </w:numPr>
        <w:ind w:left="851" w:hanging="567"/>
        <w:contextualSpacing/>
        <w:jc w:val="both"/>
        <w:rPr>
          <w:rFonts w:ascii="ITC Avant Garde Book" w:hAnsi="ITC Avant Garde Book" w:cstheme="minorHAnsi"/>
          <w:i/>
          <w:sz w:val="16"/>
          <w:szCs w:val="16"/>
        </w:rPr>
      </w:pPr>
      <w:r w:rsidRPr="00525DB6">
        <w:rPr>
          <w:rFonts w:ascii="ITC Avant Garde Book" w:hAnsi="ITC Avant Garde Book" w:cstheme="minorHAnsi"/>
          <w:i/>
          <w:sz w:val="16"/>
          <w:szCs w:val="16"/>
        </w:rPr>
        <w:t>Criterios definidos para la asignación de cobertura</w:t>
      </w:r>
    </w:p>
    <w:p w14:paraId="08F225BE" w14:textId="77777777" w:rsidR="00965DCC" w:rsidRPr="00525DB6" w:rsidRDefault="00965DCC" w:rsidP="00965DCC">
      <w:pPr>
        <w:jc w:val="both"/>
        <w:rPr>
          <w:rFonts w:ascii="ITC Avant Garde Book" w:hAnsi="ITC Avant Garde Book" w:cstheme="minorHAnsi"/>
          <w:i/>
          <w:sz w:val="16"/>
          <w:szCs w:val="16"/>
        </w:rPr>
      </w:pPr>
    </w:p>
    <w:p w14:paraId="4C9E9508" w14:textId="396B111A" w:rsidR="00965DCC" w:rsidRPr="00525DB6" w:rsidRDefault="00965DCC" w:rsidP="00965DCC">
      <w:pPr>
        <w:ind w:left="284"/>
        <w:jc w:val="both"/>
        <w:rPr>
          <w:rFonts w:ascii="ITC Avant Garde Book" w:hAnsi="ITC Avant Garde Book" w:cstheme="minorHAnsi"/>
          <w:i/>
          <w:sz w:val="16"/>
          <w:szCs w:val="16"/>
        </w:rPr>
      </w:pPr>
      <w:r w:rsidRPr="00525DB6">
        <w:rPr>
          <w:rFonts w:ascii="ITC Avant Garde Book" w:hAnsi="ITC Avant Garde Book" w:cstheme="minorHAnsi"/>
          <w:i/>
          <w:sz w:val="16"/>
          <w:szCs w:val="16"/>
        </w:rPr>
        <w:t>Los títulos de concesión de referencia, contienen condiciones acordes al Marco Jurídico vigente en la fecha de su otorgamiento, tal es el caso de las</w:t>
      </w:r>
      <w:r w:rsidR="004527C9" w:rsidRPr="00525DB6">
        <w:rPr>
          <w:rFonts w:ascii="ITC Avant Garde Book" w:hAnsi="ITC Avant Garde Book" w:cstheme="minorHAnsi"/>
          <w:i/>
          <w:sz w:val="16"/>
          <w:szCs w:val="16"/>
        </w:rPr>
        <w:t xml:space="preserve"> condiciones relacionas con el ‘área se servicio’</w:t>
      </w:r>
      <w:r w:rsidRPr="00525DB6">
        <w:rPr>
          <w:rFonts w:ascii="ITC Avant Garde Book" w:hAnsi="ITC Avant Garde Book" w:cstheme="minorHAnsi"/>
          <w:i/>
          <w:sz w:val="16"/>
          <w:szCs w:val="16"/>
        </w:rPr>
        <w:t xml:space="preserve"> (cobertura), donde se manejan criterios de cobertura diferentes en cada título, tales como rutas carreteras, estados, ciudades específicas, zonas metropolitanas o la ubicación geográfica de las estaciones </w:t>
      </w:r>
      <w:r w:rsidRPr="00525DB6">
        <w:rPr>
          <w:rFonts w:ascii="ITC Avant Garde" w:hAnsi="ITC Avant Garde"/>
          <w:i/>
          <w:sz w:val="16"/>
          <w:szCs w:val="16"/>
        </w:rPr>
        <w:t xml:space="preserve">transmisoras </w:t>
      </w:r>
      <w:r w:rsidRPr="00525DB6">
        <w:rPr>
          <w:rFonts w:ascii="ITC Avant Garde Book" w:hAnsi="ITC Avant Garde Book" w:cstheme="minorHAnsi"/>
          <w:i/>
          <w:sz w:val="16"/>
          <w:szCs w:val="16"/>
        </w:rPr>
        <w:t>pertenecientes al concesionario.</w:t>
      </w:r>
    </w:p>
    <w:p w14:paraId="7AC837C8" w14:textId="77777777" w:rsidR="00965DCC" w:rsidRPr="00525DB6" w:rsidRDefault="00965DCC" w:rsidP="00965DCC">
      <w:pPr>
        <w:ind w:left="284"/>
        <w:jc w:val="both"/>
        <w:rPr>
          <w:rFonts w:ascii="ITC Avant Garde Book" w:hAnsi="ITC Avant Garde Book" w:cstheme="minorHAnsi"/>
          <w:i/>
          <w:sz w:val="16"/>
          <w:szCs w:val="16"/>
        </w:rPr>
      </w:pPr>
    </w:p>
    <w:p w14:paraId="6E10F8BA" w14:textId="77777777" w:rsidR="00965DCC" w:rsidRPr="00525DB6" w:rsidRDefault="00965DCC" w:rsidP="00965DCC">
      <w:pPr>
        <w:ind w:left="284"/>
        <w:jc w:val="both"/>
        <w:rPr>
          <w:rFonts w:ascii="ITC Avant Garde Book" w:hAnsi="ITC Avant Garde Book" w:cstheme="minorHAnsi"/>
          <w:i/>
          <w:sz w:val="16"/>
          <w:szCs w:val="16"/>
        </w:rPr>
      </w:pPr>
      <w:r w:rsidRPr="00525DB6">
        <w:rPr>
          <w:rFonts w:ascii="ITC Avant Garde Book" w:hAnsi="ITC Avant Garde Book" w:cstheme="minorHAnsi"/>
          <w:i/>
          <w:sz w:val="16"/>
          <w:szCs w:val="16"/>
        </w:rPr>
        <w:t xml:space="preserve">Debido a lo anterior, resultó necesario definir de forma precisa la cobertura de cada título de concesión prorrogado, lo cual tiene como finalidad eliminar ambigüedades respecto la cobertura de cada uno de los títulos, especialmente aquellas definidas por ruta carretera y repetidores. Además, esto también incide en la definición del monto de contraprestación a pagar por los concesionarios, de así resultar procedente el otorgamiento de sus prórrogas. </w:t>
      </w:r>
    </w:p>
    <w:p w14:paraId="1C22E831" w14:textId="77777777" w:rsidR="00965DCC" w:rsidRPr="00525DB6" w:rsidRDefault="00965DCC" w:rsidP="00965DCC">
      <w:pPr>
        <w:ind w:left="284"/>
        <w:jc w:val="both"/>
        <w:rPr>
          <w:rFonts w:ascii="ITC Avant Garde Book" w:hAnsi="ITC Avant Garde Book" w:cstheme="minorHAnsi"/>
          <w:i/>
          <w:sz w:val="16"/>
          <w:szCs w:val="16"/>
        </w:rPr>
      </w:pPr>
    </w:p>
    <w:p w14:paraId="02325395" w14:textId="77777777" w:rsidR="00965DCC" w:rsidRPr="00525DB6" w:rsidRDefault="00965DCC" w:rsidP="00965DCC">
      <w:pPr>
        <w:ind w:left="284"/>
        <w:jc w:val="both"/>
        <w:rPr>
          <w:rFonts w:ascii="ITC Avant Garde Book" w:hAnsi="ITC Avant Garde Book" w:cstheme="minorHAnsi"/>
          <w:i/>
          <w:sz w:val="16"/>
          <w:szCs w:val="16"/>
        </w:rPr>
      </w:pPr>
      <w:r w:rsidRPr="00525DB6">
        <w:rPr>
          <w:rFonts w:ascii="ITC Avant Garde Book" w:hAnsi="ITC Avant Garde Book" w:cstheme="minorHAnsi"/>
          <w:i/>
          <w:sz w:val="16"/>
          <w:szCs w:val="16"/>
        </w:rPr>
        <w:t xml:space="preserve">De este modo, se propone que la unidad mínima para establecer la cobertura de cada uno de los concesionarios sea el </w:t>
      </w:r>
      <w:r w:rsidRPr="00525DB6">
        <w:rPr>
          <w:rFonts w:ascii="ITC Avant Garde Book" w:hAnsi="ITC Avant Garde Book" w:cstheme="minorHAnsi"/>
          <w:b/>
          <w:i/>
          <w:sz w:val="16"/>
          <w:szCs w:val="16"/>
        </w:rPr>
        <w:t>municipio y/o delegación</w:t>
      </w:r>
      <w:r w:rsidRPr="00525DB6">
        <w:rPr>
          <w:rFonts w:ascii="ITC Avant Garde Book" w:hAnsi="ITC Avant Garde Book" w:cstheme="minorHAnsi"/>
          <w:i/>
          <w:sz w:val="16"/>
          <w:szCs w:val="16"/>
        </w:rPr>
        <w:t>, para lo cual debieron establecerse ciertos criterios para asignar las áreas de cobertura, los cuales se mencionan a continuación:</w:t>
      </w:r>
    </w:p>
    <w:p w14:paraId="5FBD1BF2" w14:textId="77777777" w:rsidR="00965DCC" w:rsidRPr="00525DB6" w:rsidRDefault="00965DCC" w:rsidP="00965DCC">
      <w:pPr>
        <w:jc w:val="both"/>
        <w:rPr>
          <w:rFonts w:ascii="ITC Avant Garde Book" w:hAnsi="ITC Avant Garde Book" w:cstheme="minorHAnsi"/>
          <w:i/>
          <w:sz w:val="16"/>
          <w:szCs w:val="16"/>
        </w:rPr>
      </w:pPr>
    </w:p>
    <w:p w14:paraId="74E6022F" w14:textId="77777777" w:rsidR="00965DCC" w:rsidRPr="00525DB6" w:rsidRDefault="00965DCC" w:rsidP="00965DCC">
      <w:pPr>
        <w:ind w:left="284"/>
        <w:jc w:val="both"/>
        <w:rPr>
          <w:rFonts w:ascii="ITC Avant Garde Book" w:hAnsi="ITC Avant Garde Book" w:cstheme="minorHAnsi"/>
          <w:i/>
          <w:sz w:val="16"/>
          <w:szCs w:val="16"/>
        </w:rPr>
      </w:pPr>
      <w:r w:rsidRPr="00525DB6">
        <w:rPr>
          <w:rFonts w:ascii="ITC Avant Garde Book" w:hAnsi="ITC Avant Garde Book" w:cstheme="minorHAnsi"/>
          <w:i/>
          <w:sz w:val="16"/>
          <w:szCs w:val="16"/>
        </w:rPr>
        <w:t>a) Rutas Carreteras.</w:t>
      </w:r>
    </w:p>
    <w:p w14:paraId="36EEABCD" w14:textId="77777777" w:rsidR="00965DCC" w:rsidRPr="00525DB6" w:rsidRDefault="00965DCC" w:rsidP="00965DCC">
      <w:pPr>
        <w:jc w:val="both"/>
        <w:rPr>
          <w:rFonts w:ascii="ITC Avant Garde Book" w:hAnsi="ITC Avant Garde Book" w:cstheme="minorHAnsi"/>
          <w:i/>
          <w:sz w:val="16"/>
          <w:szCs w:val="16"/>
        </w:rPr>
      </w:pPr>
    </w:p>
    <w:p w14:paraId="7D41B282" w14:textId="77777777" w:rsidR="00965DCC" w:rsidRPr="00525DB6" w:rsidRDefault="00965DCC" w:rsidP="00965DCC">
      <w:pPr>
        <w:ind w:left="284"/>
        <w:jc w:val="both"/>
        <w:rPr>
          <w:rFonts w:ascii="ITC Avant Garde Book" w:hAnsi="ITC Avant Garde Book" w:cstheme="minorHAnsi"/>
          <w:i/>
          <w:sz w:val="16"/>
          <w:szCs w:val="16"/>
        </w:rPr>
      </w:pPr>
      <w:r w:rsidRPr="00525DB6">
        <w:rPr>
          <w:rFonts w:ascii="ITC Avant Garde Book" w:hAnsi="ITC Avant Garde Book" w:cstheme="minorHAnsi"/>
          <w:i/>
          <w:sz w:val="16"/>
          <w:szCs w:val="16"/>
        </w:rPr>
        <w:t xml:space="preserve">Dado que el origen del servicio de </w:t>
      </w:r>
      <w:proofErr w:type="spellStart"/>
      <w:r w:rsidRPr="00525DB6">
        <w:rPr>
          <w:rFonts w:ascii="ITC Avant Garde Book" w:hAnsi="ITC Avant Garde Book" w:cstheme="minorHAnsi"/>
          <w:i/>
          <w:sz w:val="16"/>
          <w:szCs w:val="16"/>
        </w:rPr>
        <w:t>trunking</w:t>
      </w:r>
      <w:proofErr w:type="spellEnd"/>
      <w:r w:rsidRPr="00525DB6">
        <w:rPr>
          <w:rFonts w:ascii="ITC Avant Garde Book" w:hAnsi="ITC Avant Garde Book" w:cstheme="minorHAnsi"/>
          <w:i/>
          <w:sz w:val="16"/>
          <w:szCs w:val="16"/>
        </w:rPr>
        <w:t xml:space="preserve"> se encuentra en el servicio de radiocomunicación para flotillas, existen casos donde la cobertura autorizada en las concesiones se estableció por rutas carreteras, las cuales comunican ciudades y/o poblaciones.</w:t>
      </w:r>
    </w:p>
    <w:p w14:paraId="5C6A19AA" w14:textId="77777777" w:rsidR="00965DCC" w:rsidRPr="00525DB6" w:rsidRDefault="00965DCC" w:rsidP="00965DCC">
      <w:pPr>
        <w:jc w:val="both"/>
        <w:rPr>
          <w:rFonts w:ascii="ITC Avant Garde Book" w:hAnsi="ITC Avant Garde Book" w:cstheme="minorHAnsi"/>
          <w:i/>
          <w:sz w:val="16"/>
          <w:szCs w:val="16"/>
        </w:rPr>
      </w:pPr>
    </w:p>
    <w:p w14:paraId="6D677316" w14:textId="77777777" w:rsidR="00965DCC" w:rsidRPr="00525DB6" w:rsidRDefault="00965DCC" w:rsidP="00965DCC">
      <w:pPr>
        <w:ind w:left="284"/>
        <w:jc w:val="both"/>
        <w:rPr>
          <w:rFonts w:ascii="ITC Avant Garde Book" w:hAnsi="ITC Avant Garde Book" w:cstheme="minorHAnsi"/>
          <w:i/>
          <w:sz w:val="16"/>
          <w:szCs w:val="16"/>
        </w:rPr>
      </w:pPr>
      <w:r w:rsidRPr="00525DB6">
        <w:rPr>
          <w:rFonts w:ascii="ITC Avant Garde Book" w:hAnsi="ITC Avant Garde Book" w:cstheme="minorHAnsi"/>
          <w:i/>
          <w:sz w:val="16"/>
          <w:szCs w:val="16"/>
        </w:rPr>
        <w:t xml:space="preserve">Conforme a los indicado en los títulos de concesión, en su momento se otorgó la posibilidad a los concesionarios de ofrecer el servicio en </w:t>
      </w:r>
      <w:r w:rsidRPr="00525DB6">
        <w:rPr>
          <w:rFonts w:ascii="ITC Avant Garde Book" w:hAnsi="ITC Avant Garde Book" w:cstheme="minorHAnsi"/>
          <w:b/>
          <w:i/>
          <w:sz w:val="16"/>
          <w:szCs w:val="16"/>
        </w:rPr>
        <w:t>“…áreas rurales, pequeños núcleos de población, así como regiones urbanas y suburbanas a lo largo de las troncales carreteras…”,</w:t>
      </w:r>
      <w:r w:rsidRPr="00525DB6">
        <w:rPr>
          <w:rFonts w:ascii="ITC Avant Garde Book" w:hAnsi="ITC Avant Garde Book" w:cstheme="minorHAnsi"/>
          <w:i/>
          <w:sz w:val="16"/>
          <w:szCs w:val="16"/>
        </w:rPr>
        <w:t xml:space="preserve"> en adición a las ciudades y/o poblaciones que comprenden tales rutas.</w:t>
      </w:r>
    </w:p>
    <w:p w14:paraId="34B6F526" w14:textId="77777777" w:rsidR="00965DCC" w:rsidRPr="00525DB6" w:rsidRDefault="00965DCC" w:rsidP="00965DCC">
      <w:pPr>
        <w:jc w:val="both"/>
        <w:rPr>
          <w:rFonts w:ascii="ITC Avant Garde Book" w:hAnsi="ITC Avant Garde Book" w:cstheme="minorHAnsi"/>
          <w:i/>
          <w:sz w:val="16"/>
          <w:szCs w:val="16"/>
        </w:rPr>
      </w:pPr>
    </w:p>
    <w:p w14:paraId="69E78AD8" w14:textId="77777777" w:rsidR="00965DCC" w:rsidRPr="00525DB6" w:rsidRDefault="00965DCC" w:rsidP="00965DCC">
      <w:pPr>
        <w:ind w:left="284"/>
        <w:jc w:val="both"/>
        <w:rPr>
          <w:rFonts w:ascii="ITC Avant Garde Book" w:hAnsi="ITC Avant Garde Book" w:cstheme="minorHAnsi"/>
          <w:i/>
          <w:sz w:val="16"/>
          <w:szCs w:val="16"/>
        </w:rPr>
      </w:pPr>
      <w:r w:rsidRPr="00525DB6">
        <w:rPr>
          <w:rFonts w:ascii="ITC Avant Garde Book" w:hAnsi="ITC Avant Garde Book" w:cstheme="minorHAnsi"/>
          <w:i/>
          <w:sz w:val="16"/>
          <w:szCs w:val="16"/>
        </w:rPr>
        <w:t>Con base en lo anteriormente descrito, este análisis considera que las coberturas asignadas por ruta carretera estarán conformadas por todos aquellos municipios por los que cruce la carretera mencionada en su título de concesión.</w:t>
      </w:r>
    </w:p>
    <w:p w14:paraId="72C66AB7" w14:textId="77777777" w:rsidR="00965DCC" w:rsidRPr="00525DB6" w:rsidRDefault="00965DCC" w:rsidP="00965DCC">
      <w:pPr>
        <w:ind w:left="284"/>
        <w:jc w:val="both"/>
        <w:rPr>
          <w:rFonts w:ascii="ITC Avant Garde Book" w:hAnsi="ITC Avant Garde Book" w:cstheme="minorHAnsi"/>
          <w:i/>
          <w:sz w:val="16"/>
          <w:szCs w:val="16"/>
        </w:rPr>
      </w:pPr>
    </w:p>
    <w:p w14:paraId="40F8DE0D" w14:textId="4172985E" w:rsidR="00965DCC" w:rsidRPr="00525DB6" w:rsidRDefault="00965DCC" w:rsidP="00965DCC">
      <w:pPr>
        <w:ind w:left="284"/>
        <w:jc w:val="both"/>
        <w:rPr>
          <w:rFonts w:ascii="ITC Avant Garde Book" w:hAnsi="ITC Avant Garde Book" w:cstheme="minorHAnsi"/>
          <w:i/>
          <w:sz w:val="16"/>
          <w:szCs w:val="16"/>
        </w:rPr>
      </w:pPr>
      <w:r w:rsidRPr="00525DB6">
        <w:rPr>
          <w:rFonts w:ascii="ITC Avant Garde Book" w:hAnsi="ITC Avant Garde Book" w:cstheme="minorHAnsi"/>
          <w:i/>
          <w:sz w:val="16"/>
          <w:szCs w:val="16"/>
        </w:rPr>
        <w:t xml:space="preserve">Adicionalmente, se han considerado como parte de la cobertura aquellos municipios conectados por troncales que no forman parte de una carretera principal, siempre que la distancia de la carretera principal a la mancha urbana fuera menor o igual a 10 km. Esto, en atención a la asignación de coberturas en los títulos de concesión originalmente otorgados, los cuales brindaban la posibilidad de conectar poblaciones fuera del trayecto principal de la carretera, a través de sus troncales, mientras que la distancia de 10 km se tomó con base en la definición de zonas metropolitanas que </w:t>
      </w:r>
      <w:r w:rsidRPr="00525DB6">
        <w:rPr>
          <w:rFonts w:ascii="ITC Avant Garde" w:hAnsi="ITC Avant Garde"/>
          <w:i/>
          <w:sz w:val="16"/>
          <w:szCs w:val="16"/>
        </w:rPr>
        <w:t>el Instituto Nacional de Estadística Geográfica e Informática</w:t>
      </w:r>
      <w:r w:rsidR="004527C9" w:rsidRPr="00525DB6">
        <w:rPr>
          <w:rStyle w:val="Refdenotaalpie"/>
          <w:rFonts w:ascii="ITC Avant Garde" w:hAnsi="ITC Avant Garde"/>
          <w:i/>
          <w:sz w:val="16"/>
          <w:szCs w:val="16"/>
        </w:rPr>
        <w:footnoteReference w:id="2"/>
      </w:r>
      <w:r w:rsidRPr="00525DB6">
        <w:rPr>
          <w:rFonts w:ascii="ITC Avant Garde Book" w:hAnsi="ITC Avant Garde Book" w:cstheme="minorHAnsi"/>
          <w:i/>
          <w:sz w:val="16"/>
          <w:szCs w:val="16"/>
        </w:rPr>
        <w:t xml:space="preserve"> (INEGI) hace en el documento Delimitación de las Zonas Metropolitanas México 2010</w:t>
      </w:r>
      <w:r w:rsidRPr="00525DB6">
        <w:rPr>
          <w:rStyle w:val="Refdenotaalpie"/>
          <w:rFonts w:ascii="ITC Avant Garde Book" w:eastAsiaTheme="minorHAnsi" w:hAnsi="ITC Avant Garde Book" w:cstheme="minorHAnsi"/>
          <w:i/>
          <w:sz w:val="16"/>
          <w:szCs w:val="16"/>
        </w:rPr>
        <w:footnoteReference w:id="3"/>
      </w:r>
      <w:r w:rsidRPr="00525DB6">
        <w:rPr>
          <w:rFonts w:ascii="ITC Avant Garde Book" w:hAnsi="ITC Avant Garde Book" w:cstheme="minorHAnsi"/>
          <w:i/>
          <w:sz w:val="16"/>
          <w:szCs w:val="16"/>
        </w:rPr>
        <w:t xml:space="preserve"> (el documento ZMM).</w:t>
      </w:r>
    </w:p>
    <w:p w14:paraId="266B5E09" w14:textId="77777777" w:rsidR="00965DCC" w:rsidRPr="00525DB6" w:rsidRDefault="00965DCC" w:rsidP="00965DCC">
      <w:pPr>
        <w:jc w:val="both"/>
        <w:rPr>
          <w:rFonts w:ascii="ITC Avant Garde" w:hAnsi="ITC Avant Garde"/>
          <w:i/>
          <w:sz w:val="16"/>
          <w:szCs w:val="16"/>
        </w:rPr>
      </w:pPr>
    </w:p>
    <w:p w14:paraId="0003336D" w14:textId="77777777" w:rsidR="00965DCC" w:rsidRPr="00525DB6" w:rsidRDefault="00965DCC" w:rsidP="00965DCC">
      <w:pPr>
        <w:ind w:left="284"/>
        <w:jc w:val="both"/>
        <w:rPr>
          <w:rFonts w:ascii="ITC Avant Garde" w:hAnsi="ITC Avant Garde"/>
          <w:i/>
          <w:sz w:val="16"/>
          <w:szCs w:val="16"/>
        </w:rPr>
      </w:pPr>
      <w:r w:rsidRPr="00525DB6">
        <w:rPr>
          <w:rFonts w:ascii="ITC Avant Garde" w:hAnsi="ITC Avant Garde"/>
          <w:i/>
          <w:sz w:val="16"/>
          <w:szCs w:val="16"/>
        </w:rPr>
        <w:t>b) Zonas Metropolitanas</w:t>
      </w:r>
    </w:p>
    <w:p w14:paraId="15D879E6" w14:textId="77777777" w:rsidR="00965DCC" w:rsidRPr="00525DB6" w:rsidRDefault="00965DCC" w:rsidP="00965DCC">
      <w:pPr>
        <w:jc w:val="both"/>
        <w:rPr>
          <w:rFonts w:ascii="ITC Avant Garde" w:hAnsi="ITC Avant Garde"/>
          <w:i/>
          <w:sz w:val="16"/>
          <w:szCs w:val="16"/>
        </w:rPr>
      </w:pPr>
    </w:p>
    <w:p w14:paraId="2CC920DC" w14:textId="77777777" w:rsidR="00965DCC" w:rsidRPr="00525DB6" w:rsidRDefault="00965DCC" w:rsidP="00965DCC">
      <w:pPr>
        <w:ind w:left="284"/>
        <w:jc w:val="both"/>
        <w:rPr>
          <w:rFonts w:ascii="ITC Avant Garde" w:hAnsi="ITC Avant Garde"/>
          <w:i/>
          <w:sz w:val="16"/>
          <w:szCs w:val="16"/>
        </w:rPr>
      </w:pPr>
      <w:r w:rsidRPr="00525DB6">
        <w:rPr>
          <w:rFonts w:ascii="ITC Avant Garde" w:hAnsi="ITC Avant Garde"/>
          <w:i/>
          <w:sz w:val="16"/>
          <w:szCs w:val="16"/>
        </w:rPr>
        <w:t>Algunos títulos de concesión incluidos en las solicitudes de prórroga tienen definidas sus áreas de cobertura por ciudades y/o zonas conurbadas por lo que en los casos donde estas coberturas tratasen de municipios centrales, se decidió unificar estos criterios de acuerdo a lo definido por el INEGI en el documento ZMM:</w:t>
      </w:r>
    </w:p>
    <w:p w14:paraId="3AFE50FB" w14:textId="77777777" w:rsidR="00965DCC" w:rsidRPr="00525DB6" w:rsidRDefault="00965DCC" w:rsidP="00965DCC">
      <w:pPr>
        <w:jc w:val="both"/>
        <w:rPr>
          <w:rFonts w:ascii="ITC Avant Garde" w:hAnsi="ITC Avant Garde"/>
          <w:i/>
          <w:sz w:val="16"/>
          <w:szCs w:val="16"/>
        </w:rPr>
      </w:pPr>
    </w:p>
    <w:p w14:paraId="49758017" w14:textId="3563E12C" w:rsidR="00965DCC" w:rsidRPr="00525DB6" w:rsidRDefault="004527C9" w:rsidP="00965DCC">
      <w:pPr>
        <w:ind w:left="567" w:right="758"/>
        <w:jc w:val="both"/>
        <w:rPr>
          <w:rFonts w:ascii="ITC Avant Garde" w:hAnsi="ITC Avant Garde"/>
          <w:i/>
          <w:sz w:val="16"/>
          <w:szCs w:val="16"/>
        </w:rPr>
      </w:pPr>
      <w:r w:rsidRPr="00525DB6">
        <w:rPr>
          <w:rFonts w:ascii="ITC Avant Garde" w:hAnsi="ITC Avant Garde"/>
          <w:i/>
          <w:sz w:val="16"/>
          <w:szCs w:val="16"/>
        </w:rPr>
        <w:t>‘</w:t>
      </w:r>
      <w:r w:rsidR="00965DCC" w:rsidRPr="00525DB6">
        <w:rPr>
          <w:rFonts w:ascii="ITC Avant Garde" w:hAnsi="ITC Avant Garde"/>
          <w:i/>
          <w:sz w:val="16"/>
          <w:szCs w:val="16"/>
        </w:rPr>
        <w:t xml:space="preserve">Se define como </w:t>
      </w:r>
      <w:r w:rsidR="00965DCC" w:rsidRPr="00525DB6">
        <w:rPr>
          <w:rFonts w:ascii="ITC Avant Garde" w:hAnsi="ITC Avant Garde"/>
          <w:b/>
          <w:i/>
          <w:sz w:val="16"/>
          <w:szCs w:val="16"/>
        </w:rPr>
        <w:t>zona metropolitana</w:t>
      </w:r>
      <w:r w:rsidR="00965DCC" w:rsidRPr="00525DB6">
        <w:rPr>
          <w:rFonts w:ascii="ITC Avant Garde" w:hAnsi="ITC Avant Garde"/>
          <w:i/>
          <w:sz w:val="16"/>
          <w:szCs w:val="16"/>
        </w:rPr>
        <w:t xml:space="preserve"> al conjunto de dos o más municipios donde se localiza una ciudad de 50 mil o más habitantes, cuya área urbana, funciones y actividades rebasan el límite del municipio que originalmente la contenía, incorporando como parte de sí misma o de su área de influencia directa a municipios vecinos, predominantemente urbanos, con los que mantiene un alto grado de integración socioeconómica. También se incluyen aquellos municipios que por sus características particulares son relevantes para la planeación y política urbanas de las zonas metropolitanas en cuestión.</w:t>
      </w:r>
    </w:p>
    <w:p w14:paraId="3BBFDEDA" w14:textId="77777777" w:rsidR="00965DCC" w:rsidRPr="00525DB6" w:rsidRDefault="00965DCC" w:rsidP="00965DCC">
      <w:pPr>
        <w:ind w:left="567" w:right="758"/>
        <w:jc w:val="both"/>
        <w:rPr>
          <w:rFonts w:ascii="ITC Avant Garde" w:hAnsi="ITC Avant Garde"/>
          <w:i/>
          <w:sz w:val="16"/>
          <w:szCs w:val="16"/>
        </w:rPr>
      </w:pPr>
    </w:p>
    <w:p w14:paraId="4AD52BA2" w14:textId="77777777" w:rsidR="00965DCC" w:rsidRPr="00525DB6" w:rsidRDefault="00965DCC" w:rsidP="00965DCC">
      <w:pPr>
        <w:ind w:left="567" w:right="758"/>
        <w:jc w:val="both"/>
        <w:rPr>
          <w:rFonts w:ascii="ITC Avant Garde" w:hAnsi="ITC Avant Garde"/>
          <w:i/>
          <w:sz w:val="16"/>
          <w:szCs w:val="16"/>
        </w:rPr>
      </w:pPr>
      <w:r w:rsidRPr="00525DB6">
        <w:rPr>
          <w:rFonts w:ascii="ITC Avant Garde" w:hAnsi="ITC Avant Garde"/>
          <w:i/>
          <w:sz w:val="16"/>
          <w:szCs w:val="16"/>
        </w:rPr>
        <w:lastRenderedPageBreak/>
        <w:t>Adicionalmente, se define como zonas metropolitanas a todos aquellos municipios que contienen una ciudad de un millón o más habitantes, así como ciudades de 250 mil o más habitantes que comparten procesos de conurbación con ciudades de Estados Unidos de América.</w:t>
      </w:r>
    </w:p>
    <w:p w14:paraId="6EF7C8E7" w14:textId="77777777" w:rsidR="00965DCC" w:rsidRPr="00525DB6" w:rsidRDefault="00965DCC" w:rsidP="00965DCC">
      <w:pPr>
        <w:ind w:right="758"/>
        <w:jc w:val="both"/>
        <w:rPr>
          <w:rFonts w:ascii="ITC Avant Garde" w:hAnsi="ITC Avant Garde"/>
          <w:i/>
          <w:sz w:val="16"/>
          <w:szCs w:val="16"/>
        </w:rPr>
      </w:pPr>
    </w:p>
    <w:p w14:paraId="32E34B11" w14:textId="77777777" w:rsidR="00965DCC" w:rsidRPr="00525DB6" w:rsidRDefault="00965DCC" w:rsidP="00965DCC">
      <w:pPr>
        <w:ind w:left="284" w:right="-93"/>
        <w:jc w:val="both"/>
        <w:rPr>
          <w:rFonts w:ascii="ITC Avant Garde" w:hAnsi="ITC Avant Garde"/>
          <w:i/>
          <w:sz w:val="16"/>
          <w:szCs w:val="16"/>
        </w:rPr>
      </w:pPr>
      <w:r w:rsidRPr="00525DB6">
        <w:rPr>
          <w:rFonts w:ascii="ITC Avant Garde" w:hAnsi="ITC Avant Garde"/>
          <w:i/>
          <w:sz w:val="16"/>
          <w:szCs w:val="16"/>
        </w:rPr>
        <w:t>Para delimitar las zonas metropolitanas, el INEGI a su vez define tres grupos de municipios metropolitanos, de los cuales en donde se localiza la ciudad principal es denominado Municipio Central.</w:t>
      </w:r>
    </w:p>
    <w:p w14:paraId="54C39C79" w14:textId="77777777" w:rsidR="00965DCC" w:rsidRPr="00525DB6" w:rsidRDefault="00965DCC" w:rsidP="00965DCC">
      <w:pPr>
        <w:ind w:right="758"/>
        <w:jc w:val="both"/>
        <w:rPr>
          <w:rFonts w:ascii="ITC Avant Garde" w:hAnsi="ITC Avant Garde"/>
          <w:i/>
          <w:sz w:val="16"/>
          <w:szCs w:val="16"/>
        </w:rPr>
      </w:pPr>
    </w:p>
    <w:p w14:paraId="6F56AADE" w14:textId="1FBC45C7" w:rsidR="00965DCC" w:rsidRPr="00525DB6" w:rsidRDefault="00965DCC" w:rsidP="00965DCC">
      <w:pPr>
        <w:ind w:left="567" w:right="758"/>
        <w:jc w:val="both"/>
        <w:rPr>
          <w:rFonts w:ascii="ITC Avant Garde" w:hAnsi="ITC Avant Garde"/>
          <w:i/>
          <w:sz w:val="16"/>
          <w:szCs w:val="16"/>
        </w:rPr>
      </w:pPr>
      <w:r w:rsidRPr="00525DB6">
        <w:rPr>
          <w:rFonts w:ascii="ITC Avant Garde" w:hAnsi="ITC Avant Garde"/>
          <w:b/>
          <w:i/>
          <w:sz w:val="16"/>
          <w:szCs w:val="16"/>
        </w:rPr>
        <w:t>Municipios Centrales</w:t>
      </w:r>
      <w:r w:rsidRPr="00525DB6">
        <w:rPr>
          <w:rFonts w:ascii="ITC Avant Garde" w:hAnsi="ITC Avant Garde"/>
          <w:i/>
          <w:sz w:val="16"/>
          <w:szCs w:val="16"/>
        </w:rPr>
        <w:t xml:space="preserve">. Corresponden a los municipios donde se localiza la ciudad central que da origen a la zona metropolitana; es la localidad </w:t>
      </w:r>
      <w:proofErr w:type="spellStart"/>
      <w:r w:rsidRPr="00525DB6">
        <w:rPr>
          <w:rFonts w:ascii="ITC Avant Garde" w:hAnsi="ITC Avant Garde"/>
          <w:i/>
          <w:sz w:val="16"/>
          <w:szCs w:val="16"/>
        </w:rPr>
        <w:t>geoestadística</w:t>
      </w:r>
      <w:proofErr w:type="spellEnd"/>
      <w:r w:rsidRPr="00525DB6">
        <w:rPr>
          <w:rFonts w:ascii="ITC Avant Garde" w:hAnsi="ITC Avant Garde"/>
          <w:i/>
          <w:sz w:val="16"/>
          <w:szCs w:val="16"/>
        </w:rPr>
        <w:t xml:space="preserve"> urbana o conurbación que da origen a la zona metropol</w:t>
      </w:r>
      <w:r w:rsidR="004527C9" w:rsidRPr="00525DB6">
        <w:rPr>
          <w:rFonts w:ascii="ITC Avant Garde" w:hAnsi="ITC Avant Garde"/>
          <w:i/>
          <w:sz w:val="16"/>
          <w:szCs w:val="16"/>
        </w:rPr>
        <w:t>itana.’</w:t>
      </w:r>
    </w:p>
    <w:p w14:paraId="6AE5E97A" w14:textId="77777777" w:rsidR="00965DCC" w:rsidRPr="00525DB6" w:rsidRDefault="00965DCC" w:rsidP="00965DCC">
      <w:pPr>
        <w:ind w:right="758"/>
        <w:jc w:val="both"/>
        <w:rPr>
          <w:rFonts w:ascii="ITC Avant Garde" w:hAnsi="ITC Avant Garde"/>
          <w:i/>
          <w:sz w:val="16"/>
          <w:szCs w:val="16"/>
        </w:rPr>
      </w:pPr>
    </w:p>
    <w:p w14:paraId="113ADDA4" w14:textId="77777777" w:rsidR="00965DCC" w:rsidRPr="00525DB6" w:rsidRDefault="00965DCC" w:rsidP="00965DCC">
      <w:pPr>
        <w:ind w:left="284"/>
        <w:jc w:val="both"/>
        <w:rPr>
          <w:rFonts w:ascii="ITC Avant Garde" w:hAnsi="ITC Avant Garde"/>
          <w:i/>
          <w:sz w:val="16"/>
          <w:szCs w:val="16"/>
        </w:rPr>
      </w:pPr>
      <w:r w:rsidRPr="00525DB6">
        <w:rPr>
          <w:rFonts w:ascii="ITC Avant Garde" w:hAnsi="ITC Avant Garde"/>
          <w:i/>
          <w:sz w:val="16"/>
          <w:szCs w:val="16"/>
        </w:rPr>
        <w:t>Así, para aquel concesionario cuya área de cobertura estuviera definida por ciudad (y ésta fuera parte de un municipio central) y/o zona conurbada, se asignaron los municipios pertenecientes a la zona metropolitana asociada, de acuerdo al documento ZMM.</w:t>
      </w:r>
    </w:p>
    <w:p w14:paraId="1A559AD9" w14:textId="77777777" w:rsidR="00965DCC" w:rsidRPr="00525DB6" w:rsidRDefault="00965DCC" w:rsidP="00965DCC">
      <w:pPr>
        <w:jc w:val="both"/>
        <w:rPr>
          <w:rFonts w:ascii="ITC Avant Garde" w:hAnsi="ITC Avant Garde"/>
          <w:i/>
          <w:sz w:val="16"/>
          <w:szCs w:val="16"/>
        </w:rPr>
      </w:pPr>
    </w:p>
    <w:p w14:paraId="61222822" w14:textId="77777777" w:rsidR="00965DCC" w:rsidRPr="00525DB6" w:rsidRDefault="00965DCC" w:rsidP="00965DCC">
      <w:pPr>
        <w:ind w:left="284"/>
        <w:jc w:val="both"/>
        <w:rPr>
          <w:rFonts w:ascii="ITC Avant Garde" w:hAnsi="ITC Avant Garde"/>
          <w:i/>
          <w:sz w:val="16"/>
          <w:szCs w:val="16"/>
        </w:rPr>
      </w:pPr>
      <w:r w:rsidRPr="00525DB6">
        <w:rPr>
          <w:rFonts w:ascii="ITC Avant Garde" w:hAnsi="ITC Avant Garde"/>
          <w:i/>
          <w:sz w:val="16"/>
          <w:szCs w:val="16"/>
        </w:rPr>
        <w:t>c) Repetidores</w:t>
      </w:r>
    </w:p>
    <w:p w14:paraId="766A8E1E" w14:textId="77777777" w:rsidR="00965DCC" w:rsidRPr="00525DB6" w:rsidRDefault="00965DCC" w:rsidP="00965DCC">
      <w:pPr>
        <w:jc w:val="both"/>
        <w:rPr>
          <w:rFonts w:ascii="ITC Avant Garde" w:hAnsi="ITC Avant Garde"/>
          <w:i/>
          <w:sz w:val="16"/>
          <w:szCs w:val="16"/>
        </w:rPr>
      </w:pPr>
    </w:p>
    <w:p w14:paraId="70DB1912" w14:textId="77777777" w:rsidR="00965DCC" w:rsidRPr="00525DB6" w:rsidRDefault="00965DCC" w:rsidP="00965DCC">
      <w:pPr>
        <w:ind w:left="284"/>
        <w:jc w:val="both"/>
        <w:rPr>
          <w:rFonts w:ascii="ITC Avant Garde" w:hAnsi="ITC Avant Garde"/>
          <w:i/>
          <w:sz w:val="16"/>
          <w:szCs w:val="16"/>
        </w:rPr>
      </w:pPr>
      <w:r w:rsidRPr="00525DB6">
        <w:rPr>
          <w:rFonts w:ascii="ITC Avant Garde" w:hAnsi="ITC Avant Garde"/>
          <w:i/>
          <w:sz w:val="16"/>
          <w:szCs w:val="16"/>
        </w:rPr>
        <w:t>Para el caso único del concesionario “Radiocomunicaciones y Desarrollos de México, S.A. de C.V”, en cual la definición de su área de cobertura solo se puede deducir a través de la ubicación de sus repetidores y la ciudad/municipio en donde se encuentran éstos localizados, se consideró proponer como área de cobertura la zona metropolitana asociada al municipio en donde se ubica el repetidor siempre y cuando el municipio fuera del tipo central, de ser el caso contrario, sólo se asignó como cobertura el municipio asociado al repetidor.</w:t>
      </w:r>
    </w:p>
    <w:p w14:paraId="205DB144" w14:textId="77777777" w:rsidR="00965DCC" w:rsidRPr="00525DB6" w:rsidRDefault="00965DCC" w:rsidP="00965DCC">
      <w:pPr>
        <w:jc w:val="both"/>
        <w:rPr>
          <w:rFonts w:ascii="ITC Avant Garde" w:hAnsi="ITC Avant Garde"/>
          <w:i/>
          <w:sz w:val="16"/>
          <w:szCs w:val="16"/>
        </w:rPr>
      </w:pPr>
    </w:p>
    <w:p w14:paraId="45663C91" w14:textId="77777777" w:rsidR="00965DCC" w:rsidRPr="00525DB6" w:rsidRDefault="00965DCC" w:rsidP="00965DCC">
      <w:pPr>
        <w:pStyle w:val="Prrafodelista"/>
        <w:numPr>
          <w:ilvl w:val="0"/>
          <w:numId w:val="40"/>
        </w:numPr>
        <w:spacing w:line="276" w:lineRule="auto"/>
        <w:ind w:left="851" w:hanging="567"/>
        <w:contextualSpacing/>
        <w:jc w:val="both"/>
        <w:rPr>
          <w:rFonts w:ascii="ITC Avant Garde" w:hAnsi="ITC Avant Garde"/>
          <w:i/>
          <w:sz w:val="16"/>
          <w:szCs w:val="16"/>
        </w:rPr>
      </w:pPr>
      <w:r w:rsidRPr="00525DB6">
        <w:rPr>
          <w:rFonts w:ascii="ITC Avant Garde" w:hAnsi="ITC Avant Garde"/>
          <w:i/>
          <w:sz w:val="16"/>
          <w:szCs w:val="16"/>
        </w:rPr>
        <w:t>Canalización de la banda 410-430 MHz</w:t>
      </w:r>
    </w:p>
    <w:p w14:paraId="7E2E6FB9" w14:textId="77777777" w:rsidR="00965DCC" w:rsidRPr="00525DB6" w:rsidRDefault="00965DCC" w:rsidP="00965DCC">
      <w:pPr>
        <w:pStyle w:val="Prrafodelista"/>
        <w:ind w:left="360"/>
        <w:jc w:val="both"/>
        <w:rPr>
          <w:rFonts w:ascii="ITC Avant Garde" w:hAnsi="ITC Avant Garde"/>
          <w:i/>
          <w:sz w:val="16"/>
          <w:szCs w:val="16"/>
        </w:rPr>
      </w:pPr>
    </w:p>
    <w:p w14:paraId="5680FF5F" w14:textId="77777777" w:rsidR="00965DCC" w:rsidRPr="00525DB6" w:rsidRDefault="00965DCC" w:rsidP="00965DCC">
      <w:pPr>
        <w:pStyle w:val="Prrafodelista"/>
        <w:ind w:left="284"/>
        <w:jc w:val="both"/>
        <w:rPr>
          <w:rFonts w:ascii="ITC Avant Garde" w:hAnsi="ITC Avant Garde"/>
          <w:i/>
          <w:sz w:val="16"/>
          <w:szCs w:val="16"/>
        </w:rPr>
      </w:pPr>
      <w:r w:rsidRPr="00525DB6">
        <w:rPr>
          <w:rFonts w:ascii="ITC Avant Garde" w:hAnsi="ITC Avant Garde"/>
          <w:i/>
          <w:sz w:val="16"/>
          <w:szCs w:val="16"/>
        </w:rPr>
        <w:t xml:space="preserve">Las solicitudes de prórroga de los títulos de concesión fueron asignadas en un principio dentro de la banda de 800 MHz y con una canalización de un ancho de banda de 25 kHz por canal. Debido a que los servicios objeto de estas prórrogas son los referidos a radiocomunicación móvil de flotillas, o </w:t>
      </w:r>
      <w:proofErr w:type="spellStart"/>
      <w:r w:rsidRPr="00525DB6">
        <w:rPr>
          <w:rFonts w:ascii="ITC Avant Garde" w:hAnsi="ITC Avant Garde"/>
          <w:i/>
          <w:sz w:val="16"/>
          <w:szCs w:val="16"/>
        </w:rPr>
        <w:t>trunking</w:t>
      </w:r>
      <w:proofErr w:type="spellEnd"/>
      <w:r w:rsidRPr="00525DB6">
        <w:rPr>
          <w:rFonts w:ascii="ITC Avant Garde" w:hAnsi="ITC Avant Garde"/>
          <w:i/>
          <w:sz w:val="16"/>
          <w:szCs w:val="16"/>
        </w:rPr>
        <w:t xml:space="preserve">, la tecnología disponible en el mercado cuando originalmente se otorgaron estos títulos era apropiada para tal canalización. No obstante, hoy existen tecnologías ampliamente disponibles que pueden operar con canalizaciones que permiten una eficiencia espectral mayor, al permitir canales de comunicación en anchos de banda menores permitiendo así como un uso más eficiente del espectro. </w:t>
      </w:r>
    </w:p>
    <w:p w14:paraId="2DD1C065" w14:textId="77777777" w:rsidR="00965DCC" w:rsidRPr="00525DB6" w:rsidRDefault="00965DCC" w:rsidP="00965DCC">
      <w:pPr>
        <w:pStyle w:val="Prrafodelista"/>
        <w:ind w:left="284"/>
        <w:jc w:val="both"/>
        <w:rPr>
          <w:rFonts w:ascii="ITC Avant Garde" w:hAnsi="ITC Avant Garde"/>
          <w:i/>
          <w:sz w:val="16"/>
          <w:szCs w:val="16"/>
        </w:rPr>
      </w:pPr>
    </w:p>
    <w:p w14:paraId="62CEB735" w14:textId="77777777" w:rsidR="00965DCC" w:rsidRPr="00525DB6" w:rsidRDefault="00965DCC" w:rsidP="00965DCC">
      <w:pPr>
        <w:pStyle w:val="Prrafodelista"/>
        <w:ind w:left="284"/>
        <w:jc w:val="both"/>
        <w:rPr>
          <w:rFonts w:ascii="ITC Avant Garde" w:hAnsi="ITC Avant Garde"/>
          <w:i/>
          <w:sz w:val="16"/>
          <w:szCs w:val="16"/>
        </w:rPr>
      </w:pPr>
      <w:r w:rsidRPr="00525DB6">
        <w:rPr>
          <w:rFonts w:ascii="ITC Avant Garde" w:hAnsi="ITC Avant Garde"/>
          <w:i/>
          <w:sz w:val="16"/>
          <w:szCs w:val="16"/>
        </w:rPr>
        <w:t xml:space="preserve">Considerando lo anterior y en fomento al uso más eficiente del espectro, esta Dirección General recomienda que se adopte un esquema estándar de canalización de 12.5 kHz de ancho de banda por canal para la banda de 410-430 MHz. No obstante que el espaciamiento estándar de cada canal dentro de esta banda es de 12.5 kHz, el esquema propuesto permite la flexibilidad de operar dos canales contiguos, lo cual es equivalente a un canal de 25 kHz. </w:t>
      </w:r>
    </w:p>
    <w:p w14:paraId="2F576843" w14:textId="77777777" w:rsidR="00965DCC" w:rsidRPr="00525DB6" w:rsidRDefault="00965DCC" w:rsidP="00965DCC">
      <w:pPr>
        <w:pStyle w:val="Prrafodelista"/>
        <w:ind w:left="284"/>
        <w:jc w:val="both"/>
        <w:rPr>
          <w:rFonts w:ascii="ITC Avant Garde" w:hAnsi="ITC Avant Garde"/>
          <w:i/>
          <w:sz w:val="16"/>
          <w:szCs w:val="16"/>
        </w:rPr>
      </w:pPr>
    </w:p>
    <w:p w14:paraId="47479D6B" w14:textId="77777777" w:rsidR="00965DCC" w:rsidRPr="00525DB6" w:rsidRDefault="00965DCC" w:rsidP="00965DCC">
      <w:pPr>
        <w:pStyle w:val="Prrafodelista"/>
        <w:ind w:left="284"/>
        <w:jc w:val="both"/>
        <w:rPr>
          <w:rFonts w:ascii="ITC Avant Garde" w:hAnsi="ITC Avant Garde"/>
          <w:i/>
          <w:sz w:val="16"/>
          <w:szCs w:val="16"/>
        </w:rPr>
      </w:pPr>
      <w:r w:rsidRPr="00525DB6">
        <w:rPr>
          <w:rFonts w:ascii="ITC Avant Garde" w:hAnsi="ITC Avant Garde"/>
          <w:i/>
          <w:sz w:val="16"/>
          <w:szCs w:val="16"/>
        </w:rPr>
        <w:t>Lo anterior respeta la canalización de 25 kHz con la que actualmente operan los concesionarios comerciales y de uso público, reconociendo así la cantidad de espectro concesionado, al mismo tiempo que se promueve el uso más eficiente del espectro radioeléctrico y se respeta el principio de neutralidad tecnológica.</w:t>
      </w:r>
    </w:p>
    <w:p w14:paraId="216EEBDD" w14:textId="77777777" w:rsidR="00965DCC" w:rsidRPr="00525DB6" w:rsidRDefault="00965DCC" w:rsidP="00965DCC">
      <w:pPr>
        <w:pStyle w:val="Prrafodelista"/>
        <w:ind w:left="284"/>
        <w:jc w:val="both"/>
        <w:rPr>
          <w:rFonts w:ascii="ITC Avant Garde" w:hAnsi="ITC Avant Garde"/>
          <w:i/>
          <w:sz w:val="16"/>
          <w:szCs w:val="16"/>
        </w:rPr>
      </w:pPr>
    </w:p>
    <w:p w14:paraId="375B3688" w14:textId="77777777" w:rsidR="00965DCC" w:rsidRPr="00525DB6" w:rsidRDefault="00965DCC" w:rsidP="00965DCC">
      <w:pPr>
        <w:ind w:left="284" w:right="528"/>
        <w:jc w:val="both"/>
        <w:rPr>
          <w:rFonts w:ascii="ITC Avant Garde" w:hAnsi="ITC Avant Garde"/>
          <w:i/>
          <w:sz w:val="16"/>
          <w:szCs w:val="16"/>
        </w:rPr>
      </w:pPr>
      <w:r w:rsidRPr="00525DB6">
        <w:rPr>
          <w:rFonts w:ascii="ITC Avant Garde" w:hAnsi="ITC Avant Garde"/>
          <w:i/>
          <w:sz w:val="16"/>
          <w:szCs w:val="16"/>
        </w:rPr>
        <w:t>[…]</w:t>
      </w:r>
    </w:p>
    <w:p w14:paraId="4147D08E" w14:textId="77777777" w:rsidR="00965DCC" w:rsidRPr="00525DB6" w:rsidRDefault="00965DCC" w:rsidP="00965DCC">
      <w:pPr>
        <w:ind w:left="284" w:right="528"/>
        <w:jc w:val="both"/>
        <w:rPr>
          <w:rFonts w:ascii="ITC Avant Garde" w:hAnsi="ITC Avant Garde"/>
          <w:i/>
          <w:sz w:val="16"/>
          <w:szCs w:val="16"/>
        </w:rPr>
      </w:pPr>
    </w:p>
    <w:p w14:paraId="7B18A68F" w14:textId="77777777" w:rsidR="00965DCC" w:rsidRPr="00525DB6" w:rsidRDefault="00965DCC" w:rsidP="00965DCC">
      <w:pPr>
        <w:pStyle w:val="Prrafodelista"/>
        <w:numPr>
          <w:ilvl w:val="0"/>
          <w:numId w:val="47"/>
        </w:numPr>
        <w:ind w:right="528"/>
        <w:contextualSpacing/>
        <w:jc w:val="both"/>
        <w:rPr>
          <w:rFonts w:ascii="ITC Avant Garde" w:hAnsi="ITC Avant Garde"/>
          <w:b/>
          <w:i/>
          <w:sz w:val="16"/>
          <w:szCs w:val="16"/>
        </w:rPr>
      </w:pPr>
      <w:r w:rsidRPr="00525DB6">
        <w:rPr>
          <w:rFonts w:ascii="ITC Avant Garde" w:hAnsi="ITC Avant Garde"/>
          <w:b/>
          <w:i/>
          <w:sz w:val="16"/>
          <w:szCs w:val="16"/>
        </w:rPr>
        <w:t>Opinión respecto a la solicitud</w:t>
      </w:r>
    </w:p>
    <w:p w14:paraId="7BBAA705" w14:textId="77777777" w:rsidR="00965DCC" w:rsidRPr="00525DB6" w:rsidRDefault="00965DCC" w:rsidP="00965DCC">
      <w:pPr>
        <w:ind w:left="284" w:right="528"/>
        <w:jc w:val="both"/>
        <w:rPr>
          <w:rFonts w:ascii="ITC Avant Garde" w:hAnsi="ITC Avant Garde"/>
          <w:i/>
          <w:sz w:val="16"/>
          <w:szCs w:val="16"/>
        </w:rPr>
      </w:pPr>
    </w:p>
    <w:p w14:paraId="42A65A63" w14:textId="77777777" w:rsidR="00965DCC" w:rsidRPr="00525DB6" w:rsidRDefault="00965DCC" w:rsidP="00965DCC">
      <w:pPr>
        <w:ind w:left="284" w:right="528"/>
        <w:jc w:val="both"/>
        <w:rPr>
          <w:rFonts w:ascii="ITC Avant Garde" w:hAnsi="ITC Avant Garde"/>
          <w:i/>
          <w:sz w:val="16"/>
          <w:szCs w:val="16"/>
        </w:rPr>
      </w:pPr>
      <w:r w:rsidRPr="00525DB6">
        <w:rPr>
          <w:rFonts w:ascii="ITC Avant Garde" w:hAnsi="ITC Avant Garde"/>
          <w:i/>
          <w:sz w:val="16"/>
          <w:szCs w:val="16"/>
        </w:rPr>
        <w:t>Con base en lo expuesto en las secciones anteriores, en opinión de esta Dirección General las solicitudes de prórroga resultan procedentes desde el punto de vista regulatorio y de planificación del espectro […].”</w:t>
      </w:r>
    </w:p>
    <w:p w14:paraId="02E64D47" w14:textId="77777777" w:rsidR="00965DCC" w:rsidRPr="00525DB6" w:rsidRDefault="00965DCC" w:rsidP="00965DCC">
      <w:pPr>
        <w:ind w:left="284"/>
        <w:jc w:val="both"/>
        <w:rPr>
          <w:rFonts w:ascii="ITC Avant Garde" w:hAnsi="ITC Avant Garde"/>
          <w:i/>
          <w:sz w:val="16"/>
          <w:szCs w:val="16"/>
        </w:rPr>
      </w:pPr>
    </w:p>
    <w:p w14:paraId="4E0EA212" w14:textId="4BF717B4" w:rsidR="007D38A2" w:rsidRPr="00525DB6" w:rsidRDefault="00965DCC" w:rsidP="00462A79">
      <w:pPr>
        <w:jc w:val="both"/>
        <w:rPr>
          <w:rFonts w:ascii="ITC Avant Garde" w:hAnsi="ITC Avant Garde"/>
          <w:bCs/>
          <w:color w:val="000000"/>
          <w:sz w:val="22"/>
          <w:szCs w:val="22"/>
          <w:lang w:eastAsia="es-MX"/>
        </w:rPr>
      </w:pPr>
      <w:r w:rsidRPr="00525DB6">
        <w:rPr>
          <w:rFonts w:ascii="ITC Avant Garde" w:hAnsi="ITC Avant Garde"/>
          <w:sz w:val="22"/>
          <w:szCs w:val="22"/>
        </w:rPr>
        <w:t xml:space="preserve">De igual forma, la citada Dirección General acompañó a su opinión la </w:t>
      </w:r>
      <w:r w:rsidR="004527C9" w:rsidRPr="00525DB6">
        <w:rPr>
          <w:rFonts w:ascii="ITC Avant Garde" w:hAnsi="ITC Avant Garde"/>
          <w:sz w:val="22"/>
          <w:szCs w:val="22"/>
        </w:rPr>
        <w:t xml:space="preserve">propuesta de asignación de </w:t>
      </w:r>
      <w:r w:rsidRPr="00525DB6">
        <w:rPr>
          <w:rFonts w:ascii="ITC Avant Garde" w:hAnsi="ITC Avant Garde"/>
          <w:sz w:val="22"/>
          <w:szCs w:val="22"/>
        </w:rPr>
        <w:t>cobertura</w:t>
      </w:r>
      <w:r w:rsidR="004527C9" w:rsidRPr="00525DB6">
        <w:rPr>
          <w:rFonts w:ascii="ITC Avant Garde" w:hAnsi="ITC Avant Garde"/>
          <w:sz w:val="22"/>
          <w:szCs w:val="22"/>
        </w:rPr>
        <w:t xml:space="preserve"> por municipio y sus respectivos grupos de frecuencia en la banda de 400 MHz para </w:t>
      </w:r>
      <w:proofErr w:type="spellStart"/>
      <w:r w:rsidR="004527C9" w:rsidRPr="00525DB6">
        <w:rPr>
          <w:rFonts w:ascii="ITC Avant Garde" w:hAnsi="ITC Avant Garde"/>
          <w:sz w:val="22"/>
          <w:szCs w:val="22"/>
        </w:rPr>
        <w:t>Troncatel</w:t>
      </w:r>
      <w:proofErr w:type="spellEnd"/>
      <w:r w:rsidR="004527C9" w:rsidRPr="00525DB6">
        <w:rPr>
          <w:rFonts w:ascii="ITC Avant Garde" w:hAnsi="ITC Avant Garde"/>
          <w:sz w:val="22"/>
          <w:szCs w:val="22"/>
        </w:rPr>
        <w:t>, S.A de C.V.</w:t>
      </w:r>
      <w:r w:rsidRPr="00525DB6">
        <w:rPr>
          <w:rFonts w:ascii="ITC Avant Garde" w:hAnsi="ITC Avant Garde"/>
          <w:sz w:val="22"/>
          <w:szCs w:val="22"/>
        </w:rPr>
        <w:t xml:space="preserve">, misma que se transcribe a continuación: </w:t>
      </w:r>
    </w:p>
    <w:p w14:paraId="53833A72" w14:textId="77777777" w:rsidR="002B0864" w:rsidRPr="00525DB6" w:rsidRDefault="002B0864" w:rsidP="007D38A2">
      <w:pPr>
        <w:ind w:right="99"/>
        <w:jc w:val="both"/>
        <w:rPr>
          <w:rFonts w:ascii="ITC Avant Garde" w:hAnsi="ITC Avant Garde"/>
          <w:bCs/>
          <w:color w:val="000000"/>
          <w:sz w:val="22"/>
          <w:szCs w:val="22"/>
          <w:lang w:val="es-ES" w:eastAsia="es-MX"/>
        </w:rPr>
      </w:pPr>
    </w:p>
    <w:p w14:paraId="226C6C73" w14:textId="77777777" w:rsidR="007D38A2" w:rsidRPr="00525DB6" w:rsidRDefault="007D38A2" w:rsidP="007D38A2">
      <w:pPr>
        <w:jc w:val="center"/>
        <w:rPr>
          <w:rFonts w:ascii="ITC Avant Garde" w:eastAsia="Calibri" w:hAnsi="ITC Avant Garde"/>
          <w:b/>
          <w:bCs/>
          <w:i/>
          <w:color w:val="000000"/>
          <w:sz w:val="16"/>
          <w:szCs w:val="16"/>
          <w:lang w:val="es-ES" w:eastAsia="es-MX"/>
        </w:rPr>
      </w:pPr>
      <w:r w:rsidRPr="00525DB6">
        <w:rPr>
          <w:rFonts w:ascii="ITC Avant Garde" w:hAnsi="ITC Avant Garde"/>
          <w:b/>
          <w:bCs/>
          <w:color w:val="000000"/>
          <w:sz w:val="22"/>
          <w:szCs w:val="22"/>
          <w:lang w:val="es-ES" w:eastAsia="es-MX"/>
        </w:rPr>
        <w:t>Tabla 1</w:t>
      </w:r>
    </w:p>
    <w:p w14:paraId="34893E70" w14:textId="77777777" w:rsidR="007D38A2" w:rsidRPr="00525DB6" w:rsidRDefault="007D38A2" w:rsidP="007D38A2">
      <w:pPr>
        <w:jc w:val="both"/>
        <w:rPr>
          <w:rFonts w:ascii="ITC Avant Garde" w:hAnsi="ITC Avant Garde"/>
          <w:sz w:val="22"/>
          <w:szCs w:val="22"/>
        </w:rPr>
      </w:pPr>
      <w:r w:rsidRPr="00525DB6">
        <w:rPr>
          <w:rFonts w:ascii="ITC Avant Garde" w:hAnsi="ITC Avant Garde"/>
          <w:sz w:val="22"/>
          <w:szCs w:val="22"/>
        </w:rPr>
        <w:t>Asignación de cobertura por municipio y sus respectivos grupos de frecuencia en la banda de 400 MHz</w:t>
      </w:r>
    </w:p>
    <w:p w14:paraId="0D62E7C6" w14:textId="77777777" w:rsidR="002B0864" w:rsidRPr="00525DB6" w:rsidRDefault="002B0864" w:rsidP="002B0864">
      <w:pPr>
        <w:jc w:val="both"/>
        <w:rPr>
          <w:rFonts w:ascii="ITC Avant Garde" w:hAnsi="ITC Avant Garde"/>
          <w:sz w:val="22"/>
          <w:szCs w:val="22"/>
        </w:rPr>
      </w:pPr>
    </w:p>
    <w:tbl>
      <w:tblPr>
        <w:tblStyle w:val="Tablaconcuadrcula"/>
        <w:tblW w:w="5000" w:type="pct"/>
        <w:jc w:val="center"/>
        <w:tblLook w:val="04A0" w:firstRow="1" w:lastRow="0" w:firstColumn="1" w:lastColumn="0" w:noHBand="0" w:noVBand="1"/>
        <w:tblCaption w:val="Asignación de cobertura por municipio y sus respctivos grupos de frecuencia en la banda de 400 MHz."/>
        <w:tblDescription w:val="Concesionario TRONCATEL, S.A. DE C.V."/>
      </w:tblPr>
      <w:tblGrid>
        <w:gridCol w:w="2698"/>
        <w:gridCol w:w="1349"/>
        <w:gridCol w:w="3852"/>
        <w:gridCol w:w="2097"/>
      </w:tblGrid>
      <w:tr w:rsidR="00850B5A" w:rsidRPr="00525DB6" w14:paraId="76EA67F7" w14:textId="77777777" w:rsidTr="00850B5A">
        <w:trPr>
          <w:trHeight w:val="463"/>
          <w:tblHeader/>
          <w:jc w:val="center"/>
        </w:trPr>
        <w:tc>
          <w:tcPr>
            <w:tcW w:w="1349" w:type="pct"/>
            <w:tcBorders>
              <w:top w:val="double" w:sz="4" w:space="0" w:color="auto"/>
              <w:left w:val="double" w:sz="4" w:space="0" w:color="auto"/>
              <w:right w:val="double" w:sz="4" w:space="0" w:color="auto"/>
            </w:tcBorders>
            <w:shd w:val="clear" w:color="auto" w:fill="D9D9D9" w:themeFill="background1" w:themeFillShade="D9"/>
            <w:vAlign w:val="center"/>
          </w:tcPr>
          <w:p w14:paraId="266250C7" w14:textId="77777777" w:rsidR="00850B5A" w:rsidRPr="00525DB6" w:rsidRDefault="00850B5A" w:rsidP="00850B5A">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lastRenderedPageBreak/>
              <w:t>Concesionario</w:t>
            </w:r>
          </w:p>
        </w:tc>
        <w:tc>
          <w:tcPr>
            <w:tcW w:w="675"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3B100834" w14:textId="77777777" w:rsidR="00850B5A" w:rsidRPr="00525DB6" w:rsidRDefault="00850B5A" w:rsidP="00850B5A">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Cobertura</w:t>
            </w:r>
          </w:p>
        </w:tc>
        <w:tc>
          <w:tcPr>
            <w:tcW w:w="1927"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4C19E76" w14:textId="46572EAD" w:rsidR="00850B5A" w:rsidRPr="00525DB6" w:rsidRDefault="00850B5A" w:rsidP="00850B5A">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Cobertura</w:t>
            </w:r>
          </w:p>
        </w:tc>
        <w:tc>
          <w:tcPr>
            <w:tcW w:w="1050" w:type="pct"/>
            <w:tcBorders>
              <w:top w:val="double" w:sz="4" w:space="0" w:color="auto"/>
              <w:left w:val="double" w:sz="4" w:space="0" w:color="auto"/>
              <w:right w:val="double" w:sz="4" w:space="0" w:color="auto"/>
            </w:tcBorders>
            <w:shd w:val="clear" w:color="auto" w:fill="D9D9D9" w:themeFill="background1" w:themeFillShade="D9"/>
            <w:vAlign w:val="center"/>
          </w:tcPr>
          <w:p w14:paraId="32E8E93D" w14:textId="77777777" w:rsidR="00850B5A" w:rsidRPr="00525DB6" w:rsidRDefault="00850B5A" w:rsidP="00850B5A">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Grupos de frecuencia asignados en la banda de 400 MHz</w:t>
            </w:r>
          </w:p>
        </w:tc>
      </w:tr>
      <w:tr w:rsidR="00DA5CA5" w:rsidRPr="00525DB6" w14:paraId="7801EC61" w14:textId="77777777" w:rsidTr="00850B5A">
        <w:trPr>
          <w:trHeight w:val="514"/>
          <w:jc w:val="center"/>
        </w:trPr>
        <w:tc>
          <w:tcPr>
            <w:tcW w:w="1349" w:type="pct"/>
            <w:tcBorders>
              <w:left w:val="double" w:sz="4" w:space="0" w:color="auto"/>
              <w:bottom w:val="double" w:sz="4" w:space="0" w:color="auto"/>
              <w:right w:val="double" w:sz="4" w:space="0" w:color="auto"/>
            </w:tcBorders>
            <w:shd w:val="clear" w:color="auto" w:fill="D9D9D9" w:themeFill="background1" w:themeFillShade="D9"/>
            <w:vAlign w:val="center"/>
          </w:tcPr>
          <w:p w14:paraId="19A36E56" w14:textId="6CF6FB3E" w:rsidR="00DA5CA5" w:rsidRPr="00525DB6" w:rsidRDefault="00DA5CA5" w:rsidP="00DA5CA5">
            <w:pPr>
              <w:jc w:val="center"/>
              <w:rPr>
                <w:rFonts w:ascii="ITC Avant Garde" w:eastAsia="Calibri" w:hAnsi="ITC Avant Garde"/>
                <w:b/>
                <w:bCs/>
                <w:i/>
                <w:color w:val="000000"/>
                <w:sz w:val="18"/>
                <w:szCs w:val="18"/>
                <w:lang w:val="es-ES" w:eastAsia="es-MX"/>
              </w:rPr>
            </w:pPr>
            <w:r w:rsidRPr="00525DB6">
              <w:rPr>
                <w:rFonts w:ascii="ITC Avant Garde" w:eastAsia="Calibri" w:hAnsi="ITC Avant Garde"/>
                <w:b/>
                <w:bCs/>
                <w:color w:val="000000"/>
                <w:sz w:val="18"/>
                <w:szCs w:val="18"/>
                <w:lang w:val="es-ES" w:eastAsia="es-MX"/>
              </w:rPr>
              <w:t>Concesionario</w:t>
            </w:r>
          </w:p>
        </w:tc>
        <w:tc>
          <w:tcPr>
            <w:tcW w:w="675"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DCC999B" w14:textId="77777777" w:rsidR="00DA5CA5" w:rsidRPr="00525DB6" w:rsidRDefault="00DA5CA5" w:rsidP="00DA5CA5">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Estado</w:t>
            </w:r>
          </w:p>
        </w:tc>
        <w:tc>
          <w:tcPr>
            <w:tcW w:w="1927"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1D2DAA46" w14:textId="77777777" w:rsidR="00DA5CA5" w:rsidRPr="00525DB6" w:rsidRDefault="00DA5CA5" w:rsidP="00DA5CA5">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Municipios</w:t>
            </w:r>
          </w:p>
        </w:tc>
        <w:tc>
          <w:tcPr>
            <w:tcW w:w="1050" w:type="pct"/>
            <w:tcBorders>
              <w:left w:val="double" w:sz="4" w:space="0" w:color="auto"/>
              <w:bottom w:val="double" w:sz="4" w:space="0" w:color="auto"/>
              <w:right w:val="double" w:sz="4" w:space="0" w:color="auto"/>
            </w:tcBorders>
            <w:shd w:val="clear" w:color="auto" w:fill="D9D9D9" w:themeFill="background1" w:themeFillShade="D9"/>
            <w:vAlign w:val="center"/>
          </w:tcPr>
          <w:p w14:paraId="7BEA0689" w14:textId="051905D4" w:rsidR="00DA5CA5" w:rsidRPr="00525DB6" w:rsidRDefault="00DA5CA5" w:rsidP="00DA5CA5">
            <w:pPr>
              <w:jc w:val="both"/>
              <w:rPr>
                <w:rFonts w:ascii="ITC Avant Garde" w:eastAsia="Calibri" w:hAnsi="ITC Avant Garde"/>
                <w:bCs/>
                <w:i/>
                <w:color w:val="000000"/>
                <w:sz w:val="18"/>
                <w:szCs w:val="18"/>
                <w:lang w:val="es-ES" w:eastAsia="es-MX"/>
              </w:rPr>
            </w:pPr>
            <w:r w:rsidRPr="00525DB6">
              <w:rPr>
                <w:rFonts w:ascii="ITC Avant Garde" w:eastAsia="Calibri" w:hAnsi="ITC Avant Garde"/>
                <w:b/>
                <w:bCs/>
                <w:color w:val="000000"/>
                <w:sz w:val="18"/>
                <w:szCs w:val="18"/>
                <w:lang w:val="es-ES" w:eastAsia="es-MX"/>
              </w:rPr>
              <w:t>Grupos de frecuencia asignados en la banda de 400 MHz</w:t>
            </w:r>
          </w:p>
        </w:tc>
      </w:tr>
      <w:tr w:rsidR="00850B5A" w:rsidRPr="00525DB6" w14:paraId="0479257B" w14:textId="77777777" w:rsidTr="00850B5A">
        <w:trPr>
          <w:trHeight w:val="1374"/>
          <w:jc w:val="center"/>
        </w:trPr>
        <w:tc>
          <w:tcPr>
            <w:tcW w:w="1349" w:type="pct"/>
            <w:tcBorders>
              <w:top w:val="double" w:sz="4" w:space="0" w:color="auto"/>
              <w:left w:val="double" w:sz="4" w:space="0" w:color="auto"/>
              <w:right w:val="double" w:sz="4" w:space="0" w:color="auto"/>
            </w:tcBorders>
            <w:vAlign w:val="center"/>
          </w:tcPr>
          <w:p w14:paraId="7CD64F41" w14:textId="7118F797" w:rsidR="00850B5A" w:rsidRPr="00525DB6" w:rsidRDefault="00850B5A" w:rsidP="001D4B69">
            <w:pPr>
              <w:jc w:val="both"/>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TRONCATEL, S.A. DE C.V.</w:t>
            </w:r>
          </w:p>
        </w:tc>
        <w:tc>
          <w:tcPr>
            <w:tcW w:w="675" w:type="pct"/>
            <w:tcBorders>
              <w:top w:val="double" w:sz="4" w:space="0" w:color="auto"/>
              <w:left w:val="double" w:sz="4" w:space="0" w:color="auto"/>
              <w:bottom w:val="double" w:sz="4" w:space="0" w:color="auto"/>
              <w:right w:val="double" w:sz="4" w:space="0" w:color="auto"/>
            </w:tcBorders>
            <w:vAlign w:val="center"/>
          </w:tcPr>
          <w:p w14:paraId="44AB60EE" w14:textId="0772475C" w:rsidR="00850B5A" w:rsidRPr="00525DB6" w:rsidRDefault="00850B5A" w:rsidP="001D4B69">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Baja California</w:t>
            </w:r>
          </w:p>
        </w:tc>
        <w:tc>
          <w:tcPr>
            <w:tcW w:w="1927" w:type="pct"/>
            <w:tcBorders>
              <w:top w:val="double" w:sz="4" w:space="0" w:color="auto"/>
              <w:left w:val="double" w:sz="4" w:space="0" w:color="auto"/>
              <w:bottom w:val="double" w:sz="4" w:space="0" w:color="auto"/>
              <w:right w:val="double" w:sz="4" w:space="0" w:color="auto"/>
            </w:tcBorders>
            <w:vAlign w:val="center"/>
          </w:tcPr>
          <w:p w14:paraId="7DB26F16" w14:textId="2E88AEFB" w:rsidR="00850B5A" w:rsidRPr="00525DB6" w:rsidRDefault="00850B5A">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Ensenada, Playas de Rosarito, Tijuana, Tecate</w:t>
            </w:r>
            <w:r>
              <w:rPr>
                <w:rFonts w:ascii="ITC Avant Garde" w:hAnsi="ITC Avant Garde"/>
                <w:sz w:val="18"/>
                <w:szCs w:val="18"/>
              </w:rPr>
              <w:t xml:space="preserve"> y</w:t>
            </w:r>
            <w:r w:rsidRPr="00525DB6">
              <w:rPr>
                <w:rFonts w:ascii="ITC Avant Garde" w:hAnsi="ITC Avant Garde"/>
                <w:sz w:val="18"/>
                <w:szCs w:val="18"/>
              </w:rPr>
              <w:t xml:space="preserve"> Mexicali.</w:t>
            </w:r>
          </w:p>
        </w:tc>
        <w:tc>
          <w:tcPr>
            <w:tcW w:w="1050" w:type="pct"/>
            <w:tcBorders>
              <w:top w:val="double" w:sz="4" w:space="0" w:color="auto"/>
              <w:left w:val="double" w:sz="4" w:space="0" w:color="auto"/>
              <w:right w:val="double" w:sz="4" w:space="0" w:color="auto"/>
            </w:tcBorders>
            <w:vAlign w:val="center"/>
          </w:tcPr>
          <w:p w14:paraId="415C9D06" w14:textId="56BA22E2" w:rsidR="00850B5A" w:rsidRPr="00525DB6" w:rsidRDefault="00850B5A" w:rsidP="001D4B69">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9, 10, 11 y 12</w:t>
            </w:r>
          </w:p>
          <w:p w14:paraId="1900B6BD" w14:textId="77777777" w:rsidR="00850B5A" w:rsidRPr="00525DB6" w:rsidRDefault="00850B5A" w:rsidP="001D4B69">
            <w:pPr>
              <w:jc w:val="both"/>
              <w:rPr>
                <w:rFonts w:ascii="ITC Avant Garde" w:eastAsia="Calibri" w:hAnsi="ITC Avant Garde"/>
                <w:bCs/>
                <w:color w:val="000000"/>
                <w:sz w:val="18"/>
                <w:szCs w:val="18"/>
                <w:lang w:val="es-ES" w:eastAsia="es-MX"/>
              </w:rPr>
            </w:pPr>
          </w:p>
        </w:tc>
      </w:tr>
      <w:tr w:rsidR="00850B5A" w:rsidRPr="00525DB6" w14:paraId="165A41C6" w14:textId="77777777" w:rsidTr="00850B5A">
        <w:trPr>
          <w:trHeight w:val="501"/>
          <w:jc w:val="center"/>
        </w:trPr>
        <w:tc>
          <w:tcPr>
            <w:tcW w:w="1349" w:type="pct"/>
            <w:tcBorders>
              <w:left w:val="double" w:sz="4" w:space="0" w:color="auto"/>
              <w:bottom w:val="double" w:sz="4" w:space="0" w:color="auto"/>
              <w:right w:val="double" w:sz="4" w:space="0" w:color="auto"/>
            </w:tcBorders>
            <w:vAlign w:val="center"/>
          </w:tcPr>
          <w:p w14:paraId="369F9F39" w14:textId="11974E87" w:rsidR="00850B5A" w:rsidRPr="00525DB6" w:rsidRDefault="00850B5A" w:rsidP="00850B5A">
            <w:pPr>
              <w:jc w:val="both"/>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TRONCATEL, S.A. DE C.V.</w:t>
            </w:r>
          </w:p>
        </w:tc>
        <w:tc>
          <w:tcPr>
            <w:tcW w:w="675" w:type="pct"/>
            <w:tcBorders>
              <w:top w:val="double" w:sz="4" w:space="0" w:color="auto"/>
              <w:left w:val="double" w:sz="4" w:space="0" w:color="auto"/>
              <w:bottom w:val="double" w:sz="4" w:space="0" w:color="auto"/>
              <w:right w:val="double" w:sz="4" w:space="0" w:color="auto"/>
            </w:tcBorders>
            <w:vAlign w:val="center"/>
          </w:tcPr>
          <w:p w14:paraId="24AC28BF" w14:textId="69A20560" w:rsidR="00850B5A" w:rsidRPr="00525DB6" w:rsidRDefault="00850B5A" w:rsidP="00850B5A">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Sonora</w:t>
            </w:r>
          </w:p>
        </w:tc>
        <w:tc>
          <w:tcPr>
            <w:tcW w:w="1927" w:type="pct"/>
            <w:tcBorders>
              <w:top w:val="double" w:sz="4" w:space="0" w:color="auto"/>
              <w:left w:val="double" w:sz="4" w:space="0" w:color="auto"/>
              <w:bottom w:val="double" w:sz="4" w:space="0" w:color="auto"/>
              <w:right w:val="double" w:sz="4" w:space="0" w:color="auto"/>
            </w:tcBorders>
            <w:vAlign w:val="center"/>
          </w:tcPr>
          <w:p w14:paraId="7BA3F575" w14:textId="34BB7005" w:rsidR="00850B5A" w:rsidRPr="00525DB6" w:rsidRDefault="00850B5A" w:rsidP="00850B5A">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San Luis Río Colorado.</w:t>
            </w:r>
          </w:p>
        </w:tc>
        <w:tc>
          <w:tcPr>
            <w:tcW w:w="1050" w:type="pct"/>
            <w:tcBorders>
              <w:left w:val="double" w:sz="4" w:space="0" w:color="auto"/>
              <w:bottom w:val="double" w:sz="4" w:space="0" w:color="auto"/>
              <w:right w:val="double" w:sz="4" w:space="0" w:color="auto"/>
            </w:tcBorders>
            <w:vAlign w:val="center"/>
          </w:tcPr>
          <w:p w14:paraId="3BCB6AAA" w14:textId="77777777" w:rsidR="00850B5A" w:rsidRPr="00525DB6" w:rsidRDefault="00850B5A" w:rsidP="00850B5A">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9, 10, 11 y 12</w:t>
            </w:r>
          </w:p>
          <w:p w14:paraId="5C0C940C" w14:textId="77777777" w:rsidR="00850B5A" w:rsidRPr="00525DB6" w:rsidRDefault="00850B5A" w:rsidP="00850B5A">
            <w:pPr>
              <w:jc w:val="both"/>
              <w:rPr>
                <w:rFonts w:ascii="ITC Avant Garde" w:eastAsia="Calibri" w:hAnsi="ITC Avant Garde"/>
                <w:bCs/>
                <w:color w:val="000000"/>
                <w:sz w:val="18"/>
                <w:szCs w:val="18"/>
                <w:lang w:val="es-ES" w:eastAsia="es-MX"/>
              </w:rPr>
            </w:pPr>
          </w:p>
        </w:tc>
      </w:tr>
    </w:tbl>
    <w:p w14:paraId="6CAFD230" w14:textId="77777777" w:rsidR="007D38A2" w:rsidRPr="00525DB6" w:rsidRDefault="007D38A2" w:rsidP="007A2645">
      <w:pPr>
        <w:tabs>
          <w:tab w:val="num" w:pos="540"/>
        </w:tabs>
        <w:jc w:val="both"/>
        <w:rPr>
          <w:rFonts w:ascii="ITC Avant Garde" w:eastAsia="Calibri" w:hAnsi="ITC Avant Garde"/>
          <w:bCs/>
          <w:color w:val="000000"/>
          <w:sz w:val="22"/>
          <w:szCs w:val="22"/>
          <w:lang w:eastAsia="es-MX"/>
        </w:rPr>
      </w:pPr>
    </w:p>
    <w:p w14:paraId="46D3053E" w14:textId="325A5604" w:rsidR="00D64290" w:rsidRPr="00525DB6" w:rsidRDefault="00D64290" w:rsidP="00D64290">
      <w:pPr>
        <w:jc w:val="both"/>
        <w:rPr>
          <w:rFonts w:ascii="ITC Avant Garde" w:hAnsi="ITC Avant Garde"/>
          <w:sz w:val="22"/>
          <w:szCs w:val="22"/>
        </w:rPr>
      </w:pPr>
      <w:r w:rsidRPr="00525DB6">
        <w:rPr>
          <w:rFonts w:ascii="ITC Avant Garde" w:hAnsi="ITC Avant Garde"/>
          <w:sz w:val="22"/>
          <w:szCs w:val="22"/>
        </w:rPr>
        <w:t xml:space="preserve">Por lo que respecta a la asignación de los pares de frecuencias, la Dirección General de Ingeniería del Espectro y Estudios Técnicos, remitió dos canalizaciones de la banda con anchos de banda por canal de 25 kHz y 12.5 kHz, recomendando que se adoptara esta última </w:t>
      </w:r>
      <w:r w:rsidR="00DC32DC" w:rsidRPr="00525DB6">
        <w:rPr>
          <w:rFonts w:ascii="ITC Avant Garde" w:hAnsi="ITC Avant Garde"/>
          <w:sz w:val="22"/>
          <w:szCs w:val="22"/>
        </w:rPr>
        <w:t>pues propicia un</w:t>
      </w:r>
      <w:r w:rsidRPr="00525DB6">
        <w:rPr>
          <w:rFonts w:ascii="ITC Avant Garde" w:hAnsi="ITC Avant Garde"/>
          <w:sz w:val="22"/>
          <w:szCs w:val="22"/>
        </w:rPr>
        <w:t xml:space="preserve"> uso </w:t>
      </w:r>
      <w:r w:rsidR="00DC32DC" w:rsidRPr="00525DB6">
        <w:rPr>
          <w:rFonts w:ascii="ITC Avant Garde" w:hAnsi="ITC Avant Garde"/>
          <w:sz w:val="22"/>
          <w:szCs w:val="22"/>
        </w:rPr>
        <w:t xml:space="preserve">más </w:t>
      </w:r>
      <w:r w:rsidRPr="00525DB6">
        <w:rPr>
          <w:rFonts w:ascii="ITC Avant Garde" w:hAnsi="ITC Avant Garde"/>
          <w:sz w:val="22"/>
          <w:szCs w:val="22"/>
        </w:rPr>
        <w:t xml:space="preserve">eficiente del espectro. Asimismo, las canalizaciones propuestas permiten la flexibilidad de operar en dos canales contiguos de 12.5 kHz, lo cual es equivalente a un canal de 25 kHz, situación que respeta la canalización de 25 kHz con que actualmente operan otros concesionarios comerciales y públicos en la misma banda de frecuencias. </w:t>
      </w:r>
    </w:p>
    <w:p w14:paraId="287CF537" w14:textId="77777777" w:rsidR="00D64290" w:rsidRPr="00525DB6" w:rsidRDefault="00D64290" w:rsidP="00D64290">
      <w:pPr>
        <w:jc w:val="both"/>
        <w:rPr>
          <w:rFonts w:ascii="ITC Avant Garde" w:hAnsi="ITC Avant Garde"/>
          <w:sz w:val="22"/>
          <w:szCs w:val="22"/>
        </w:rPr>
      </w:pPr>
    </w:p>
    <w:p w14:paraId="5CD802B7" w14:textId="77777777" w:rsidR="00D64290" w:rsidRPr="00525DB6" w:rsidRDefault="00D64290" w:rsidP="00D64290">
      <w:pPr>
        <w:jc w:val="both"/>
        <w:rPr>
          <w:rFonts w:ascii="ITC Avant Garde" w:hAnsi="ITC Avant Garde"/>
          <w:sz w:val="22"/>
          <w:szCs w:val="22"/>
        </w:rPr>
      </w:pPr>
      <w:r w:rsidRPr="00525DB6">
        <w:rPr>
          <w:rFonts w:ascii="ITC Avant Garde" w:hAnsi="ITC Avant Garde"/>
          <w:sz w:val="22"/>
          <w:szCs w:val="22"/>
        </w:rPr>
        <w:t>Derivado de lo anterior, y con base en el principio de neutralidad tecnológica, este Pleno considera que las frecuencias que se asignen como consecuencia de la Solicitud de Prórroga deberán contemplar canales con un ancho de banda de 12.5 kHz o bien de 25 kHz, conforme a las canalizaciones definidas en las siguientes tablas:</w:t>
      </w:r>
    </w:p>
    <w:p w14:paraId="6BCD525B" w14:textId="77777777" w:rsidR="00F8090D" w:rsidRPr="00525DB6" w:rsidRDefault="00F8090D" w:rsidP="007A2645">
      <w:pPr>
        <w:tabs>
          <w:tab w:val="num" w:pos="540"/>
        </w:tabs>
        <w:jc w:val="both"/>
        <w:rPr>
          <w:rFonts w:ascii="ITC Avant Garde" w:eastAsia="Calibri" w:hAnsi="ITC Avant Garde"/>
          <w:bCs/>
          <w:color w:val="000000"/>
          <w:sz w:val="22"/>
          <w:szCs w:val="22"/>
          <w:lang w:eastAsia="es-MX"/>
        </w:rPr>
      </w:pPr>
    </w:p>
    <w:p w14:paraId="2DE26D1C" w14:textId="65ED081C" w:rsidR="00F8090D" w:rsidRPr="00525DB6" w:rsidRDefault="00F8090D" w:rsidP="00F8090D">
      <w:pPr>
        <w:ind w:left="360"/>
        <w:jc w:val="center"/>
        <w:rPr>
          <w:rFonts w:ascii="ITC Avant Garde" w:hAnsi="ITC Avant Garde"/>
          <w:b/>
          <w:sz w:val="22"/>
          <w:szCs w:val="22"/>
        </w:rPr>
      </w:pPr>
      <w:r w:rsidRPr="00525DB6">
        <w:rPr>
          <w:rFonts w:ascii="ITC Avant Garde" w:hAnsi="ITC Avant Garde"/>
          <w:b/>
          <w:sz w:val="22"/>
          <w:szCs w:val="22"/>
        </w:rPr>
        <w:t>Tabla 2</w:t>
      </w:r>
      <w:r w:rsidR="00D64290" w:rsidRPr="00525DB6">
        <w:rPr>
          <w:rFonts w:ascii="ITC Avant Garde" w:hAnsi="ITC Avant Garde"/>
          <w:b/>
          <w:sz w:val="22"/>
          <w:szCs w:val="22"/>
        </w:rPr>
        <w:t>.1</w:t>
      </w:r>
    </w:p>
    <w:p w14:paraId="08074029" w14:textId="77777777" w:rsidR="00F8090D" w:rsidRPr="00525DB6" w:rsidRDefault="00F8090D" w:rsidP="00F8090D">
      <w:pPr>
        <w:jc w:val="both"/>
        <w:rPr>
          <w:rFonts w:ascii="ITC Avant Garde" w:hAnsi="ITC Avant Garde"/>
          <w:sz w:val="22"/>
          <w:szCs w:val="22"/>
        </w:rPr>
      </w:pPr>
    </w:p>
    <w:p w14:paraId="62809413" w14:textId="77777777" w:rsidR="00F8090D" w:rsidRPr="00525DB6" w:rsidRDefault="00F8090D" w:rsidP="00F8090D">
      <w:pPr>
        <w:jc w:val="both"/>
        <w:rPr>
          <w:rFonts w:ascii="ITC Avant Garde" w:hAnsi="ITC Avant Garde"/>
          <w:sz w:val="22"/>
          <w:szCs w:val="22"/>
        </w:rPr>
      </w:pPr>
      <w:r w:rsidRPr="00525DB6">
        <w:rPr>
          <w:rFonts w:ascii="ITC Avant Garde" w:hAnsi="ITC Avant Garde"/>
          <w:sz w:val="22"/>
          <w:szCs w:val="22"/>
        </w:rPr>
        <w:t xml:space="preserve">Grupos de Frecuencia en la banda de 400 MHz para una </w:t>
      </w:r>
      <w:r w:rsidRPr="00525DB6">
        <w:rPr>
          <w:rFonts w:ascii="ITC Avant Garde" w:hAnsi="ITC Avant Garde"/>
          <w:b/>
          <w:sz w:val="22"/>
          <w:szCs w:val="22"/>
          <w:u w:val="single"/>
        </w:rPr>
        <w:t>canalización de 12.5 kHz</w:t>
      </w:r>
      <w:r w:rsidRPr="00525DB6">
        <w:rPr>
          <w:rFonts w:ascii="ITC Avant Garde" w:hAnsi="ITC Avant Garde"/>
          <w:sz w:val="22"/>
          <w:szCs w:val="22"/>
        </w:rPr>
        <w:t xml:space="preserve"> (donde la frecuencia de </w:t>
      </w:r>
      <w:proofErr w:type="spellStart"/>
      <w:r w:rsidRPr="00525DB6">
        <w:rPr>
          <w:rFonts w:ascii="ITC Avant Garde" w:hAnsi="ITC Avant Garde"/>
          <w:sz w:val="22"/>
          <w:szCs w:val="22"/>
        </w:rPr>
        <w:t>Tx</w:t>
      </w:r>
      <w:proofErr w:type="spellEnd"/>
      <w:r w:rsidRPr="00525DB6">
        <w:rPr>
          <w:rFonts w:ascii="ITC Avant Garde" w:hAnsi="ITC Avant Garde"/>
          <w:sz w:val="22"/>
          <w:szCs w:val="22"/>
        </w:rPr>
        <w:t xml:space="preserve"> corresponde a la estación transmisora).</w:t>
      </w:r>
    </w:p>
    <w:p w14:paraId="12994969" w14:textId="77777777" w:rsidR="00757B7C" w:rsidRPr="00525DB6" w:rsidRDefault="00757B7C" w:rsidP="00F8090D">
      <w:pPr>
        <w:jc w:val="both"/>
        <w:rPr>
          <w:rFonts w:ascii="ITC Avant Garde" w:hAnsi="ITC Avant Garde"/>
          <w:sz w:val="22"/>
          <w:szCs w:val="22"/>
        </w:rPr>
      </w:pPr>
    </w:p>
    <w:tbl>
      <w:tblPr>
        <w:tblStyle w:val="Cuadrculadetablaclara"/>
        <w:tblW w:w="10800" w:type="dxa"/>
        <w:jc w:val="center"/>
        <w:tblLook w:val="04A0" w:firstRow="1" w:lastRow="0" w:firstColumn="1" w:lastColumn="0" w:noHBand="0" w:noVBand="1"/>
        <w:tblCaption w:val="Grupos de Frecuencia en la banda de 400 MHz para una canalización de 12.5 kHz"/>
        <w:tblDescription w:val="Donde la frecuencia de Tx corresponde a la estación transmisora."/>
      </w:tblPr>
      <w:tblGrid>
        <w:gridCol w:w="900"/>
        <w:gridCol w:w="900"/>
        <w:gridCol w:w="900"/>
        <w:gridCol w:w="900"/>
        <w:gridCol w:w="900"/>
        <w:gridCol w:w="900"/>
        <w:gridCol w:w="900"/>
        <w:gridCol w:w="900"/>
        <w:gridCol w:w="900"/>
        <w:gridCol w:w="900"/>
        <w:gridCol w:w="900"/>
        <w:gridCol w:w="900"/>
      </w:tblGrid>
      <w:tr w:rsidR="001E4494" w:rsidRPr="001E4494" w14:paraId="50C0D3D0" w14:textId="77777777" w:rsidTr="00FE3CB4">
        <w:trPr>
          <w:trHeight w:val="315"/>
          <w:tblHeader/>
          <w:jc w:val="center"/>
        </w:trPr>
        <w:tc>
          <w:tcPr>
            <w:tcW w:w="900" w:type="dxa"/>
            <w:shd w:val="clear" w:color="auto" w:fill="A6A6A6" w:themeFill="background1" w:themeFillShade="A6"/>
            <w:noWrap/>
            <w:vAlign w:val="center"/>
            <w:hideMark/>
          </w:tcPr>
          <w:p w14:paraId="2F5483E0"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9</w:t>
            </w:r>
          </w:p>
        </w:tc>
        <w:tc>
          <w:tcPr>
            <w:tcW w:w="900" w:type="dxa"/>
            <w:shd w:val="clear" w:color="auto" w:fill="A6A6A6" w:themeFill="background1" w:themeFillShade="A6"/>
            <w:noWrap/>
            <w:vAlign w:val="center"/>
            <w:hideMark/>
          </w:tcPr>
          <w:p w14:paraId="5853F553"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9</w:t>
            </w:r>
          </w:p>
        </w:tc>
        <w:tc>
          <w:tcPr>
            <w:tcW w:w="900" w:type="dxa"/>
            <w:shd w:val="clear" w:color="auto" w:fill="A6A6A6" w:themeFill="background1" w:themeFillShade="A6"/>
            <w:noWrap/>
            <w:vAlign w:val="center"/>
            <w:hideMark/>
          </w:tcPr>
          <w:p w14:paraId="27F75FE6"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9</w:t>
            </w:r>
          </w:p>
        </w:tc>
        <w:tc>
          <w:tcPr>
            <w:tcW w:w="900" w:type="dxa"/>
            <w:shd w:val="clear" w:color="auto" w:fill="A6A6A6" w:themeFill="background1" w:themeFillShade="A6"/>
            <w:noWrap/>
            <w:vAlign w:val="center"/>
            <w:hideMark/>
          </w:tcPr>
          <w:p w14:paraId="5826BFDD"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9</w:t>
            </w:r>
          </w:p>
        </w:tc>
        <w:tc>
          <w:tcPr>
            <w:tcW w:w="900" w:type="dxa"/>
            <w:shd w:val="clear" w:color="auto" w:fill="A6A6A6" w:themeFill="background1" w:themeFillShade="A6"/>
            <w:noWrap/>
            <w:vAlign w:val="center"/>
            <w:hideMark/>
          </w:tcPr>
          <w:p w14:paraId="619B5BCC"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9</w:t>
            </w:r>
          </w:p>
        </w:tc>
        <w:tc>
          <w:tcPr>
            <w:tcW w:w="900" w:type="dxa"/>
            <w:shd w:val="clear" w:color="auto" w:fill="A6A6A6" w:themeFill="background1" w:themeFillShade="A6"/>
            <w:noWrap/>
            <w:vAlign w:val="center"/>
            <w:hideMark/>
          </w:tcPr>
          <w:p w14:paraId="201D8B23"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9</w:t>
            </w:r>
          </w:p>
        </w:tc>
        <w:tc>
          <w:tcPr>
            <w:tcW w:w="900" w:type="dxa"/>
            <w:shd w:val="clear" w:color="auto" w:fill="A6A6A6" w:themeFill="background1" w:themeFillShade="A6"/>
            <w:noWrap/>
            <w:vAlign w:val="center"/>
            <w:hideMark/>
          </w:tcPr>
          <w:p w14:paraId="286F7204"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10</w:t>
            </w:r>
          </w:p>
        </w:tc>
        <w:tc>
          <w:tcPr>
            <w:tcW w:w="900" w:type="dxa"/>
            <w:shd w:val="clear" w:color="auto" w:fill="A6A6A6" w:themeFill="background1" w:themeFillShade="A6"/>
            <w:noWrap/>
            <w:vAlign w:val="center"/>
            <w:hideMark/>
          </w:tcPr>
          <w:p w14:paraId="5675D50D"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10</w:t>
            </w:r>
          </w:p>
        </w:tc>
        <w:tc>
          <w:tcPr>
            <w:tcW w:w="900" w:type="dxa"/>
            <w:shd w:val="clear" w:color="auto" w:fill="A6A6A6" w:themeFill="background1" w:themeFillShade="A6"/>
            <w:noWrap/>
            <w:vAlign w:val="center"/>
            <w:hideMark/>
          </w:tcPr>
          <w:p w14:paraId="017B2626"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10</w:t>
            </w:r>
          </w:p>
        </w:tc>
        <w:tc>
          <w:tcPr>
            <w:tcW w:w="900" w:type="dxa"/>
            <w:shd w:val="clear" w:color="auto" w:fill="A6A6A6" w:themeFill="background1" w:themeFillShade="A6"/>
            <w:noWrap/>
            <w:vAlign w:val="center"/>
            <w:hideMark/>
          </w:tcPr>
          <w:p w14:paraId="6C732BC9"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10</w:t>
            </w:r>
          </w:p>
        </w:tc>
        <w:tc>
          <w:tcPr>
            <w:tcW w:w="900" w:type="dxa"/>
            <w:shd w:val="clear" w:color="auto" w:fill="A6A6A6" w:themeFill="background1" w:themeFillShade="A6"/>
            <w:noWrap/>
            <w:vAlign w:val="center"/>
            <w:hideMark/>
          </w:tcPr>
          <w:p w14:paraId="1963AFC4"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10</w:t>
            </w:r>
          </w:p>
        </w:tc>
        <w:tc>
          <w:tcPr>
            <w:tcW w:w="900" w:type="dxa"/>
            <w:shd w:val="clear" w:color="auto" w:fill="A6A6A6" w:themeFill="background1" w:themeFillShade="A6"/>
            <w:noWrap/>
            <w:vAlign w:val="center"/>
            <w:hideMark/>
          </w:tcPr>
          <w:p w14:paraId="205AA6E1"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10</w:t>
            </w:r>
          </w:p>
        </w:tc>
      </w:tr>
      <w:tr w:rsidR="001E4494" w:rsidRPr="001E4494" w14:paraId="2CD4D63D" w14:textId="77777777" w:rsidTr="00FE3CB4">
        <w:trPr>
          <w:trHeight w:val="315"/>
          <w:jc w:val="center"/>
        </w:trPr>
        <w:tc>
          <w:tcPr>
            <w:tcW w:w="900" w:type="dxa"/>
            <w:noWrap/>
            <w:hideMark/>
          </w:tcPr>
          <w:p w14:paraId="108AB6BF" w14:textId="77777777" w:rsidR="001E4494" w:rsidRPr="001E4494" w:rsidRDefault="001E4494" w:rsidP="001E4494">
            <w:pPr>
              <w:jc w:val="center"/>
              <w:rPr>
                <w:rFonts w:ascii="ITC Avant Garde" w:hAnsi="ITC Avant Garde"/>
                <w:i/>
                <w:iCs/>
                <w:color w:val="000000"/>
                <w:sz w:val="14"/>
                <w:szCs w:val="14"/>
                <w:lang w:eastAsia="es-MX"/>
              </w:rPr>
            </w:pPr>
            <w:r w:rsidRPr="001E4494">
              <w:rPr>
                <w:rFonts w:ascii="ITC Avant Garde" w:hAnsi="ITC Avant Garde"/>
                <w:i/>
                <w:iCs/>
                <w:color w:val="000000"/>
                <w:sz w:val="14"/>
                <w:szCs w:val="14"/>
                <w:lang w:eastAsia="es-MX"/>
              </w:rPr>
              <w:t>Circuito</w:t>
            </w:r>
          </w:p>
        </w:tc>
        <w:tc>
          <w:tcPr>
            <w:tcW w:w="900" w:type="dxa"/>
            <w:noWrap/>
            <w:hideMark/>
          </w:tcPr>
          <w:p w14:paraId="34916B3E"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Rx</w:t>
            </w:r>
            <w:proofErr w:type="spellEnd"/>
          </w:p>
        </w:tc>
        <w:tc>
          <w:tcPr>
            <w:tcW w:w="900" w:type="dxa"/>
            <w:noWrap/>
            <w:hideMark/>
          </w:tcPr>
          <w:p w14:paraId="49CC09A8"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Tx</w:t>
            </w:r>
            <w:proofErr w:type="spellEnd"/>
          </w:p>
        </w:tc>
        <w:tc>
          <w:tcPr>
            <w:tcW w:w="900" w:type="dxa"/>
            <w:noWrap/>
            <w:hideMark/>
          </w:tcPr>
          <w:p w14:paraId="339B4D98" w14:textId="77777777" w:rsidR="001E4494" w:rsidRPr="001E4494" w:rsidRDefault="001E4494" w:rsidP="001E4494">
            <w:pPr>
              <w:jc w:val="center"/>
              <w:rPr>
                <w:rFonts w:ascii="ITC Avant Garde" w:hAnsi="ITC Avant Garde"/>
                <w:i/>
                <w:iCs/>
                <w:color w:val="000000"/>
                <w:sz w:val="14"/>
                <w:szCs w:val="14"/>
                <w:lang w:eastAsia="es-MX"/>
              </w:rPr>
            </w:pPr>
            <w:r w:rsidRPr="001E4494">
              <w:rPr>
                <w:rFonts w:ascii="ITC Avant Garde" w:hAnsi="ITC Avant Garde"/>
                <w:i/>
                <w:iCs/>
                <w:color w:val="000000"/>
                <w:sz w:val="14"/>
                <w:szCs w:val="14"/>
                <w:lang w:eastAsia="es-MX"/>
              </w:rPr>
              <w:t>Circuito</w:t>
            </w:r>
          </w:p>
        </w:tc>
        <w:tc>
          <w:tcPr>
            <w:tcW w:w="900" w:type="dxa"/>
            <w:noWrap/>
            <w:hideMark/>
          </w:tcPr>
          <w:p w14:paraId="67FC98B5"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Rx</w:t>
            </w:r>
            <w:proofErr w:type="spellEnd"/>
          </w:p>
        </w:tc>
        <w:tc>
          <w:tcPr>
            <w:tcW w:w="900" w:type="dxa"/>
            <w:noWrap/>
            <w:hideMark/>
          </w:tcPr>
          <w:p w14:paraId="607B4573"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Tx</w:t>
            </w:r>
            <w:proofErr w:type="spellEnd"/>
          </w:p>
        </w:tc>
        <w:tc>
          <w:tcPr>
            <w:tcW w:w="900" w:type="dxa"/>
            <w:noWrap/>
            <w:hideMark/>
          </w:tcPr>
          <w:p w14:paraId="7424239E" w14:textId="77777777" w:rsidR="001E4494" w:rsidRPr="001E4494" w:rsidRDefault="001E4494" w:rsidP="001E4494">
            <w:pPr>
              <w:jc w:val="center"/>
              <w:rPr>
                <w:rFonts w:ascii="ITC Avant Garde" w:hAnsi="ITC Avant Garde"/>
                <w:i/>
                <w:iCs/>
                <w:color w:val="000000"/>
                <w:sz w:val="14"/>
                <w:szCs w:val="14"/>
                <w:lang w:eastAsia="es-MX"/>
              </w:rPr>
            </w:pPr>
            <w:r w:rsidRPr="001E4494">
              <w:rPr>
                <w:rFonts w:ascii="ITC Avant Garde" w:hAnsi="ITC Avant Garde"/>
                <w:i/>
                <w:iCs/>
                <w:color w:val="000000"/>
                <w:sz w:val="14"/>
                <w:szCs w:val="14"/>
                <w:lang w:eastAsia="es-MX"/>
              </w:rPr>
              <w:t>Circuito</w:t>
            </w:r>
          </w:p>
        </w:tc>
        <w:tc>
          <w:tcPr>
            <w:tcW w:w="900" w:type="dxa"/>
            <w:noWrap/>
            <w:hideMark/>
          </w:tcPr>
          <w:p w14:paraId="2977523F"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Rx</w:t>
            </w:r>
            <w:proofErr w:type="spellEnd"/>
          </w:p>
        </w:tc>
        <w:tc>
          <w:tcPr>
            <w:tcW w:w="900" w:type="dxa"/>
            <w:noWrap/>
            <w:hideMark/>
          </w:tcPr>
          <w:p w14:paraId="619AF973"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Tx</w:t>
            </w:r>
            <w:proofErr w:type="spellEnd"/>
          </w:p>
        </w:tc>
        <w:tc>
          <w:tcPr>
            <w:tcW w:w="900" w:type="dxa"/>
            <w:noWrap/>
            <w:hideMark/>
          </w:tcPr>
          <w:p w14:paraId="1160A452" w14:textId="77777777" w:rsidR="001E4494" w:rsidRPr="001E4494" w:rsidRDefault="001E4494" w:rsidP="001E4494">
            <w:pPr>
              <w:jc w:val="center"/>
              <w:rPr>
                <w:rFonts w:ascii="ITC Avant Garde" w:hAnsi="ITC Avant Garde"/>
                <w:i/>
                <w:iCs/>
                <w:color w:val="000000"/>
                <w:sz w:val="14"/>
                <w:szCs w:val="14"/>
                <w:lang w:eastAsia="es-MX"/>
              </w:rPr>
            </w:pPr>
            <w:r w:rsidRPr="001E4494">
              <w:rPr>
                <w:rFonts w:ascii="ITC Avant Garde" w:hAnsi="ITC Avant Garde"/>
                <w:i/>
                <w:iCs/>
                <w:color w:val="000000"/>
                <w:sz w:val="14"/>
                <w:szCs w:val="14"/>
                <w:lang w:eastAsia="es-MX"/>
              </w:rPr>
              <w:t>Circuito</w:t>
            </w:r>
          </w:p>
        </w:tc>
        <w:tc>
          <w:tcPr>
            <w:tcW w:w="900" w:type="dxa"/>
            <w:noWrap/>
            <w:hideMark/>
          </w:tcPr>
          <w:p w14:paraId="438C94B6"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Rx</w:t>
            </w:r>
            <w:proofErr w:type="spellEnd"/>
          </w:p>
        </w:tc>
        <w:tc>
          <w:tcPr>
            <w:tcW w:w="900" w:type="dxa"/>
            <w:noWrap/>
            <w:hideMark/>
          </w:tcPr>
          <w:p w14:paraId="0331E96E"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Tx</w:t>
            </w:r>
            <w:proofErr w:type="spellEnd"/>
          </w:p>
        </w:tc>
      </w:tr>
      <w:tr w:rsidR="001E4494" w:rsidRPr="001E4494" w14:paraId="0EA1447A" w14:textId="77777777" w:rsidTr="00FE3CB4">
        <w:trPr>
          <w:trHeight w:val="315"/>
          <w:jc w:val="center"/>
        </w:trPr>
        <w:tc>
          <w:tcPr>
            <w:tcW w:w="900" w:type="dxa"/>
            <w:noWrap/>
            <w:hideMark/>
          </w:tcPr>
          <w:p w14:paraId="7C2B9B41"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A</w:t>
            </w:r>
          </w:p>
        </w:tc>
        <w:tc>
          <w:tcPr>
            <w:tcW w:w="900" w:type="dxa"/>
            <w:noWrap/>
            <w:hideMark/>
          </w:tcPr>
          <w:p w14:paraId="2FF00D31"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411.01875</w:t>
            </w:r>
          </w:p>
        </w:tc>
        <w:tc>
          <w:tcPr>
            <w:tcW w:w="900" w:type="dxa"/>
            <w:noWrap/>
            <w:hideMark/>
          </w:tcPr>
          <w:p w14:paraId="2736DEF4"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421.01875</w:t>
            </w:r>
          </w:p>
        </w:tc>
        <w:tc>
          <w:tcPr>
            <w:tcW w:w="900" w:type="dxa"/>
            <w:noWrap/>
            <w:hideMark/>
          </w:tcPr>
          <w:p w14:paraId="7F13FB6C"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B</w:t>
            </w:r>
          </w:p>
        </w:tc>
        <w:tc>
          <w:tcPr>
            <w:tcW w:w="900" w:type="dxa"/>
            <w:noWrap/>
            <w:hideMark/>
          </w:tcPr>
          <w:p w14:paraId="3CA154B2"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411.03125</w:t>
            </w:r>
          </w:p>
        </w:tc>
        <w:tc>
          <w:tcPr>
            <w:tcW w:w="900" w:type="dxa"/>
            <w:noWrap/>
            <w:hideMark/>
          </w:tcPr>
          <w:p w14:paraId="143B1140"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421.03125</w:t>
            </w:r>
          </w:p>
        </w:tc>
        <w:tc>
          <w:tcPr>
            <w:tcW w:w="900" w:type="dxa"/>
            <w:noWrap/>
            <w:hideMark/>
          </w:tcPr>
          <w:p w14:paraId="39117CE6"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A</w:t>
            </w:r>
          </w:p>
        </w:tc>
        <w:tc>
          <w:tcPr>
            <w:tcW w:w="900" w:type="dxa"/>
            <w:noWrap/>
            <w:hideMark/>
          </w:tcPr>
          <w:p w14:paraId="6EF14351"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411.04375</w:t>
            </w:r>
          </w:p>
        </w:tc>
        <w:tc>
          <w:tcPr>
            <w:tcW w:w="900" w:type="dxa"/>
            <w:noWrap/>
            <w:hideMark/>
          </w:tcPr>
          <w:p w14:paraId="38B06A5F"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421.04375</w:t>
            </w:r>
          </w:p>
        </w:tc>
        <w:tc>
          <w:tcPr>
            <w:tcW w:w="900" w:type="dxa"/>
            <w:noWrap/>
            <w:hideMark/>
          </w:tcPr>
          <w:p w14:paraId="62ED805F"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B</w:t>
            </w:r>
          </w:p>
        </w:tc>
        <w:tc>
          <w:tcPr>
            <w:tcW w:w="900" w:type="dxa"/>
            <w:noWrap/>
            <w:hideMark/>
          </w:tcPr>
          <w:p w14:paraId="4C62AFC0"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411.05625</w:t>
            </w:r>
          </w:p>
        </w:tc>
        <w:tc>
          <w:tcPr>
            <w:tcW w:w="900" w:type="dxa"/>
            <w:noWrap/>
            <w:hideMark/>
          </w:tcPr>
          <w:p w14:paraId="00FD4088"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421.05625</w:t>
            </w:r>
          </w:p>
        </w:tc>
      </w:tr>
      <w:tr w:rsidR="001E4494" w:rsidRPr="001E4494" w14:paraId="71D49F90" w14:textId="77777777" w:rsidTr="00FE3CB4">
        <w:trPr>
          <w:trHeight w:val="315"/>
          <w:jc w:val="center"/>
        </w:trPr>
        <w:tc>
          <w:tcPr>
            <w:tcW w:w="900" w:type="dxa"/>
            <w:noWrap/>
            <w:hideMark/>
          </w:tcPr>
          <w:p w14:paraId="5BCCB018"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C</w:t>
            </w:r>
          </w:p>
        </w:tc>
        <w:tc>
          <w:tcPr>
            <w:tcW w:w="900" w:type="dxa"/>
            <w:noWrap/>
            <w:hideMark/>
          </w:tcPr>
          <w:p w14:paraId="568C81C4"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411.21875</w:t>
            </w:r>
          </w:p>
        </w:tc>
        <w:tc>
          <w:tcPr>
            <w:tcW w:w="900" w:type="dxa"/>
            <w:noWrap/>
            <w:hideMark/>
          </w:tcPr>
          <w:p w14:paraId="675B13B8"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421.21875</w:t>
            </w:r>
          </w:p>
        </w:tc>
        <w:tc>
          <w:tcPr>
            <w:tcW w:w="900" w:type="dxa"/>
            <w:noWrap/>
            <w:hideMark/>
          </w:tcPr>
          <w:p w14:paraId="2C1059AE"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D</w:t>
            </w:r>
          </w:p>
        </w:tc>
        <w:tc>
          <w:tcPr>
            <w:tcW w:w="900" w:type="dxa"/>
            <w:noWrap/>
            <w:hideMark/>
          </w:tcPr>
          <w:p w14:paraId="0A4D27E7"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411.23125</w:t>
            </w:r>
          </w:p>
        </w:tc>
        <w:tc>
          <w:tcPr>
            <w:tcW w:w="900" w:type="dxa"/>
            <w:noWrap/>
            <w:hideMark/>
          </w:tcPr>
          <w:p w14:paraId="4D008B87"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421.23125</w:t>
            </w:r>
          </w:p>
        </w:tc>
        <w:tc>
          <w:tcPr>
            <w:tcW w:w="900" w:type="dxa"/>
            <w:noWrap/>
            <w:hideMark/>
          </w:tcPr>
          <w:p w14:paraId="28F5A63E"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C</w:t>
            </w:r>
          </w:p>
        </w:tc>
        <w:tc>
          <w:tcPr>
            <w:tcW w:w="900" w:type="dxa"/>
            <w:noWrap/>
            <w:hideMark/>
          </w:tcPr>
          <w:p w14:paraId="72F75716"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411.24375</w:t>
            </w:r>
          </w:p>
        </w:tc>
        <w:tc>
          <w:tcPr>
            <w:tcW w:w="900" w:type="dxa"/>
            <w:noWrap/>
            <w:hideMark/>
          </w:tcPr>
          <w:p w14:paraId="15D4DA8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421.24375</w:t>
            </w:r>
          </w:p>
        </w:tc>
        <w:tc>
          <w:tcPr>
            <w:tcW w:w="900" w:type="dxa"/>
            <w:noWrap/>
            <w:hideMark/>
          </w:tcPr>
          <w:p w14:paraId="21D070D8"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D</w:t>
            </w:r>
          </w:p>
        </w:tc>
        <w:tc>
          <w:tcPr>
            <w:tcW w:w="900" w:type="dxa"/>
            <w:noWrap/>
            <w:hideMark/>
          </w:tcPr>
          <w:p w14:paraId="5485D55A"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411.25625</w:t>
            </w:r>
          </w:p>
        </w:tc>
        <w:tc>
          <w:tcPr>
            <w:tcW w:w="900" w:type="dxa"/>
            <w:noWrap/>
            <w:hideMark/>
          </w:tcPr>
          <w:p w14:paraId="2D56B118"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421.25625</w:t>
            </w:r>
          </w:p>
        </w:tc>
      </w:tr>
      <w:tr w:rsidR="001E4494" w:rsidRPr="001E4494" w14:paraId="13CF2DEE" w14:textId="77777777" w:rsidTr="00FE3CB4">
        <w:trPr>
          <w:trHeight w:val="315"/>
          <w:jc w:val="center"/>
        </w:trPr>
        <w:tc>
          <w:tcPr>
            <w:tcW w:w="900" w:type="dxa"/>
            <w:noWrap/>
            <w:hideMark/>
          </w:tcPr>
          <w:p w14:paraId="04FA39D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E</w:t>
            </w:r>
          </w:p>
        </w:tc>
        <w:tc>
          <w:tcPr>
            <w:tcW w:w="900" w:type="dxa"/>
            <w:noWrap/>
            <w:hideMark/>
          </w:tcPr>
          <w:p w14:paraId="0E89E7EB"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411.41875</w:t>
            </w:r>
          </w:p>
        </w:tc>
        <w:tc>
          <w:tcPr>
            <w:tcW w:w="900" w:type="dxa"/>
            <w:noWrap/>
            <w:hideMark/>
          </w:tcPr>
          <w:p w14:paraId="5B92CAAE"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421.41875</w:t>
            </w:r>
          </w:p>
        </w:tc>
        <w:tc>
          <w:tcPr>
            <w:tcW w:w="900" w:type="dxa"/>
            <w:noWrap/>
            <w:hideMark/>
          </w:tcPr>
          <w:p w14:paraId="29766AC6"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F</w:t>
            </w:r>
          </w:p>
        </w:tc>
        <w:tc>
          <w:tcPr>
            <w:tcW w:w="900" w:type="dxa"/>
            <w:noWrap/>
            <w:hideMark/>
          </w:tcPr>
          <w:p w14:paraId="3EEB078B"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411.43125</w:t>
            </w:r>
          </w:p>
        </w:tc>
        <w:tc>
          <w:tcPr>
            <w:tcW w:w="900" w:type="dxa"/>
            <w:noWrap/>
            <w:hideMark/>
          </w:tcPr>
          <w:p w14:paraId="598D42A0"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421.43125</w:t>
            </w:r>
          </w:p>
        </w:tc>
        <w:tc>
          <w:tcPr>
            <w:tcW w:w="900" w:type="dxa"/>
            <w:noWrap/>
            <w:hideMark/>
          </w:tcPr>
          <w:p w14:paraId="1B41D9E1"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E</w:t>
            </w:r>
          </w:p>
        </w:tc>
        <w:tc>
          <w:tcPr>
            <w:tcW w:w="900" w:type="dxa"/>
            <w:noWrap/>
            <w:hideMark/>
          </w:tcPr>
          <w:p w14:paraId="485059D7"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411.44375</w:t>
            </w:r>
          </w:p>
        </w:tc>
        <w:tc>
          <w:tcPr>
            <w:tcW w:w="900" w:type="dxa"/>
            <w:noWrap/>
            <w:hideMark/>
          </w:tcPr>
          <w:p w14:paraId="4D93636C"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421.44375</w:t>
            </w:r>
          </w:p>
        </w:tc>
        <w:tc>
          <w:tcPr>
            <w:tcW w:w="900" w:type="dxa"/>
            <w:noWrap/>
            <w:hideMark/>
          </w:tcPr>
          <w:p w14:paraId="2A5A09AA"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F</w:t>
            </w:r>
          </w:p>
        </w:tc>
        <w:tc>
          <w:tcPr>
            <w:tcW w:w="900" w:type="dxa"/>
            <w:noWrap/>
            <w:hideMark/>
          </w:tcPr>
          <w:p w14:paraId="5B319A05"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411.45625</w:t>
            </w:r>
          </w:p>
        </w:tc>
        <w:tc>
          <w:tcPr>
            <w:tcW w:w="900" w:type="dxa"/>
            <w:noWrap/>
            <w:hideMark/>
          </w:tcPr>
          <w:p w14:paraId="18EE94CD"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421.45625</w:t>
            </w:r>
          </w:p>
        </w:tc>
      </w:tr>
      <w:tr w:rsidR="001E4494" w:rsidRPr="001E4494" w14:paraId="57F2E25E" w14:textId="77777777" w:rsidTr="00FE3CB4">
        <w:trPr>
          <w:trHeight w:val="315"/>
          <w:jc w:val="center"/>
        </w:trPr>
        <w:tc>
          <w:tcPr>
            <w:tcW w:w="900" w:type="dxa"/>
            <w:noWrap/>
            <w:hideMark/>
          </w:tcPr>
          <w:p w14:paraId="0E21B272"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G</w:t>
            </w:r>
          </w:p>
        </w:tc>
        <w:tc>
          <w:tcPr>
            <w:tcW w:w="900" w:type="dxa"/>
            <w:noWrap/>
            <w:hideMark/>
          </w:tcPr>
          <w:p w14:paraId="3DC76E9F"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411.61875</w:t>
            </w:r>
          </w:p>
        </w:tc>
        <w:tc>
          <w:tcPr>
            <w:tcW w:w="900" w:type="dxa"/>
            <w:noWrap/>
            <w:hideMark/>
          </w:tcPr>
          <w:p w14:paraId="26EB8DE0"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421.61875</w:t>
            </w:r>
          </w:p>
        </w:tc>
        <w:tc>
          <w:tcPr>
            <w:tcW w:w="900" w:type="dxa"/>
            <w:noWrap/>
            <w:hideMark/>
          </w:tcPr>
          <w:p w14:paraId="35AE821F"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H</w:t>
            </w:r>
          </w:p>
        </w:tc>
        <w:tc>
          <w:tcPr>
            <w:tcW w:w="900" w:type="dxa"/>
            <w:noWrap/>
            <w:hideMark/>
          </w:tcPr>
          <w:p w14:paraId="02C2BE80"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411.63125</w:t>
            </w:r>
          </w:p>
        </w:tc>
        <w:tc>
          <w:tcPr>
            <w:tcW w:w="900" w:type="dxa"/>
            <w:noWrap/>
            <w:hideMark/>
          </w:tcPr>
          <w:p w14:paraId="0412E2CF"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421.63125</w:t>
            </w:r>
          </w:p>
        </w:tc>
        <w:tc>
          <w:tcPr>
            <w:tcW w:w="900" w:type="dxa"/>
            <w:noWrap/>
            <w:hideMark/>
          </w:tcPr>
          <w:p w14:paraId="6393DC6B"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G</w:t>
            </w:r>
          </w:p>
        </w:tc>
        <w:tc>
          <w:tcPr>
            <w:tcW w:w="900" w:type="dxa"/>
            <w:noWrap/>
            <w:hideMark/>
          </w:tcPr>
          <w:p w14:paraId="3A7BCEB4"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411.64375</w:t>
            </w:r>
          </w:p>
        </w:tc>
        <w:tc>
          <w:tcPr>
            <w:tcW w:w="900" w:type="dxa"/>
            <w:noWrap/>
            <w:hideMark/>
          </w:tcPr>
          <w:p w14:paraId="3AB591C7"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421.64375</w:t>
            </w:r>
          </w:p>
        </w:tc>
        <w:tc>
          <w:tcPr>
            <w:tcW w:w="900" w:type="dxa"/>
            <w:noWrap/>
            <w:hideMark/>
          </w:tcPr>
          <w:p w14:paraId="62A65695"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H</w:t>
            </w:r>
          </w:p>
        </w:tc>
        <w:tc>
          <w:tcPr>
            <w:tcW w:w="900" w:type="dxa"/>
            <w:noWrap/>
            <w:hideMark/>
          </w:tcPr>
          <w:p w14:paraId="2254836C"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411.65625</w:t>
            </w:r>
          </w:p>
        </w:tc>
        <w:tc>
          <w:tcPr>
            <w:tcW w:w="900" w:type="dxa"/>
            <w:noWrap/>
            <w:hideMark/>
          </w:tcPr>
          <w:p w14:paraId="1F42924A"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421.65625</w:t>
            </w:r>
          </w:p>
        </w:tc>
      </w:tr>
      <w:tr w:rsidR="001E4494" w:rsidRPr="001E4494" w14:paraId="4687ED0C" w14:textId="77777777" w:rsidTr="00FE3CB4">
        <w:trPr>
          <w:trHeight w:val="315"/>
          <w:jc w:val="center"/>
        </w:trPr>
        <w:tc>
          <w:tcPr>
            <w:tcW w:w="900" w:type="dxa"/>
            <w:noWrap/>
            <w:hideMark/>
          </w:tcPr>
          <w:p w14:paraId="1BE326EA"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I</w:t>
            </w:r>
          </w:p>
        </w:tc>
        <w:tc>
          <w:tcPr>
            <w:tcW w:w="900" w:type="dxa"/>
            <w:noWrap/>
            <w:hideMark/>
          </w:tcPr>
          <w:p w14:paraId="74588EA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411.81875</w:t>
            </w:r>
          </w:p>
        </w:tc>
        <w:tc>
          <w:tcPr>
            <w:tcW w:w="900" w:type="dxa"/>
            <w:noWrap/>
            <w:hideMark/>
          </w:tcPr>
          <w:p w14:paraId="0465D751"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421.81875</w:t>
            </w:r>
          </w:p>
        </w:tc>
        <w:tc>
          <w:tcPr>
            <w:tcW w:w="900" w:type="dxa"/>
            <w:noWrap/>
            <w:hideMark/>
          </w:tcPr>
          <w:p w14:paraId="520203E2"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J</w:t>
            </w:r>
          </w:p>
        </w:tc>
        <w:tc>
          <w:tcPr>
            <w:tcW w:w="900" w:type="dxa"/>
            <w:noWrap/>
            <w:hideMark/>
          </w:tcPr>
          <w:p w14:paraId="325BDD8E"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411.83125</w:t>
            </w:r>
          </w:p>
        </w:tc>
        <w:tc>
          <w:tcPr>
            <w:tcW w:w="900" w:type="dxa"/>
            <w:noWrap/>
            <w:hideMark/>
          </w:tcPr>
          <w:p w14:paraId="094F4C02"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421.83125</w:t>
            </w:r>
          </w:p>
        </w:tc>
        <w:tc>
          <w:tcPr>
            <w:tcW w:w="900" w:type="dxa"/>
            <w:noWrap/>
            <w:hideMark/>
          </w:tcPr>
          <w:p w14:paraId="42239DC7"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I</w:t>
            </w:r>
          </w:p>
        </w:tc>
        <w:tc>
          <w:tcPr>
            <w:tcW w:w="900" w:type="dxa"/>
            <w:noWrap/>
            <w:hideMark/>
          </w:tcPr>
          <w:p w14:paraId="6B68A5D8"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411.84375</w:t>
            </w:r>
          </w:p>
        </w:tc>
        <w:tc>
          <w:tcPr>
            <w:tcW w:w="900" w:type="dxa"/>
            <w:noWrap/>
            <w:hideMark/>
          </w:tcPr>
          <w:p w14:paraId="28AF4568"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421.84375</w:t>
            </w:r>
          </w:p>
        </w:tc>
        <w:tc>
          <w:tcPr>
            <w:tcW w:w="900" w:type="dxa"/>
            <w:noWrap/>
            <w:hideMark/>
          </w:tcPr>
          <w:p w14:paraId="67067D06"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J</w:t>
            </w:r>
          </w:p>
        </w:tc>
        <w:tc>
          <w:tcPr>
            <w:tcW w:w="900" w:type="dxa"/>
            <w:noWrap/>
            <w:hideMark/>
          </w:tcPr>
          <w:p w14:paraId="7EF72BA3"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411.85625</w:t>
            </w:r>
          </w:p>
        </w:tc>
        <w:tc>
          <w:tcPr>
            <w:tcW w:w="900" w:type="dxa"/>
            <w:noWrap/>
            <w:hideMark/>
          </w:tcPr>
          <w:p w14:paraId="6B5211F6"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421.85625</w:t>
            </w:r>
          </w:p>
        </w:tc>
      </w:tr>
      <w:tr w:rsidR="001E4494" w:rsidRPr="001E4494" w14:paraId="227F361F" w14:textId="77777777" w:rsidTr="00FE3CB4">
        <w:trPr>
          <w:trHeight w:val="315"/>
          <w:jc w:val="center"/>
        </w:trPr>
        <w:tc>
          <w:tcPr>
            <w:tcW w:w="900" w:type="dxa"/>
            <w:shd w:val="clear" w:color="auto" w:fill="A6A6A6" w:themeFill="background1" w:themeFillShade="A6"/>
            <w:noWrap/>
            <w:vAlign w:val="center"/>
            <w:hideMark/>
          </w:tcPr>
          <w:p w14:paraId="679DC7BD"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11</w:t>
            </w:r>
          </w:p>
        </w:tc>
        <w:tc>
          <w:tcPr>
            <w:tcW w:w="900" w:type="dxa"/>
            <w:shd w:val="clear" w:color="auto" w:fill="A6A6A6" w:themeFill="background1" w:themeFillShade="A6"/>
            <w:noWrap/>
            <w:vAlign w:val="center"/>
            <w:hideMark/>
          </w:tcPr>
          <w:p w14:paraId="2B048A75"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11</w:t>
            </w:r>
          </w:p>
        </w:tc>
        <w:tc>
          <w:tcPr>
            <w:tcW w:w="900" w:type="dxa"/>
            <w:shd w:val="clear" w:color="auto" w:fill="A6A6A6" w:themeFill="background1" w:themeFillShade="A6"/>
            <w:noWrap/>
            <w:vAlign w:val="center"/>
            <w:hideMark/>
          </w:tcPr>
          <w:p w14:paraId="68407A73"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11</w:t>
            </w:r>
          </w:p>
        </w:tc>
        <w:tc>
          <w:tcPr>
            <w:tcW w:w="900" w:type="dxa"/>
            <w:shd w:val="clear" w:color="auto" w:fill="A6A6A6" w:themeFill="background1" w:themeFillShade="A6"/>
            <w:noWrap/>
            <w:vAlign w:val="center"/>
            <w:hideMark/>
          </w:tcPr>
          <w:p w14:paraId="0CA686B7"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11</w:t>
            </w:r>
          </w:p>
        </w:tc>
        <w:tc>
          <w:tcPr>
            <w:tcW w:w="900" w:type="dxa"/>
            <w:shd w:val="clear" w:color="auto" w:fill="A6A6A6" w:themeFill="background1" w:themeFillShade="A6"/>
            <w:noWrap/>
            <w:vAlign w:val="center"/>
            <w:hideMark/>
          </w:tcPr>
          <w:p w14:paraId="6B8AD466"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11</w:t>
            </w:r>
          </w:p>
        </w:tc>
        <w:tc>
          <w:tcPr>
            <w:tcW w:w="900" w:type="dxa"/>
            <w:shd w:val="clear" w:color="auto" w:fill="A6A6A6" w:themeFill="background1" w:themeFillShade="A6"/>
            <w:noWrap/>
            <w:vAlign w:val="center"/>
            <w:hideMark/>
          </w:tcPr>
          <w:p w14:paraId="4803368E"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11</w:t>
            </w:r>
          </w:p>
        </w:tc>
        <w:tc>
          <w:tcPr>
            <w:tcW w:w="900" w:type="dxa"/>
            <w:shd w:val="clear" w:color="auto" w:fill="A6A6A6" w:themeFill="background1" w:themeFillShade="A6"/>
            <w:noWrap/>
            <w:vAlign w:val="center"/>
            <w:hideMark/>
          </w:tcPr>
          <w:p w14:paraId="3E50B5D6"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12</w:t>
            </w:r>
          </w:p>
        </w:tc>
        <w:tc>
          <w:tcPr>
            <w:tcW w:w="900" w:type="dxa"/>
            <w:shd w:val="clear" w:color="auto" w:fill="A6A6A6" w:themeFill="background1" w:themeFillShade="A6"/>
            <w:noWrap/>
            <w:vAlign w:val="center"/>
            <w:hideMark/>
          </w:tcPr>
          <w:p w14:paraId="395C9AD3"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12</w:t>
            </w:r>
          </w:p>
        </w:tc>
        <w:tc>
          <w:tcPr>
            <w:tcW w:w="900" w:type="dxa"/>
            <w:shd w:val="clear" w:color="auto" w:fill="A6A6A6" w:themeFill="background1" w:themeFillShade="A6"/>
            <w:noWrap/>
            <w:vAlign w:val="center"/>
            <w:hideMark/>
          </w:tcPr>
          <w:p w14:paraId="30AC6074"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12</w:t>
            </w:r>
          </w:p>
        </w:tc>
        <w:tc>
          <w:tcPr>
            <w:tcW w:w="900" w:type="dxa"/>
            <w:shd w:val="clear" w:color="auto" w:fill="A6A6A6" w:themeFill="background1" w:themeFillShade="A6"/>
            <w:noWrap/>
            <w:vAlign w:val="center"/>
            <w:hideMark/>
          </w:tcPr>
          <w:p w14:paraId="5FFD06C6"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12</w:t>
            </w:r>
          </w:p>
        </w:tc>
        <w:tc>
          <w:tcPr>
            <w:tcW w:w="900" w:type="dxa"/>
            <w:shd w:val="clear" w:color="auto" w:fill="A6A6A6" w:themeFill="background1" w:themeFillShade="A6"/>
            <w:noWrap/>
            <w:vAlign w:val="center"/>
            <w:hideMark/>
          </w:tcPr>
          <w:p w14:paraId="08F9C275"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12</w:t>
            </w:r>
          </w:p>
        </w:tc>
        <w:tc>
          <w:tcPr>
            <w:tcW w:w="900" w:type="dxa"/>
            <w:shd w:val="clear" w:color="auto" w:fill="A6A6A6" w:themeFill="background1" w:themeFillShade="A6"/>
            <w:noWrap/>
            <w:vAlign w:val="center"/>
            <w:hideMark/>
          </w:tcPr>
          <w:p w14:paraId="70A5C4E3" w14:textId="77777777" w:rsidR="001E4494" w:rsidRPr="001E4494" w:rsidRDefault="001E4494" w:rsidP="001E4494">
            <w:pPr>
              <w:jc w:val="center"/>
              <w:rPr>
                <w:rFonts w:ascii="ITC Avant Garde" w:hAnsi="ITC Avant Garde"/>
                <w:b/>
                <w:bCs/>
                <w:color w:val="000000"/>
                <w:sz w:val="14"/>
                <w:szCs w:val="14"/>
                <w:lang w:eastAsia="es-MX"/>
              </w:rPr>
            </w:pPr>
            <w:r w:rsidRPr="001E4494">
              <w:rPr>
                <w:rFonts w:ascii="ITC Avant Garde" w:hAnsi="ITC Avant Garde"/>
                <w:b/>
                <w:bCs/>
                <w:color w:val="000000"/>
                <w:sz w:val="14"/>
                <w:szCs w:val="14"/>
                <w:lang w:eastAsia="es-MX"/>
              </w:rPr>
              <w:t>Grupo 12</w:t>
            </w:r>
          </w:p>
        </w:tc>
      </w:tr>
      <w:tr w:rsidR="001E4494" w:rsidRPr="001E4494" w14:paraId="398CD0C6" w14:textId="77777777" w:rsidTr="00FE3CB4">
        <w:trPr>
          <w:trHeight w:val="315"/>
          <w:jc w:val="center"/>
        </w:trPr>
        <w:tc>
          <w:tcPr>
            <w:tcW w:w="900" w:type="dxa"/>
            <w:noWrap/>
            <w:hideMark/>
          </w:tcPr>
          <w:p w14:paraId="054C0E45" w14:textId="77777777" w:rsidR="001E4494" w:rsidRPr="001E4494" w:rsidRDefault="001E4494" w:rsidP="001E4494">
            <w:pPr>
              <w:jc w:val="center"/>
              <w:rPr>
                <w:rFonts w:ascii="ITC Avant Garde" w:hAnsi="ITC Avant Garde"/>
                <w:i/>
                <w:iCs/>
                <w:color w:val="000000"/>
                <w:sz w:val="14"/>
                <w:szCs w:val="14"/>
                <w:lang w:eastAsia="es-MX"/>
              </w:rPr>
            </w:pPr>
            <w:r w:rsidRPr="001E4494">
              <w:rPr>
                <w:rFonts w:ascii="ITC Avant Garde" w:hAnsi="ITC Avant Garde"/>
                <w:i/>
                <w:iCs/>
                <w:color w:val="000000"/>
                <w:sz w:val="14"/>
                <w:szCs w:val="14"/>
                <w:lang w:eastAsia="es-MX"/>
              </w:rPr>
              <w:t>Circuito</w:t>
            </w:r>
          </w:p>
        </w:tc>
        <w:tc>
          <w:tcPr>
            <w:tcW w:w="900" w:type="dxa"/>
            <w:noWrap/>
            <w:hideMark/>
          </w:tcPr>
          <w:p w14:paraId="51CC19B9"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Rx</w:t>
            </w:r>
            <w:proofErr w:type="spellEnd"/>
          </w:p>
        </w:tc>
        <w:tc>
          <w:tcPr>
            <w:tcW w:w="900" w:type="dxa"/>
            <w:noWrap/>
            <w:hideMark/>
          </w:tcPr>
          <w:p w14:paraId="1E03B1F0"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Tx</w:t>
            </w:r>
            <w:proofErr w:type="spellEnd"/>
          </w:p>
        </w:tc>
        <w:tc>
          <w:tcPr>
            <w:tcW w:w="900" w:type="dxa"/>
            <w:noWrap/>
            <w:hideMark/>
          </w:tcPr>
          <w:p w14:paraId="0ECE14F7" w14:textId="77777777" w:rsidR="001E4494" w:rsidRPr="001E4494" w:rsidRDefault="001E4494" w:rsidP="001E4494">
            <w:pPr>
              <w:jc w:val="center"/>
              <w:rPr>
                <w:rFonts w:ascii="ITC Avant Garde" w:hAnsi="ITC Avant Garde"/>
                <w:i/>
                <w:iCs/>
                <w:color w:val="000000"/>
                <w:sz w:val="14"/>
                <w:szCs w:val="14"/>
                <w:lang w:eastAsia="es-MX"/>
              </w:rPr>
            </w:pPr>
            <w:r w:rsidRPr="001E4494">
              <w:rPr>
                <w:rFonts w:ascii="ITC Avant Garde" w:hAnsi="ITC Avant Garde"/>
                <w:i/>
                <w:iCs/>
                <w:color w:val="000000"/>
                <w:sz w:val="14"/>
                <w:szCs w:val="14"/>
                <w:lang w:eastAsia="es-MX"/>
              </w:rPr>
              <w:t>Circuito</w:t>
            </w:r>
          </w:p>
        </w:tc>
        <w:tc>
          <w:tcPr>
            <w:tcW w:w="900" w:type="dxa"/>
            <w:noWrap/>
            <w:hideMark/>
          </w:tcPr>
          <w:p w14:paraId="1306F3DE"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Rx</w:t>
            </w:r>
            <w:proofErr w:type="spellEnd"/>
          </w:p>
        </w:tc>
        <w:tc>
          <w:tcPr>
            <w:tcW w:w="900" w:type="dxa"/>
            <w:noWrap/>
            <w:hideMark/>
          </w:tcPr>
          <w:p w14:paraId="0CC63E9A"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Tx</w:t>
            </w:r>
            <w:proofErr w:type="spellEnd"/>
          </w:p>
        </w:tc>
        <w:tc>
          <w:tcPr>
            <w:tcW w:w="900" w:type="dxa"/>
            <w:noWrap/>
            <w:hideMark/>
          </w:tcPr>
          <w:p w14:paraId="2C5C6134" w14:textId="77777777" w:rsidR="001E4494" w:rsidRPr="001E4494" w:rsidRDefault="001E4494" w:rsidP="001E4494">
            <w:pPr>
              <w:jc w:val="center"/>
              <w:rPr>
                <w:rFonts w:ascii="ITC Avant Garde" w:hAnsi="ITC Avant Garde"/>
                <w:i/>
                <w:iCs/>
                <w:color w:val="000000"/>
                <w:sz w:val="14"/>
                <w:szCs w:val="14"/>
                <w:lang w:eastAsia="es-MX"/>
              </w:rPr>
            </w:pPr>
            <w:r w:rsidRPr="001E4494">
              <w:rPr>
                <w:rFonts w:ascii="ITC Avant Garde" w:hAnsi="ITC Avant Garde"/>
                <w:i/>
                <w:iCs/>
                <w:color w:val="000000"/>
                <w:sz w:val="14"/>
                <w:szCs w:val="14"/>
                <w:lang w:eastAsia="es-MX"/>
              </w:rPr>
              <w:t>Circuito</w:t>
            </w:r>
          </w:p>
        </w:tc>
        <w:tc>
          <w:tcPr>
            <w:tcW w:w="900" w:type="dxa"/>
            <w:noWrap/>
            <w:hideMark/>
          </w:tcPr>
          <w:p w14:paraId="6F09D7C3"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Rx</w:t>
            </w:r>
            <w:proofErr w:type="spellEnd"/>
          </w:p>
        </w:tc>
        <w:tc>
          <w:tcPr>
            <w:tcW w:w="900" w:type="dxa"/>
            <w:noWrap/>
            <w:hideMark/>
          </w:tcPr>
          <w:p w14:paraId="67A745CE"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Tx</w:t>
            </w:r>
            <w:proofErr w:type="spellEnd"/>
          </w:p>
        </w:tc>
        <w:tc>
          <w:tcPr>
            <w:tcW w:w="900" w:type="dxa"/>
            <w:noWrap/>
            <w:hideMark/>
          </w:tcPr>
          <w:p w14:paraId="172DD451" w14:textId="77777777" w:rsidR="001E4494" w:rsidRPr="001E4494" w:rsidRDefault="001E4494" w:rsidP="001E4494">
            <w:pPr>
              <w:jc w:val="center"/>
              <w:rPr>
                <w:rFonts w:ascii="ITC Avant Garde" w:hAnsi="ITC Avant Garde"/>
                <w:i/>
                <w:iCs/>
                <w:color w:val="000000"/>
                <w:sz w:val="14"/>
                <w:szCs w:val="14"/>
                <w:lang w:eastAsia="es-MX"/>
              </w:rPr>
            </w:pPr>
            <w:r w:rsidRPr="001E4494">
              <w:rPr>
                <w:rFonts w:ascii="ITC Avant Garde" w:hAnsi="ITC Avant Garde"/>
                <w:i/>
                <w:iCs/>
                <w:color w:val="000000"/>
                <w:sz w:val="14"/>
                <w:szCs w:val="14"/>
                <w:lang w:eastAsia="es-MX"/>
              </w:rPr>
              <w:t>Circuito</w:t>
            </w:r>
          </w:p>
        </w:tc>
        <w:tc>
          <w:tcPr>
            <w:tcW w:w="900" w:type="dxa"/>
            <w:noWrap/>
            <w:hideMark/>
          </w:tcPr>
          <w:p w14:paraId="5436F128"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Rx</w:t>
            </w:r>
            <w:proofErr w:type="spellEnd"/>
          </w:p>
        </w:tc>
        <w:tc>
          <w:tcPr>
            <w:tcW w:w="900" w:type="dxa"/>
            <w:noWrap/>
            <w:hideMark/>
          </w:tcPr>
          <w:p w14:paraId="5ACE5B2E" w14:textId="77777777" w:rsidR="001E4494" w:rsidRPr="001E4494" w:rsidRDefault="001E4494" w:rsidP="001E4494">
            <w:pPr>
              <w:jc w:val="center"/>
              <w:rPr>
                <w:rFonts w:ascii="ITC Avant Garde" w:hAnsi="ITC Avant Garde"/>
                <w:i/>
                <w:iCs/>
                <w:color w:val="000000"/>
                <w:sz w:val="14"/>
                <w:szCs w:val="14"/>
                <w:lang w:eastAsia="es-MX"/>
              </w:rPr>
            </w:pPr>
            <w:proofErr w:type="spellStart"/>
            <w:r w:rsidRPr="001E4494">
              <w:rPr>
                <w:rFonts w:ascii="ITC Avant Garde" w:hAnsi="ITC Avant Garde"/>
                <w:i/>
                <w:iCs/>
                <w:color w:val="000000"/>
                <w:sz w:val="14"/>
                <w:szCs w:val="14"/>
                <w:lang w:eastAsia="es-MX"/>
              </w:rPr>
              <w:t>Tx</w:t>
            </w:r>
            <w:proofErr w:type="spellEnd"/>
          </w:p>
        </w:tc>
      </w:tr>
      <w:tr w:rsidR="001E4494" w:rsidRPr="001E4494" w14:paraId="439861A5" w14:textId="77777777" w:rsidTr="00FE3CB4">
        <w:trPr>
          <w:trHeight w:val="315"/>
          <w:jc w:val="center"/>
        </w:trPr>
        <w:tc>
          <w:tcPr>
            <w:tcW w:w="900" w:type="dxa"/>
            <w:noWrap/>
            <w:hideMark/>
          </w:tcPr>
          <w:p w14:paraId="6A320655"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A</w:t>
            </w:r>
          </w:p>
        </w:tc>
        <w:tc>
          <w:tcPr>
            <w:tcW w:w="900" w:type="dxa"/>
            <w:noWrap/>
            <w:hideMark/>
          </w:tcPr>
          <w:p w14:paraId="1C29D2E2"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411.06875</w:t>
            </w:r>
          </w:p>
        </w:tc>
        <w:tc>
          <w:tcPr>
            <w:tcW w:w="900" w:type="dxa"/>
            <w:noWrap/>
            <w:hideMark/>
          </w:tcPr>
          <w:p w14:paraId="0B8BE014"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421.06875</w:t>
            </w:r>
          </w:p>
        </w:tc>
        <w:tc>
          <w:tcPr>
            <w:tcW w:w="900" w:type="dxa"/>
            <w:noWrap/>
            <w:hideMark/>
          </w:tcPr>
          <w:p w14:paraId="102006AE"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B</w:t>
            </w:r>
          </w:p>
        </w:tc>
        <w:tc>
          <w:tcPr>
            <w:tcW w:w="900" w:type="dxa"/>
            <w:noWrap/>
            <w:hideMark/>
          </w:tcPr>
          <w:p w14:paraId="37AD0984"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411.08125</w:t>
            </w:r>
          </w:p>
        </w:tc>
        <w:tc>
          <w:tcPr>
            <w:tcW w:w="900" w:type="dxa"/>
            <w:noWrap/>
            <w:hideMark/>
          </w:tcPr>
          <w:p w14:paraId="0452F1A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421.08125</w:t>
            </w:r>
          </w:p>
        </w:tc>
        <w:tc>
          <w:tcPr>
            <w:tcW w:w="900" w:type="dxa"/>
            <w:noWrap/>
            <w:hideMark/>
          </w:tcPr>
          <w:p w14:paraId="7D0D98AA"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A</w:t>
            </w:r>
          </w:p>
        </w:tc>
        <w:tc>
          <w:tcPr>
            <w:tcW w:w="900" w:type="dxa"/>
            <w:noWrap/>
            <w:hideMark/>
          </w:tcPr>
          <w:p w14:paraId="0DA69B6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411.09375</w:t>
            </w:r>
          </w:p>
        </w:tc>
        <w:tc>
          <w:tcPr>
            <w:tcW w:w="900" w:type="dxa"/>
            <w:noWrap/>
            <w:hideMark/>
          </w:tcPr>
          <w:p w14:paraId="4BA4C31E"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421.09375</w:t>
            </w:r>
          </w:p>
        </w:tc>
        <w:tc>
          <w:tcPr>
            <w:tcW w:w="900" w:type="dxa"/>
            <w:noWrap/>
            <w:hideMark/>
          </w:tcPr>
          <w:p w14:paraId="0ADE23AD"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B</w:t>
            </w:r>
          </w:p>
        </w:tc>
        <w:tc>
          <w:tcPr>
            <w:tcW w:w="900" w:type="dxa"/>
            <w:noWrap/>
            <w:hideMark/>
          </w:tcPr>
          <w:p w14:paraId="070B6C28"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411.10625</w:t>
            </w:r>
          </w:p>
        </w:tc>
        <w:tc>
          <w:tcPr>
            <w:tcW w:w="900" w:type="dxa"/>
            <w:noWrap/>
            <w:hideMark/>
          </w:tcPr>
          <w:p w14:paraId="5C40F8DF"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421.10625</w:t>
            </w:r>
          </w:p>
        </w:tc>
      </w:tr>
      <w:tr w:rsidR="001E4494" w:rsidRPr="001E4494" w14:paraId="32AB717B" w14:textId="77777777" w:rsidTr="00FE3CB4">
        <w:trPr>
          <w:trHeight w:val="315"/>
          <w:jc w:val="center"/>
        </w:trPr>
        <w:tc>
          <w:tcPr>
            <w:tcW w:w="900" w:type="dxa"/>
            <w:noWrap/>
            <w:hideMark/>
          </w:tcPr>
          <w:p w14:paraId="47E6E097"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C</w:t>
            </w:r>
          </w:p>
        </w:tc>
        <w:tc>
          <w:tcPr>
            <w:tcW w:w="900" w:type="dxa"/>
            <w:noWrap/>
            <w:hideMark/>
          </w:tcPr>
          <w:p w14:paraId="7F42DF0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411.26875</w:t>
            </w:r>
          </w:p>
        </w:tc>
        <w:tc>
          <w:tcPr>
            <w:tcW w:w="900" w:type="dxa"/>
            <w:noWrap/>
            <w:hideMark/>
          </w:tcPr>
          <w:p w14:paraId="437368D6"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421.26875</w:t>
            </w:r>
          </w:p>
        </w:tc>
        <w:tc>
          <w:tcPr>
            <w:tcW w:w="900" w:type="dxa"/>
            <w:noWrap/>
            <w:hideMark/>
          </w:tcPr>
          <w:p w14:paraId="3D89AA4A"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D</w:t>
            </w:r>
          </w:p>
        </w:tc>
        <w:tc>
          <w:tcPr>
            <w:tcW w:w="900" w:type="dxa"/>
            <w:noWrap/>
            <w:hideMark/>
          </w:tcPr>
          <w:p w14:paraId="6556BCD6"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411.28125</w:t>
            </w:r>
          </w:p>
        </w:tc>
        <w:tc>
          <w:tcPr>
            <w:tcW w:w="900" w:type="dxa"/>
            <w:noWrap/>
            <w:hideMark/>
          </w:tcPr>
          <w:p w14:paraId="4B97436B"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421.28125</w:t>
            </w:r>
          </w:p>
        </w:tc>
        <w:tc>
          <w:tcPr>
            <w:tcW w:w="900" w:type="dxa"/>
            <w:noWrap/>
            <w:hideMark/>
          </w:tcPr>
          <w:p w14:paraId="05024C5F"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C</w:t>
            </w:r>
          </w:p>
        </w:tc>
        <w:tc>
          <w:tcPr>
            <w:tcW w:w="900" w:type="dxa"/>
            <w:noWrap/>
            <w:hideMark/>
          </w:tcPr>
          <w:p w14:paraId="44388C96"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411.29375</w:t>
            </w:r>
          </w:p>
        </w:tc>
        <w:tc>
          <w:tcPr>
            <w:tcW w:w="900" w:type="dxa"/>
            <w:noWrap/>
            <w:hideMark/>
          </w:tcPr>
          <w:p w14:paraId="4876398C"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421.29375</w:t>
            </w:r>
          </w:p>
        </w:tc>
        <w:tc>
          <w:tcPr>
            <w:tcW w:w="900" w:type="dxa"/>
            <w:noWrap/>
            <w:hideMark/>
          </w:tcPr>
          <w:p w14:paraId="7A8A8EA4"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D</w:t>
            </w:r>
          </w:p>
        </w:tc>
        <w:tc>
          <w:tcPr>
            <w:tcW w:w="900" w:type="dxa"/>
            <w:noWrap/>
            <w:hideMark/>
          </w:tcPr>
          <w:p w14:paraId="308F212A"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411.30625</w:t>
            </w:r>
          </w:p>
        </w:tc>
        <w:tc>
          <w:tcPr>
            <w:tcW w:w="900" w:type="dxa"/>
            <w:noWrap/>
            <w:hideMark/>
          </w:tcPr>
          <w:p w14:paraId="7DF81E32"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421.30625</w:t>
            </w:r>
          </w:p>
        </w:tc>
      </w:tr>
      <w:tr w:rsidR="001E4494" w:rsidRPr="001E4494" w14:paraId="0C46D191" w14:textId="77777777" w:rsidTr="00FE3CB4">
        <w:trPr>
          <w:trHeight w:val="315"/>
          <w:jc w:val="center"/>
        </w:trPr>
        <w:tc>
          <w:tcPr>
            <w:tcW w:w="900" w:type="dxa"/>
            <w:noWrap/>
            <w:hideMark/>
          </w:tcPr>
          <w:p w14:paraId="762D4556"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lastRenderedPageBreak/>
              <w:t>E</w:t>
            </w:r>
          </w:p>
        </w:tc>
        <w:tc>
          <w:tcPr>
            <w:tcW w:w="900" w:type="dxa"/>
            <w:noWrap/>
            <w:hideMark/>
          </w:tcPr>
          <w:p w14:paraId="41C9E34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411.46875</w:t>
            </w:r>
          </w:p>
        </w:tc>
        <w:tc>
          <w:tcPr>
            <w:tcW w:w="900" w:type="dxa"/>
            <w:noWrap/>
            <w:hideMark/>
          </w:tcPr>
          <w:p w14:paraId="792148D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421.46875</w:t>
            </w:r>
          </w:p>
        </w:tc>
        <w:tc>
          <w:tcPr>
            <w:tcW w:w="900" w:type="dxa"/>
            <w:noWrap/>
            <w:hideMark/>
          </w:tcPr>
          <w:p w14:paraId="0CF4AB2A"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F</w:t>
            </w:r>
          </w:p>
        </w:tc>
        <w:tc>
          <w:tcPr>
            <w:tcW w:w="900" w:type="dxa"/>
            <w:noWrap/>
            <w:hideMark/>
          </w:tcPr>
          <w:p w14:paraId="21572754"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411.48125</w:t>
            </w:r>
          </w:p>
        </w:tc>
        <w:tc>
          <w:tcPr>
            <w:tcW w:w="900" w:type="dxa"/>
            <w:noWrap/>
            <w:hideMark/>
          </w:tcPr>
          <w:p w14:paraId="278C766B"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421.48125</w:t>
            </w:r>
          </w:p>
        </w:tc>
        <w:tc>
          <w:tcPr>
            <w:tcW w:w="900" w:type="dxa"/>
            <w:noWrap/>
            <w:hideMark/>
          </w:tcPr>
          <w:p w14:paraId="52A7A37D"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E</w:t>
            </w:r>
          </w:p>
        </w:tc>
        <w:tc>
          <w:tcPr>
            <w:tcW w:w="900" w:type="dxa"/>
            <w:noWrap/>
            <w:hideMark/>
          </w:tcPr>
          <w:p w14:paraId="0437CA3B"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411.49375</w:t>
            </w:r>
          </w:p>
        </w:tc>
        <w:tc>
          <w:tcPr>
            <w:tcW w:w="900" w:type="dxa"/>
            <w:noWrap/>
            <w:hideMark/>
          </w:tcPr>
          <w:p w14:paraId="6B55E86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421.49375</w:t>
            </w:r>
          </w:p>
        </w:tc>
        <w:tc>
          <w:tcPr>
            <w:tcW w:w="900" w:type="dxa"/>
            <w:noWrap/>
            <w:hideMark/>
          </w:tcPr>
          <w:p w14:paraId="59C20013"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F</w:t>
            </w:r>
          </w:p>
        </w:tc>
        <w:tc>
          <w:tcPr>
            <w:tcW w:w="900" w:type="dxa"/>
            <w:noWrap/>
            <w:hideMark/>
          </w:tcPr>
          <w:p w14:paraId="0289C388"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411.50625</w:t>
            </w:r>
          </w:p>
        </w:tc>
        <w:tc>
          <w:tcPr>
            <w:tcW w:w="900" w:type="dxa"/>
            <w:noWrap/>
            <w:hideMark/>
          </w:tcPr>
          <w:p w14:paraId="7A1ED7B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421.50625</w:t>
            </w:r>
          </w:p>
        </w:tc>
      </w:tr>
      <w:tr w:rsidR="001E4494" w:rsidRPr="001E4494" w14:paraId="3982CBFA" w14:textId="77777777" w:rsidTr="00FE3CB4">
        <w:trPr>
          <w:trHeight w:val="315"/>
          <w:jc w:val="center"/>
        </w:trPr>
        <w:tc>
          <w:tcPr>
            <w:tcW w:w="900" w:type="dxa"/>
            <w:noWrap/>
            <w:hideMark/>
          </w:tcPr>
          <w:p w14:paraId="13E26DBD"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G</w:t>
            </w:r>
          </w:p>
        </w:tc>
        <w:tc>
          <w:tcPr>
            <w:tcW w:w="900" w:type="dxa"/>
            <w:noWrap/>
            <w:hideMark/>
          </w:tcPr>
          <w:p w14:paraId="709898C4"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411.66875</w:t>
            </w:r>
          </w:p>
        </w:tc>
        <w:tc>
          <w:tcPr>
            <w:tcW w:w="900" w:type="dxa"/>
            <w:noWrap/>
            <w:hideMark/>
          </w:tcPr>
          <w:p w14:paraId="29297E62"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421.66875</w:t>
            </w:r>
          </w:p>
        </w:tc>
        <w:tc>
          <w:tcPr>
            <w:tcW w:w="900" w:type="dxa"/>
            <w:noWrap/>
            <w:hideMark/>
          </w:tcPr>
          <w:p w14:paraId="37E22DB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H</w:t>
            </w:r>
          </w:p>
        </w:tc>
        <w:tc>
          <w:tcPr>
            <w:tcW w:w="900" w:type="dxa"/>
            <w:noWrap/>
            <w:hideMark/>
          </w:tcPr>
          <w:p w14:paraId="7B00EDEA"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411.68125</w:t>
            </w:r>
          </w:p>
        </w:tc>
        <w:tc>
          <w:tcPr>
            <w:tcW w:w="900" w:type="dxa"/>
            <w:noWrap/>
            <w:hideMark/>
          </w:tcPr>
          <w:p w14:paraId="6DB436CC"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421.68125</w:t>
            </w:r>
          </w:p>
        </w:tc>
        <w:tc>
          <w:tcPr>
            <w:tcW w:w="900" w:type="dxa"/>
            <w:noWrap/>
            <w:hideMark/>
          </w:tcPr>
          <w:p w14:paraId="35A715A3"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G</w:t>
            </w:r>
          </w:p>
        </w:tc>
        <w:tc>
          <w:tcPr>
            <w:tcW w:w="900" w:type="dxa"/>
            <w:noWrap/>
            <w:hideMark/>
          </w:tcPr>
          <w:p w14:paraId="65F5ECD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411.69375</w:t>
            </w:r>
          </w:p>
        </w:tc>
        <w:tc>
          <w:tcPr>
            <w:tcW w:w="900" w:type="dxa"/>
            <w:noWrap/>
            <w:hideMark/>
          </w:tcPr>
          <w:p w14:paraId="268C2A7C"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421.69375</w:t>
            </w:r>
          </w:p>
        </w:tc>
        <w:tc>
          <w:tcPr>
            <w:tcW w:w="900" w:type="dxa"/>
            <w:noWrap/>
            <w:hideMark/>
          </w:tcPr>
          <w:p w14:paraId="6A468EDE"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H</w:t>
            </w:r>
          </w:p>
        </w:tc>
        <w:tc>
          <w:tcPr>
            <w:tcW w:w="900" w:type="dxa"/>
            <w:noWrap/>
            <w:hideMark/>
          </w:tcPr>
          <w:p w14:paraId="2FE3C0DA"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411.70625</w:t>
            </w:r>
          </w:p>
        </w:tc>
        <w:tc>
          <w:tcPr>
            <w:tcW w:w="900" w:type="dxa"/>
            <w:noWrap/>
            <w:hideMark/>
          </w:tcPr>
          <w:p w14:paraId="4F6A3BBE"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421.70625</w:t>
            </w:r>
          </w:p>
        </w:tc>
      </w:tr>
      <w:tr w:rsidR="001E4494" w:rsidRPr="001E4494" w14:paraId="1D92C949" w14:textId="77777777" w:rsidTr="00FE3CB4">
        <w:trPr>
          <w:trHeight w:val="315"/>
          <w:jc w:val="center"/>
        </w:trPr>
        <w:tc>
          <w:tcPr>
            <w:tcW w:w="900" w:type="dxa"/>
            <w:noWrap/>
            <w:hideMark/>
          </w:tcPr>
          <w:p w14:paraId="69D81B7F"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I</w:t>
            </w:r>
          </w:p>
        </w:tc>
        <w:tc>
          <w:tcPr>
            <w:tcW w:w="900" w:type="dxa"/>
            <w:noWrap/>
            <w:hideMark/>
          </w:tcPr>
          <w:p w14:paraId="22A3C3A3"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411.86875</w:t>
            </w:r>
          </w:p>
        </w:tc>
        <w:tc>
          <w:tcPr>
            <w:tcW w:w="900" w:type="dxa"/>
            <w:noWrap/>
            <w:hideMark/>
          </w:tcPr>
          <w:p w14:paraId="7F94F849"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421.86875</w:t>
            </w:r>
          </w:p>
        </w:tc>
        <w:tc>
          <w:tcPr>
            <w:tcW w:w="900" w:type="dxa"/>
            <w:noWrap/>
            <w:hideMark/>
          </w:tcPr>
          <w:p w14:paraId="110611F1"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J</w:t>
            </w:r>
          </w:p>
        </w:tc>
        <w:tc>
          <w:tcPr>
            <w:tcW w:w="900" w:type="dxa"/>
            <w:noWrap/>
            <w:hideMark/>
          </w:tcPr>
          <w:p w14:paraId="30EB031F"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411.88125</w:t>
            </w:r>
          </w:p>
        </w:tc>
        <w:tc>
          <w:tcPr>
            <w:tcW w:w="900" w:type="dxa"/>
            <w:noWrap/>
            <w:hideMark/>
          </w:tcPr>
          <w:p w14:paraId="42E39B6C"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421.88125</w:t>
            </w:r>
          </w:p>
        </w:tc>
        <w:tc>
          <w:tcPr>
            <w:tcW w:w="900" w:type="dxa"/>
            <w:noWrap/>
            <w:hideMark/>
          </w:tcPr>
          <w:p w14:paraId="30CE4BF0"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I</w:t>
            </w:r>
          </w:p>
        </w:tc>
        <w:tc>
          <w:tcPr>
            <w:tcW w:w="900" w:type="dxa"/>
            <w:noWrap/>
            <w:hideMark/>
          </w:tcPr>
          <w:p w14:paraId="7543F786"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411.89375</w:t>
            </w:r>
          </w:p>
        </w:tc>
        <w:tc>
          <w:tcPr>
            <w:tcW w:w="900" w:type="dxa"/>
            <w:noWrap/>
            <w:hideMark/>
          </w:tcPr>
          <w:p w14:paraId="4B7BB881"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421.89375</w:t>
            </w:r>
          </w:p>
        </w:tc>
        <w:tc>
          <w:tcPr>
            <w:tcW w:w="900" w:type="dxa"/>
            <w:noWrap/>
            <w:hideMark/>
          </w:tcPr>
          <w:p w14:paraId="64620B32"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J</w:t>
            </w:r>
          </w:p>
        </w:tc>
        <w:tc>
          <w:tcPr>
            <w:tcW w:w="900" w:type="dxa"/>
            <w:noWrap/>
            <w:hideMark/>
          </w:tcPr>
          <w:p w14:paraId="2054714E"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411.90625</w:t>
            </w:r>
          </w:p>
        </w:tc>
        <w:tc>
          <w:tcPr>
            <w:tcW w:w="900" w:type="dxa"/>
            <w:noWrap/>
            <w:hideMark/>
          </w:tcPr>
          <w:p w14:paraId="628B85A4" w14:textId="77777777" w:rsidR="001E4494" w:rsidRPr="001E4494" w:rsidRDefault="001E4494" w:rsidP="001E4494">
            <w:pPr>
              <w:jc w:val="center"/>
              <w:rPr>
                <w:rFonts w:ascii="ITC Avant Garde" w:hAnsi="ITC Avant Garde"/>
                <w:color w:val="000000"/>
                <w:sz w:val="14"/>
                <w:szCs w:val="14"/>
                <w:lang w:eastAsia="es-MX"/>
              </w:rPr>
            </w:pPr>
            <w:r w:rsidRPr="001E4494">
              <w:rPr>
                <w:rFonts w:ascii="ITC Avant Garde" w:hAnsi="ITC Avant Garde"/>
                <w:color w:val="000000"/>
                <w:sz w:val="14"/>
                <w:szCs w:val="14"/>
                <w:lang w:eastAsia="es-MX"/>
              </w:rPr>
              <w:t>421.90625</w:t>
            </w:r>
          </w:p>
        </w:tc>
      </w:tr>
    </w:tbl>
    <w:p w14:paraId="275768C6" w14:textId="77777777" w:rsidR="00FE3CB4" w:rsidRDefault="00FE3CB4" w:rsidP="00D64290">
      <w:pPr>
        <w:ind w:left="360"/>
        <w:jc w:val="center"/>
        <w:rPr>
          <w:rFonts w:ascii="ITC Avant Garde" w:hAnsi="ITC Avant Garde"/>
          <w:b/>
          <w:sz w:val="22"/>
          <w:szCs w:val="22"/>
        </w:rPr>
      </w:pPr>
    </w:p>
    <w:p w14:paraId="3345A030" w14:textId="2618AE17" w:rsidR="00D64290" w:rsidRPr="00525DB6" w:rsidRDefault="00D64290" w:rsidP="00D64290">
      <w:pPr>
        <w:ind w:left="360"/>
        <w:jc w:val="center"/>
        <w:rPr>
          <w:rFonts w:ascii="ITC Avant Garde" w:hAnsi="ITC Avant Garde"/>
          <w:b/>
          <w:sz w:val="22"/>
          <w:szCs w:val="22"/>
        </w:rPr>
      </w:pPr>
      <w:r w:rsidRPr="00525DB6">
        <w:rPr>
          <w:rFonts w:ascii="ITC Avant Garde" w:hAnsi="ITC Avant Garde"/>
          <w:b/>
          <w:sz w:val="22"/>
          <w:szCs w:val="22"/>
        </w:rPr>
        <w:t>Tabla 2.2</w:t>
      </w:r>
    </w:p>
    <w:p w14:paraId="111F2C07" w14:textId="77777777" w:rsidR="00D64290" w:rsidRPr="00525DB6" w:rsidRDefault="00D64290" w:rsidP="00D64290">
      <w:pPr>
        <w:jc w:val="both"/>
        <w:rPr>
          <w:rFonts w:ascii="ITC Avant Garde" w:hAnsi="ITC Avant Garde"/>
          <w:sz w:val="22"/>
          <w:szCs w:val="22"/>
        </w:rPr>
      </w:pPr>
    </w:p>
    <w:p w14:paraId="73E8D32B" w14:textId="4E8630B1" w:rsidR="00D64290" w:rsidRPr="00525DB6" w:rsidRDefault="00D64290" w:rsidP="00D64290">
      <w:pPr>
        <w:jc w:val="both"/>
        <w:rPr>
          <w:rFonts w:ascii="ITC Avant Garde" w:hAnsi="ITC Avant Garde"/>
          <w:sz w:val="22"/>
          <w:szCs w:val="22"/>
        </w:rPr>
      </w:pPr>
      <w:r w:rsidRPr="00525DB6">
        <w:rPr>
          <w:rFonts w:ascii="ITC Avant Garde" w:hAnsi="ITC Avant Garde"/>
          <w:sz w:val="22"/>
          <w:szCs w:val="22"/>
        </w:rPr>
        <w:t xml:space="preserve">Grupos de Frecuencia en la banda de 400 MHz para una </w:t>
      </w:r>
      <w:r w:rsidRPr="00525DB6">
        <w:rPr>
          <w:rFonts w:ascii="ITC Avant Garde" w:hAnsi="ITC Avant Garde"/>
          <w:b/>
          <w:sz w:val="22"/>
          <w:szCs w:val="22"/>
          <w:u w:val="single"/>
        </w:rPr>
        <w:t>canalización de 25 kHz</w:t>
      </w:r>
      <w:r w:rsidRPr="00525DB6">
        <w:rPr>
          <w:rFonts w:ascii="ITC Avant Garde" w:hAnsi="ITC Avant Garde"/>
          <w:sz w:val="22"/>
          <w:szCs w:val="22"/>
        </w:rPr>
        <w:t xml:space="preserve"> (donde la frecuencia de </w:t>
      </w:r>
      <w:proofErr w:type="spellStart"/>
      <w:r w:rsidRPr="00525DB6">
        <w:rPr>
          <w:rFonts w:ascii="ITC Avant Garde" w:hAnsi="ITC Avant Garde"/>
          <w:sz w:val="22"/>
          <w:szCs w:val="22"/>
        </w:rPr>
        <w:t>Tx</w:t>
      </w:r>
      <w:proofErr w:type="spellEnd"/>
      <w:r w:rsidRPr="00525DB6">
        <w:rPr>
          <w:rFonts w:ascii="ITC Avant Garde" w:hAnsi="ITC Avant Garde"/>
          <w:sz w:val="22"/>
          <w:szCs w:val="22"/>
        </w:rPr>
        <w:t xml:space="preserve"> corresponde a la estación transmisora).</w:t>
      </w:r>
    </w:p>
    <w:p w14:paraId="3948A744" w14:textId="77777777" w:rsidR="00D64290" w:rsidRPr="00525DB6" w:rsidRDefault="00D64290" w:rsidP="00F8090D">
      <w:pPr>
        <w:rPr>
          <w:rFonts w:ascii="ITC Avant Garde" w:hAnsi="ITC Avant Garde"/>
          <w:sz w:val="22"/>
          <w:szCs w:val="22"/>
        </w:rPr>
      </w:pPr>
    </w:p>
    <w:tbl>
      <w:tblPr>
        <w:tblStyle w:val="Cuadrculadetablaclara"/>
        <w:tblW w:w="4815" w:type="dxa"/>
        <w:jc w:val="center"/>
        <w:tblLook w:val="04A0" w:firstRow="1" w:lastRow="0" w:firstColumn="1" w:lastColumn="0" w:noHBand="0" w:noVBand="1"/>
        <w:tblCaption w:val="Grupos de Frecuencia en la banda de 400 MHz para una canalización de 25 kHz "/>
        <w:tblDescription w:val="Donde la frecuencia de Tx corresponde a la estación transmisora."/>
      </w:tblPr>
      <w:tblGrid>
        <w:gridCol w:w="840"/>
        <w:gridCol w:w="840"/>
        <w:gridCol w:w="840"/>
        <w:gridCol w:w="743"/>
        <w:gridCol w:w="701"/>
        <w:gridCol w:w="851"/>
      </w:tblGrid>
      <w:tr w:rsidR="00FE3CB4" w:rsidRPr="00870BEA" w14:paraId="66AFBD93" w14:textId="77777777" w:rsidTr="00FE3CB4">
        <w:trPr>
          <w:trHeight w:val="315"/>
          <w:tblHeader/>
          <w:jc w:val="center"/>
        </w:trPr>
        <w:tc>
          <w:tcPr>
            <w:tcW w:w="840" w:type="dxa"/>
            <w:shd w:val="clear" w:color="auto" w:fill="A6A6A6" w:themeFill="background1" w:themeFillShade="A6"/>
            <w:noWrap/>
            <w:hideMark/>
          </w:tcPr>
          <w:p w14:paraId="530EA2CB"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9</w:t>
            </w:r>
          </w:p>
        </w:tc>
        <w:tc>
          <w:tcPr>
            <w:tcW w:w="840" w:type="dxa"/>
            <w:shd w:val="clear" w:color="auto" w:fill="A6A6A6" w:themeFill="background1" w:themeFillShade="A6"/>
            <w:noWrap/>
            <w:hideMark/>
          </w:tcPr>
          <w:p w14:paraId="7388256D"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9</w:t>
            </w:r>
          </w:p>
        </w:tc>
        <w:tc>
          <w:tcPr>
            <w:tcW w:w="840" w:type="dxa"/>
            <w:shd w:val="clear" w:color="auto" w:fill="A6A6A6" w:themeFill="background1" w:themeFillShade="A6"/>
            <w:noWrap/>
            <w:hideMark/>
          </w:tcPr>
          <w:p w14:paraId="4910C514"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9</w:t>
            </w:r>
          </w:p>
        </w:tc>
        <w:tc>
          <w:tcPr>
            <w:tcW w:w="743" w:type="dxa"/>
            <w:shd w:val="clear" w:color="auto" w:fill="A6A6A6" w:themeFill="background1" w:themeFillShade="A6"/>
            <w:noWrap/>
            <w:hideMark/>
          </w:tcPr>
          <w:p w14:paraId="23655B1F"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10</w:t>
            </w:r>
          </w:p>
        </w:tc>
        <w:tc>
          <w:tcPr>
            <w:tcW w:w="701" w:type="dxa"/>
            <w:shd w:val="clear" w:color="auto" w:fill="A6A6A6" w:themeFill="background1" w:themeFillShade="A6"/>
            <w:noWrap/>
            <w:hideMark/>
          </w:tcPr>
          <w:p w14:paraId="0265795A"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10</w:t>
            </w:r>
          </w:p>
        </w:tc>
        <w:tc>
          <w:tcPr>
            <w:tcW w:w="851" w:type="dxa"/>
            <w:shd w:val="clear" w:color="auto" w:fill="A6A6A6" w:themeFill="background1" w:themeFillShade="A6"/>
            <w:noWrap/>
            <w:hideMark/>
          </w:tcPr>
          <w:p w14:paraId="09ED10F2"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10</w:t>
            </w:r>
          </w:p>
        </w:tc>
      </w:tr>
      <w:tr w:rsidR="00870BEA" w:rsidRPr="00870BEA" w14:paraId="27D83D83" w14:textId="77777777" w:rsidTr="00FE3CB4">
        <w:trPr>
          <w:trHeight w:val="315"/>
          <w:jc w:val="center"/>
        </w:trPr>
        <w:tc>
          <w:tcPr>
            <w:tcW w:w="840" w:type="dxa"/>
            <w:noWrap/>
            <w:hideMark/>
          </w:tcPr>
          <w:p w14:paraId="7F08A0EF" w14:textId="77777777" w:rsidR="00870BEA" w:rsidRPr="00870BEA" w:rsidRDefault="00870BEA" w:rsidP="00870BEA">
            <w:pPr>
              <w:jc w:val="center"/>
              <w:rPr>
                <w:rFonts w:ascii="ITC Avant Garde" w:hAnsi="ITC Avant Garde"/>
                <w:i/>
                <w:iCs/>
                <w:color w:val="000000"/>
                <w:sz w:val="14"/>
                <w:szCs w:val="14"/>
                <w:lang w:eastAsia="es-MX"/>
              </w:rPr>
            </w:pPr>
            <w:r w:rsidRPr="00870BEA">
              <w:rPr>
                <w:rFonts w:ascii="ITC Avant Garde" w:hAnsi="ITC Avant Garde"/>
                <w:i/>
                <w:iCs/>
                <w:color w:val="000000"/>
                <w:sz w:val="14"/>
                <w:szCs w:val="14"/>
                <w:lang w:eastAsia="es-MX"/>
              </w:rPr>
              <w:t>Circuito</w:t>
            </w:r>
          </w:p>
        </w:tc>
        <w:tc>
          <w:tcPr>
            <w:tcW w:w="840" w:type="dxa"/>
            <w:noWrap/>
            <w:hideMark/>
          </w:tcPr>
          <w:p w14:paraId="0912DB00" w14:textId="77777777" w:rsidR="00870BEA" w:rsidRPr="00870BEA" w:rsidRDefault="00870BEA" w:rsidP="00870BEA">
            <w:pPr>
              <w:jc w:val="center"/>
              <w:rPr>
                <w:rFonts w:ascii="ITC Avant Garde" w:hAnsi="ITC Avant Garde"/>
                <w:i/>
                <w:iCs/>
                <w:color w:val="000000"/>
                <w:sz w:val="14"/>
                <w:szCs w:val="14"/>
                <w:lang w:eastAsia="es-MX"/>
              </w:rPr>
            </w:pPr>
            <w:proofErr w:type="spellStart"/>
            <w:r w:rsidRPr="00870BEA">
              <w:rPr>
                <w:rFonts w:ascii="ITC Avant Garde" w:hAnsi="ITC Avant Garde"/>
                <w:i/>
                <w:iCs/>
                <w:color w:val="000000"/>
                <w:sz w:val="14"/>
                <w:szCs w:val="14"/>
                <w:lang w:eastAsia="es-MX"/>
              </w:rPr>
              <w:t>Rx</w:t>
            </w:r>
            <w:proofErr w:type="spellEnd"/>
          </w:p>
        </w:tc>
        <w:tc>
          <w:tcPr>
            <w:tcW w:w="840" w:type="dxa"/>
            <w:noWrap/>
            <w:hideMark/>
          </w:tcPr>
          <w:p w14:paraId="33685150" w14:textId="77777777" w:rsidR="00870BEA" w:rsidRPr="00870BEA" w:rsidRDefault="00870BEA" w:rsidP="00870BEA">
            <w:pPr>
              <w:jc w:val="center"/>
              <w:rPr>
                <w:rFonts w:ascii="ITC Avant Garde" w:hAnsi="ITC Avant Garde"/>
                <w:i/>
                <w:iCs/>
                <w:color w:val="000000"/>
                <w:sz w:val="14"/>
                <w:szCs w:val="14"/>
                <w:lang w:eastAsia="es-MX"/>
              </w:rPr>
            </w:pPr>
            <w:proofErr w:type="spellStart"/>
            <w:r w:rsidRPr="00870BEA">
              <w:rPr>
                <w:rFonts w:ascii="ITC Avant Garde" w:hAnsi="ITC Avant Garde"/>
                <w:i/>
                <w:iCs/>
                <w:color w:val="000000"/>
                <w:sz w:val="14"/>
                <w:szCs w:val="14"/>
                <w:lang w:eastAsia="es-MX"/>
              </w:rPr>
              <w:t>Tx</w:t>
            </w:r>
            <w:proofErr w:type="spellEnd"/>
          </w:p>
        </w:tc>
        <w:tc>
          <w:tcPr>
            <w:tcW w:w="743" w:type="dxa"/>
            <w:hideMark/>
          </w:tcPr>
          <w:p w14:paraId="44043A63" w14:textId="77777777" w:rsidR="00870BEA" w:rsidRPr="00870BEA" w:rsidRDefault="00870BEA" w:rsidP="00870BEA">
            <w:pPr>
              <w:jc w:val="center"/>
              <w:rPr>
                <w:rFonts w:ascii="ITC Avant Garde" w:hAnsi="ITC Avant Garde"/>
                <w:i/>
                <w:iCs/>
                <w:color w:val="000000"/>
                <w:sz w:val="14"/>
                <w:szCs w:val="14"/>
                <w:lang w:eastAsia="es-MX"/>
              </w:rPr>
            </w:pPr>
            <w:r w:rsidRPr="00870BEA">
              <w:rPr>
                <w:rFonts w:ascii="ITC Avant Garde" w:hAnsi="ITC Avant Garde"/>
                <w:i/>
                <w:iCs/>
                <w:color w:val="000000"/>
                <w:sz w:val="14"/>
                <w:szCs w:val="14"/>
                <w:lang w:eastAsia="es-MX"/>
              </w:rPr>
              <w:t>Circuito</w:t>
            </w:r>
          </w:p>
        </w:tc>
        <w:tc>
          <w:tcPr>
            <w:tcW w:w="701" w:type="dxa"/>
            <w:noWrap/>
            <w:hideMark/>
          </w:tcPr>
          <w:p w14:paraId="7140B703" w14:textId="77777777" w:rsidR="00870BEA" w:rsidRPr="00870BEA" w:rsidRDefault="00870BEA" w:rsidP="00870BEA">
            <w:pPr>
              <w:jc w:val="center"/>
              <w:rPr>
                <w:rFonts w:ascii="ITC Avant Garde" w:hAnsi="ITC Avant Garde"/>
                <w:i/>
                <w:iCs/>
                <w:color w:val="000000"/>
                <w:sz w:val="14"/>
                <w:szCs w:val="14"/>
                <w:lang w:eastAsia="es-MX"/>
              </w:rPr>
            </w:pPr>
            <w:proofErr w:type="spellStart"/>
            <w:r w:rsidRPr="00870BEA">
              <w:rPr>
                <w:rFonts w:ascii="ITC Avant Garde" w:hAnsi="ITC Avant Garde"/>
                <w:i/>
                <w:iCs/>
                <w:color w:val="000000"/>
                <w:sz w:val="14"/>
                <w:szCs w:val="14"/>
                <w:lang w:eastAsia="es-MX"/>
              </w:rPr>
              <w:t>Rx</w:t>
            </w:r>
            <w:proofErr w:type="spellEnd"/>
          </w:p>
        </w:tc>
        <w:tc>
          <w:tcPr>
            <w:tcW w:w="851" w:type="dxa"/>
            <w:noWrap/>
            <w:hideMark/>
          </w:tcPr>
          <w:p w14:paraId="5AB9E021" w14:textId="77777777" w:rsidR="00870BEA" w:rsidRPr="00870BEA" w:rsidRDefault="00870BEA" w:rsidP="00870BEA">
            <w:pPr>
              <w:jc w:val="center"/>
              <w:rPr>
                <w:rFonts w:ascii="ITC Avant Garde" w:hAnsi="ITC Avant Garde"/>
                <w:i/>
                <w:iCs/>
                <w:color w:val="000000"/>
                <w:sz w:val="14"/>
                <w:szCs w:val="14"/>
                <w:lang w:eastAsia="es-MX"/>
              </w:rPr>
            </w:pPr>
            <w:proofErr w:type="spellStart"/>
            <w:r w:rsidRPr="00870BEA">
              <w:rPr>
                <w:rFonts w:ascii="ITC Avant Garde" w:hAnsi="ITC Avant Garde"/>
                <w:i/>
                <w:iCs/>
                <w:color w:val="000000"/>
                <w:sz w:val="14"/>
                <w:szCs w:val="14"/>
                <w:lang w:eastAsia="es-MX"/>
              </w:rPr>
              <w:t>Tx</w:t>
            </w:r>
            <w:proofErr w:type="spellEnd"/>
          </w:p>
        </w:tc>
      </w:tr>
      <w:tr w:rsidR="00870BEA" w:rsidRPr="00870BEA" w14:paraId="64A5B2A6" w14:textId="77777777" w:rsidTr="00FE3CB4">
        <w:trPr>
          <w:trHeight w:val="315"/>
          <w:jc w:val="center"/>
        </w:trPr>
        <w:tc>
          <w:tcPr>
            <w:tcW w:w="840" w:type="dxa"/>
            <w:noWrap/>
            <w:hideMark/>
          </w:tcPr>
          <w:p w14:paraId="2DBC972B"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1</w:t>
            </w:r>
          </w:p>
        </w:tc>
        <w:tc>
          <w:tcPr>
            <w:tcW w:w="840" w:type="dxa"/>
            <w:noWrap/>
            <w:hideMark/>
          </w:tcPr>
          <w:p w14:paraId="37001886"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411.025</w:t>
            </w:r>
          </w:p>
        </w:tc>
        <w:tc>
          <w:tcPr>
            <w:tcW w:w="840" w:type="dxa"/>
            <w:noWrap/>
            <w:hideMark/>
          </w:tcPr>
          <w:p w14:paraId="19B9A699"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421.025</w:t>
            </w:r>
          </w:p>
        </w:tc>
        <w:tc>
          <w:tcPr>
            <w:tcW w:w="743" w:type="dxa"/>
            <w:hideMark/>
          </w:tcPr>
          <w:p w14:paraId="0238EDDD"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1</w:t>
            </w:r>
          </w:p>
        </w:tc>
        <w:tc>
          <w:tcPr>
            <w:tcW w:w="701" w:type="dxa"/>
            <w:noWrap/>
            <w:hideMark/>
          </w:tcPr>
          <w:p w14:paraId="5D09E630"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411.05</w:t>
            </w:r>
          </w:p>
        </w:tc>
        <w:tc>
          <w:tcPr>
            <w:tcW w:w="851" w:type="dxa"/>
            <w:noWrap/>
            <w:hideMark/>
          </w:tcPr>
          <w:p w14:paraId="5FD0B467"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421.05</w:t>
            </w:r>
          </w:p>
        </w:tc>
      </w:tr>
      <w:tr w:rsidR="00870BEA" w:rsidRPr="00870BEA" w14:paraId="0B676449" w14:textId="77777777" w:rsidTr="00FE3CB4">
        <w:trPr>
          <w:trHeight w:val="315"/>
          <w:jc w:val="center"/>
        </w:trPr>
        <w:tc>
          <w:tcPr>
            <w:tcW w:w="840" w:type="dxa"/>
            <w:noWrap/>
            <w:hideMark/>
          </w:tcPr>
          <w:p w14:paraId="43C38556"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2</w:t>
            </w:r>
          </w:p>
        </w:tc>
        <w:tc>
          <w:tcPr>
            <w:tcW w:w="840" w:type="dxa"/>
            <w:noWrap/>
            <w:hideMark/>
          </w:tcPr>
          <w:p w14:paraId="3EDF17D3"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411.225</w:t>
            </w:r>
          </w:p>
        </w:tc>
        <w:tc>
          <w:tcPr>
            <w:tcW w:w="840" w:type="dxa"/>
            <w:noWrap/>
            <w:hideMark/>
          </w:tcPr>
          <w:p w14:paraId="0FA1BC7E"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421.225</w:t>
            </w:r>
          </w:p>
        </w:tc>
        <w:tc>
          <w:tcPr>
            <w:tcW w:w="743" w:type="dxa"/>
            <w:hideMark/>
          </w:tcPr>
          <w:p w14:paraId="4AC8E226"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2</w:t>
            </w:r>
          </w:p>
        </w:tc>
        <w:tc>
          <w:tcPr>
            <w:tcW w:w="701" w:type="dxa"/>
            <w:noWrap/>
            <w:hideMark/>
          </w:tcPr>
          <w:p w14:paraId="1798A45F"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411.25</w:t>
            </w:r>
          </w:p>
        </w:tc>
        <w:tc>
          <w:tcPr>
            <w:tcW w:w="851" w:type="dxa"/>
            <w:noWrap/>
            <w:hideMark/>
          </w:tcPr>
          <w:p w14:paraId="55E69ED0"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421.25</w:t>
            </w:r>
          </w:p>
        </w:tc>
      </w:tr>
      <w:tr w:rsidR="00870BEA" w:rsidRPr="00870BEA" w14:paraId="0B3F9A2A" w14:textId="77777777" w:rsidTr="00FE3CB4">
        <w:trPr>
          <w:trHeight w:val="315"/>
          <w:jc w:val="center"/>
        </w:trPr>
        <w:tc>
          <w:tcPr>
            <w:tcW w:w="840" w:type="dxa"/>
            <w:noWrap/>
            <w:hideMark/>
          </w:tcPr>
          <w:p w14:paraId="187F0C61"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3</w:t>
            </w:r>
          </w:p>
        </w:tc>
        <w:tc>
          <w:tcPr>
            <w:tcW w:w="840" w:type="dxa"/>
            <w:noWrap/>
            <w:hideMark/>
          </w:tcPr>
          <w:p w14:paraId="5D0AA021"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411.425</w:t>
            </w:r>
          </w:p>
        </w:tc>
        <w:tc>
          <w:tcPr>
            <w:tcW w:w="840" w:type="dxa"/>
            <w:noWrap/>
            <w:hideMark/>
          </w:tcPr>
          <w:p w14:paraId="7BAE0959"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421.425</w:t>
            </w:r>
          </w:p>
        </w:tc>
        <w:tc>
          <w:tcPr>
            <w:tcW w:w="743" w:type="dxa"/>
            <w:hideMark/>
          </w:tcPr>
          <w:p w14:paraId="5EA982BB"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3</w:t>
            </w:r>
          </w:p>
        </w:tc>
        <w:tc>
          <w:tcPr>
            <w:tcW w:w="701" w:type="dxa"/>
            <w:noWrap/>
            <w:hideMark/>
          </w:tcPr>
          <w:p w14:paraId="28093340"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411.45</w:t>
            </w:r>
          </w:p>
        </w:tc>
        <w:tc>
          <w:tcPr>
            <w:tcW w:w="851" w:type="dxa"/>
            <w:noWrap/>
            <w:hideMark/>
          </w:tcPr>
          <w:p w14:paraId="03FFE6A2"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421.45</w:t>
            </w:r>
          </w:p>
        </w:tc>
      </w:tr>
      <w:tr w:rsidR="00870BEA" w:rsidRPr="00870BEA" w14:paraId="4E63AC66" w14:textId="77777777" w:rsidTr="00FE3CB4">
        <w:trPr>
          <w:trHeight w:val="315"/>
          <w:jc w:val="center"/>
        </w:trPr>
        <w:tc>
          <w:tcPr>
            <w:tcW w:w="840" w:type="dxa"/>
            <w:noWrap/>
            <w:hideMark/>
          </w:tcPr>
          <w:p w14:paraId="2209F169"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w:t>
            </w:r>
          </w:p>
        </w:tc>
        <w:tc>
          <w:tcPr>
            <w:tcW w:w="840" w:type="dxa"/>
            <w:noWrap/>
            <w:hideMark/>
          </w:tcPr>
          <w:p w14:paraId="727F0CCD"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411.625</w:t>
            </w:r>
          </w:p>
        </w:tc>
        <w:tc>
          <w:tcPr>
            <w:tcW w:w="840" w:type="dxa"/>
            <w:noWrap/>
            <w:hideMark/>
          </w:tcPr>
          <w:p w14:paraId="0F1B1581"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421.625</w:t>
            </w:r>
          </w:p>
        </w:tc>
        <w:tc>
          <w:tcPr>
            <w:tcW w:w="743" w:type="dxa"/>
            <w:hideMark/>
          </w:tcPr>
          <w:p w14:paraId="1D14A140"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w:t>
            </w:r>
          </w:p>
        </w:tc>
        <w:tc>
          <w:tcPr>
            <w:tcW w:w="701" w:type="dxa"/>
            <w:noWrap/>
            <w:hideMark/>
          </w:tcPr>
          <w:p w14:paraId="3B7ACE3F"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411.65</w:t>
            </w:r>
          </w:p>
        </w:tc>
        <w:tc>
          <w:tcPr>
            <w:tcW w:w="851" w:type="dxa"/>
            <w:noWrap/>
            <w:hideMark/>
          </w:tcPr>
          <w:p w14:paraId="714710FD"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421.65</w:t>
            </w:r>
          </w:p>
        </w:tc>
      </w:tr>
      <w:tr w:rsidR="00870BEA" w:rsidRPr="00870BEA" w14:paraId="19D8C7DC" w14:textId="77777777" w:rsidTr="00FE3CB4">
        <w:trPr>
          <w:trHeight w:val="315"/>
          <w:jc w:val="center"/>
        </w:trPr>
        <w:tc>
          <w:tcPr>
            <w:tcW w:w="840" w:type="dxa"/>
            <w:noWrap/>
            <w:hideMark/>
          </w:tcPr>
          <w:p w14:paraId="60D9B3DF"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5</w:t>
            </w:r>
          </w:p>
        </w:tc>
        <w:tc>
          <w:tcPr>
            <w:tcW w:w="840" w:type="dxa"/>
            <w:noWrap/>
            <w:hideMark/>
          </w:tcPr>
          <w:p w14:paraId="1AD664A8"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411.825</w:t>
            </w:r>
          </w:p>
        </w:tc>
        <w:tc>
          <w:tcPr>
            <w:tcW w:w="840" w:type="dxa"/>
            <w:noWrap/>
            <w:hideMark/>
          </w:tcPr>
          <w:p w14:paraId="2DE03110"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421.825</w:t>
            </w:r>
          </w:p>
        </w:tc>
        <w:tc>
          <w:tcPr>
            <w:tcW w:w="743" w:type="dxa"/>
            <w:hideMark/>
          </w:tcPr>
          <w:p w14:paraId="0CC6F6DA"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5</w:t>
            </w:r>
          </w:p>
        </w:tc>
        <w:tc>
          <w:tcPr>
            <w:tcW w:w="701" w:type="dxa"/>
            <w:noWrap/>
            <w:hideMark/>
          </w:tcPr>
          <w:p w14:paraId="47F8B9F9"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411.85</w:t>
            </w:r>
          </w:p>
        </w:tc>
        <w:tc>
          <w:tcPr>
            <w:tcW w:w="851" w:type="dxa"/>
            <w:noWrap/>
            <w:hideMark/>
          </w:tcPr>
          <w:p w14:paraId="2C0368D0"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421.85</w:t>
            </w:r>
          </w:p>
        </w:tc>
      </w:tr>
      <w:tr w:rsidR="00FE3CB4" w:rsidRPr="00870BEA" w14:paraId="6013D38B" w14:textId="77777777" w:rsidTr="00FE3CB4">
        <w:trPr>
          <w:trHeight w:val="315"/>
          <w:jc w:val="center"/>
        </w:trPr>
        <w:tc>
          <w:tcPr>
            <w:tcW w:w="840" w:type="dxa"/>
            <w:shd w:val="clear" w:color="auto" w:fill="A6A6A6" w:themeFill="background1" w:themeFillShade="A6"/>
            <w:noWrap/>
            <w:hideMark/>
          </w:tcPr>
          <w:p w14:paraId="2C7803A9"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11</w:t>
            </w:r>
          </w:p>
        </w:tc>
        <w:tc>
          <w:tcPr>
            <w:tcW w:w="840" w:type="dxa"/>
            <w:shd w:val="clear" w:color="auto" w:fill="A6A6A6" w:themeFill="background1" w:themeFillShade="A6"/>
            <w:noWrap/>
            <w:hideMark/>
          </w:tcPr>
          <w:p w14:paraId="133141D7"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11</w:t>
            </w:r>
          </w:p>
        </w:tc>
        <w:tc>
          <w:tcPr>
            <w:tcW w:w="840" w:type="dxa"/>
            <w:shd w:val="clear" w:color="auto" w:fill="A6A6A6" w:themeFill="background1" w:themeFillShade="A6"/>
            <w:noWrap/>
            <w:hideMark/>
          </w:tcPr>
          <w:p w14:paraId="63B7879B"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11</w:t>
            </w:r>
          </w:p>
        </w:tc>
        <w:tc>
          <w:tcPr>
            <w:tcW w:w="743" w:type="dxa"/>
            <w:shd w:val="clear" w:color="auto" w:fill="A6A6A6" w:themeFill="background1" w:themeFillShade="A6"/>
            <w:noWrap/>
            <w:hideMark/>
          </w:tcPr>
          <w:p w14:paraId="12DA2F7C"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12</w:t>
            </w:r>
          </w:p>
        </w:tc>
        <w:tc>
          <w:tcPr>
            <w:tcW w:w="701" w:type="dxa"/>
            <w:shd w:val="clear" w:color="auto" w:fill="A6A6A6" w:themeFill="background1" w:themeFillShade="A6"/>
            <w:noWrap/>
            <w:hideMark/>
          </w:tcPr>
          <w:p w14:paraId="575C6A48"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12</w:t>
            </w:r>
          </w:p>
        </w:tc>
        <w:tc>
          <w:tcPr>
            <w:tcW w:w="851" w:type="dxa"/>
            <w:shd w:val="clear" w:color="auto" w:fill="A6A6A6" w:themeFill="background1" w:themeFillShade="A6"/>
            <w:noWrap/>
            <w:hideMark/>
          </w:tcPr>
          <w:p w14:paraId="0F663BE1" w14:textId="77777777" w:rsidR="00870BEA" w:rsidRPr="00870BEA" w:rsidRDefault="00870BEA" w:rsidP="00870BEA">
            <w:pPr>
              <w:jc w:val="center"/>
              <w:rPr>
                <w:rFonts w:ascii="ITC Avant Garde" w:hAnsi="ITC Avant Garde"/>
                <w:b/>
                <w:bCs/>
                <w:color w:val="000000"/>
                <w:sz w:val="14"/>
                <w:szCs w:val="14"/>
                <w:lang w:eastAsia="es-MX"/>
              </w:rPr>
            </w:pPr>
            <w:r w:rsidRPr="00870BEA">
              <w:rPr>
                <w:rFonts w:ascii="ITC Avant Garde" w:hAnsi="ITC Avant Garde"/>
                <w:b/>
                <w:bCs/>
                <w:color w:val="000000"/>
                <w:sz w:val="14"/>
                <w:szCs w:val="14"/>
                <w:lang w:eastAsia="es-MX"/>
              </w:rPr>
              <w:t>Grupo 12</w:t>
            </w:r>
          </w:p>
        </w:tc>
      </w:tr>
      <w:tr w:rsidR="00870BEA" w:rsidRPr="00870BEA" w14:paraId="34B3B743" w14:textId="77777777" w:rsidTr="00FE3CB4">
        <w:trPr>
          <w:trHeight w:val="315"/>
          <w:jc w:val="center"/>
        </w:trPr>
        <w:tc>
          <w:tcPr>
            <w:tcW w:w="840" w:type="dxa"/>
            <w:hideMark/>
          </w:tcPr>
          <w:p w14:paraId="73A76D29" w14:textId="77777777" w:rsidR="00870BEA" w:rsidRPr="00870BEA" w:rsidRDefault="00870BEA" w:rsidP="00870BEA">
            <w:pPr>
              <w:jc w:val="center"/>
              <w:rPr>
                <w:rFonts w:ascii="ITC Avant Garde" w:hAnsi="ITC Avant Garde"/>
                <w:i/>
                <w:iCs/>
                <w:color w:val="000000"/>
                <w:sz w:val="14"/>
                <w:szCs w:val="14"/>
                <w:lang w:eastAsia="es-MX"/>
              </w:rPr>
            </w:pPr>
            <w:r w:rsidRPr="00870BEA">
              <w:rPr>
                <w:rFonts w:ascii="ITC Avant Garde" w:hAnsi="ITC Avant Garde"/>
                <w:i/>
                <w:iCs/>
                <w:color w:val="000000"/>
                <w:sz w:val="14"/>
                <w:szCs w:val="14"/>
                <w:lang w:eastAsia="es-MX"/>
              </w:rPr>
              <w:t>Circuito</w:t>
            </w:r>
          </w:p>
        </w:tc>
        <w:tc>
          <w:tcPr>
            <w:tcW w:w="840" w:type="dxa"/>
            <w:noWrap/>
            <w:hideMark/>
          </w:tcPr>
          <w:p w14:paraId="7913ACC9" w14:textId="77777777" w:rsidR="00870BEA" w:rsidRPr="00870BEA" w:rsidRDefault="00870BEA" w:rsidP="00870BEA">
            <w:pPr>
              <w:jc w:val="center"/>
              <w:rPr>
                <w:rFonts w:ascii="ITC Avant Garde" w:hAnsi="ITC Avant Garde"/>
                <w:i/>
                <w:iCs/>
                <w:color w:val="000000"/>
                <w:sz w:val="14"/>
                <w:szCs w:val="14"/>
                <w:lang w:eastAsia="es-MX"/>
              </w:rPr>
            </w:pPr>
            <w:proofErr w:type="spellStart"/>
            <w:r w:rsidRPr="00870BEA">
              <w:rPr>
                <w:rFonts w:ascii="ITC Avant Garde" w:hAnsi="ITC Avant Garde"/>
                <w:i/>
                <w:iCs/>
                <w:color w:val="000000"/>
                <w:sz w:val="14"/>
                <w:szCs w:val="14"/>
                <w:lang w:eastAsia="es-MX"/>
              </w:rPr>
              <w:t>Rx</w:t>
            </w:r>
            <w:proofErr w:type="spellEnd"/>
          </w:p>
        </w:tc>
        <w:tc>
          <w:tcPr>
            <w:tcW w:w="840" w:type="dxa"/>
            <w:noWrap/>
            <w:hideMark/>
          </w:tcPr>
          <w:p w14:paraId="02D894A2" w14:textId="77777777" w:rsidR="00870BEA" w:rsidRPr="00870BEA" w:rsidRDefault="00870BEA" w:rsidP="00870BEA">
            <w:pPr>
              <w:jc w:val="center"/>
              <w:rPr>
                <w:rFonts w:ascii="ITC Avant Garde" w:hAnsi="ITC Avant Garde"/>
                <w:i/>
                <w:iCs/>
                <w:color w:val="000000"/>
                <w:sz w:val="14"/>
                <w:szCs w:val="14"/>
                <w:lang w:eastAsia="es-MX"/>
              </w:rPr>
            </w:pPr>
            <w:proofErr w:type="spellStart"/>
            <w:r w:rsidRPr="00870BEA">
              <w:rPr>
                <w:rFonts w:ascii="ITC Avant Garde" w:hAnsi="ITC Avant Garde"/>
                <w:i/>
                <w:iCs/>
                <w:color w:val="000000"/>
                <w:sz w:val="14"/>
                <w:szCs w:val="14"/>
                <w:lang w:eastAsia="es-MX"/>
              </w:rPr>
              <w:t>Tx</w:t>
            </w:r>
            <w:proofErr w:type="spellEnd"/>
          </w:p>
        </w:tc>
        <w:tc>
          <w:tcPr>
            <w:tcW w:w="743" w:type="dxa"/>
            <w:hideMark/>
          </w:tcPr>
          <w:p w14:paraId="49CAB6D6" w14:textId="77777777" w:rsidR="00870BEA" w:rsidRPr="00870BEA" w:rsidRDefault="00870BEA" w:rsidP="00870BEA">
            <w:pPr>
              <w:jc w:val="center"/>
              <w:rPr>
                <w:rFonts w:ascii="ITC Avant Garde" w:hAnsi="ITC Avant Garde"/>
                <w:i/>
                <w:iCs/>
                <w:color w:val="000000"/>
                <w:sz w:val="14"/>
                <w:szCs w:val="14"/>
                <w:lang w:eastAsia="es-MX"/>
              </w:rPr>
            </w:pPr>
            <w:r w:rsidRPr="00870BEA">
              <w:rPr>
                <w:rFonts w:ascii="ITC Avant Garde" w:hAnsi="ITC Avant Garde"/>
                <w:i/>
                <w:iCs/>
                <w:color w:val="000000"/>
                <w:sz w:val="14"/>
                <w:szCs w:val="14"/>
                <w:lang w:eastAsia="es-MX"/>
              </w:rPr>
              <w:t>Circuito</w:t>
            </w:r>
          </w:p>
        </w:tc>
        <w:tc>
          <w:tcPr>
            <w:tcW w:w="701" w:type="dxa"/>
            <w:noWrap/>
            <w:hideMark/>
          </w:tcPr>
          <w:p w14:paraId="00D4FB20" w14:textId="77777777" w:rsidR="00870BEA" w:rsidRPr="00870BEA" w:rsidRDefault="00870BEA" w:rsidP="00870BEA">
            <w:pPr>
              <w:jc w:val="center"/>
              <w:rPr>
                <w:rFonts w:ascii="ITC Avant Garde" w:hAnsi="ITC Avant Garde"/>
                <w:i/>
                <w:iCs/>
                <w:color w:val="000000"/>
                <w:sz w:val="14"/>
                <w:szCs w:val="14"/>
                <w:lang w:eastAsia="es-MX"/>
              </w:rPr>
            </w:pPr>
            <w:proofErr w:type="spellStart"/>
            <w:r w:rsidRPr="00870BEA">
              <w:rPr>
                <w:rFonts w:ascii="ITC Avant Garde" w:hAnsi="ITC Avant Garde"/>
                <w:i/>
                <w:iCs/>
                <w:color w:val="000000"/>
                <w:sz w:val="14"/>
                <w:szCs w:val="14"/>
                <w:lang w:eastAsia="es-MX"/>
              </w:rPr>
              <w:t>Rx</w:t>
            </w:r>
            <w:proofErr w:type="spellEnd"/>
          </w:p>
        </w:tc>
        <w:tc>
          <w:tcPr>
            <w:tcW w:w="851" w:type="dxa"/>
            <w:noWrap/>
            <w:hideMark/>
          </w:tcPr>
          <w:p w14:paraId="05B2BAC4" w14:textId="77777777" w:rsidR="00870BEA" w:rsidRPr="00870BEA" w:rsidRDefault="00870BEA" w:rsidP="00870BEA">
            <w:pPr>
              <w:jc w:val="center"/>
              <w:rPr>
                <w:rFonts w:ascii="ITC Avant Garde" w:hAnsi="ITC Avant Garde"/>
                <w:i/>
                <w:iCs/>
                <w:color w:val="000000"/>
                <w:sz w:val="14"/>
                <w:szCs w:val="14"/>
                <w:lang w:eastAsia="es-MX"/>
              </w:rPr>
            </w:pPr>
            <w:proofErr w:type="spellStart"/>
            <w:r w:rsidRPr="00870BEA">
              <w:rPr>
                <w:rFonts w:ascii="ITC Avant Garde" w:hAnsi="ITC Avant Garde"/>
                <w:i/>
                <w:iCs/>
                <w:color w:val="000000"/>
                <w:sz w:val="14"/>
                <w:szCs w:val="14"/>
                <w:lang w:eastAsia="es-MX"/>
              </w:rPr>
              <w:t>Tx</w:t>
            </w:r>
            <w:proofErr w:type="spellEnd"/>
          </w:p>
        </w:tc>
      </w:tr>
      <w:tr w:rsidR="00870BEA" w:rsidRPr="00870BEA" w14:paraId="3D983905" w14:textId="77777777" w:rsidTr="00FE3CB4">
        <w:trPr>
          <w:trHeight w:val="315"/>
          <w:jc w:val="center"/>
        </w:trPr>
        <w:tc>
          <w:tcPr>
            <w:tcW w:w="840" w:type="dxa"/>
            <w:hideMark/>
          </w:tcPr>
          <w:p w14:paraId="6D8A644E"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1</w:t>
            </w:r>
          </w:p>
        </w:tc>
        <w:tc>
          <w:tcPr>
            <w:tcW w:w="840" w:type="dxa"/>
            <w:noWrap/>
            <w:hideMark/>
          </w:tcPr>
          <w:p w14:paraId="7136F284"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411.075</w:t>
            </w:r>
          </w:p>
        </w:tc>
        <w:tc>
          <w:tcPr>
            <w:tcW w:w="840" w:type="dxa"/>
            <w:noWrap/>
            <w:hideMark/>
          </w:tcPr>
          <w:p w14:paraId="6402A305"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421.075</w:t>
            </w:r>
          </w:p>
        </w:tc>
        <w:tc>
          <w:tcPr>
            <w:tcW w:w="743" w:type="dxa"/>
            <w:hideMark/>
          </w:tcPr>
          <w:p w14:paraId="5434D467"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1</w:t>
            </w:r>
          </w:p>
        </w:tc>
        <w:tc>
          <w:tcPr>
            <w:tcW w:w="701" w:type="dxa"/>
            <w:noWrap/>
            <w:hideMark/>
          </w:tcPr>
          <w:p w14:paraId="09C5483E"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411.1</w:t>
            </w:r>
          </w:p>
        </w:tc>
        <w:tc>
          <w:tcPr>
            <w:tcW w:w="851" w:type="dxa"/>
            <w:noWrap/>
            <w:hideMark/>
          </w:tcPr>
          <w:p w14:paraId="70711750"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421.1</w:t>
            </w:r>
          </w:p>
        </w:tc>
      </w:tr>
      <w:tr w:rsidR="00870BEA" w:rsidRPr="00870BEA" w14:paraId="22501A3B" w14:textId="77777777" w:rsidTr="00FE3CB4">
        <w:trPr>
          <w:trHeight w:val="315"/>
          <w:jc w:val="center"/>
        </w:trPr>
        <w:tc>
          <w:tcPr>
            <w:tcW w:w="840" w:type="dxa"/>
            <w:hideMark/>
          </w:tcPr>
          <w:p w14:paraId="13D05075"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2</w:t>
            </w:r>
          </w:p>
        </w:tc>
        <w:tc>
          <w:tcPr>
            <w:tcW w:w="840" w:type="dxa"/>
            <w:noWrap/>
            <w:hideMark/>
          </w:tcPr>
          <w:p w14:paraId="39AB519A"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411.275</w:t>
            </w:r>
          </w:p>
        </w:tc>
        <w:tc>
          <w:tcPr>
            <w:tcW w:w="840" w:type="dxa"/>
            <w:noWrap/>
            <w:hideMark/>
          </w:tcPr>
          <w:p w14:paraId="7C664427"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421.275</w:t>
            </w:r>
          </w:p>
        </w:tc>
        <w:tc>
          <w:tcPr>
            <w:tcW w:w="743" w:type="dxa"/>
            <w:hideMark/>
          </w:tcPr>
          <w:p w14:paraId="7A5189BF"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2</w:t>
            </w:r>
          </w:p>
        </w:tc>
        <w:tc>
          <w:tcPr>
            <w:tcW w:w="701" w:type="dxa"/>
            <w:noWrap/>
            <w:hideMark/>
          </w:tcPr>
          <w:p w14:paraId="251E4EB6"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411.3</w:t>
            </w:r>
          </w:p>
        </w:tc>
        <w:tc>
          <w:tcPr>
            <w:tcW w:w="851" w:type="dxa"/>
            <w:noWrap/>
            <w:hideMark/>
          </w:tcPr>
          <w:p w14:paraId="16BE6C5E"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421.3</w:t>
            </w:r>
          </w:p>
        </w:tc>
      </w:tr>
      <w:tr w:rsidR="00870BEA" w:rsidRPr="00870BEA" w14:paraId="6E16A541" w14:textId="77777777" w:rsidTr="00FE3CB4">
        <w:trPr>
          <w:trHeight w:val="315"/>
          <w:jc w:val="center"/>
        </w:trPr>
        <w:tc>
          <w:tcPr>
            <w:tcW w:w="840" w:type="dxa"/>
            <w:hideMark/>
          </w:tcPr>
          <w:p w14:paraId="760B193B"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3</w:t>
            </w:r>
          </w:p>
        </w:tc>
        <w:tc>
          <w:tcPr>
            <w:tcW w:w="840" w:type="dxa"/>
            <w:noWrap/>
            <w:hideMark/>
          </w:tcPr>
          <w:p w14:paraId="22D3D76F"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411.475</w:t>
            </w:r>
          </w:p>
        </w:tc>
        <w:tc>
          <w:tcPr>
            <w:tcW w:w="840" w:type="dxa"/>
            <w:noWrap/>
            <w:hideMark/>
          </w:tcPr>
          <w:p w14:paraId="33FC7F7D"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421.475</w:t>
            </w:r>
          </w:p>
        </w:tc>
        <w:tc>
          <w:tcPr>
            <w:tcW w:w="743" w:type="dxa"/>
            <w:hideMark/>
          </w:tcPr>
          <w:p w14:paraId="78B3A0CB"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3</w:t>
            </w:r>
          </w:p>
        </w:tc>
        <w:tc>
          <w:tcPr>
            <w:tcW w:w="701" w:type="dxa"/>
            <w:noWrap/>
            <w:hideMark/>
          </w:tcPr>
          <w:p w14:paraId="1E2C8967"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411.5</w:t>
            </w:r>
          </w:p>
        </w:tc>
        <w:tc>
          <w:tcPr>
            <w:tcW w:w="851" w:type="dxa"/>
            <w:noWrap/>
            <w:hideMark/>
          </w:tcPr>
          <w:p w14:paraId="2D9FFF6C"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421.5</w:t>
            </w:r>
          </w:p>
        </w:tc>
      </w:tr>
      <w:tr w:rsidR="00870BEA" w:rsidRPr="00870BEA" w14:paraId="15DACA3E" w14:textId="77777777" w:rsidTr="00FE3CB4">
        <w:trPr>
          <w:trHeight w:val="315"/>
          <w:jc w:val="center"/>
        </w:trPr>
        <w:tc>
          <w:tcPr>
            <w:tcW w:w="840" w:type="dxa"/>
            <w:hideMark/>
          </w:tcPr>
          <w:p w14:paraId="75CE9257"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w:t>
            </w:r>
          </w:p>
        </w:tc>
        <w:tc>
          <w:tcPr>
            <w:tcW w:w="840" w:type="dxa"/>
            <w:noWrap/>
            <w:hideMark/>
          </w:tcPr>
          <w:p w14:paraId="10D10AD2"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411.675</w:t>
            </w:r>
          </w:p>
        </w:tc>
        <w:tc>
          <w:tcPr>
            <w:tcW w:w="840" w:type="dxa"/>
            <w:noWrap/>
            <w:hideMark/>
          </w:tcPr>
          <w:p w14:paraId="3E98CD77"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421.675</w:t>
            </w:r>
          </w:p>
        </w:tc>
        <w:tc>
          <w:tcPr>
            <w:tcW w:w="743" w:type="dxa"/>
            <w:hideMark/>
          </w:tcPr>
          <w:p w14:paraId="070F2A65"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w:t>
            </w:r>
          </w:p>
        </w:tc>
        <w:tc>
          <w:tcPr>
            <w:tcW w:w="701" w:type="dxa"/>
            <w:noWrap/>
            <w:hideMark/>
          </w:tcPr>
          <w:p w14:paraId="6BDA2833"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411.7</w:t>
            </w:r>
          </w:p>
        </w:tc>
        <w:tc>
          <w:tcPr>
            <w:tcW w:w="851" w:type="dxa"/>
            <w:noWrap/>
            <w:hideMark/>
          </w:tcPr>
          <w:p w14:paraId="2B451F9E"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421.7</w:t>
            </w:r>
          </w:p>
        </w:tc>
      </w:tr>
      <w:tr w:rsidR="00870BEA" w:rsidRPr="00870BEA" w14:paraId="0CCB976A" w14:textId="77777777" w:rsidTr="00FE3CB4">
        <w:trPr>
          <w:trHeight w:val="315"/>
          <w:jc w:val="center"/>
        </w:trPr>
        <w:tc>
          <w:tcPr>
            <w:tcW w:w="840" w:type="dxa"/>
            <w:hideMark/>
          </w:tcPr>
          <w:p w14:paraId="058D57D6"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5</w:t>
            </w:r>
          </w:p>
        </w:tc>
        <w:tc>
          <w:tcPr>
            <w:tcW w:w="840" w:type="dxa"/>
            <w:noWrap/>
            <w:hideMark/>
          </w:tcPr>
          <w:p w14:paraId="1A6F5FC5"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411.875</w:t>
            </w:r>
          </w:p>
        </w:tc>
        <w:tc>
          <w:tcPr>
            <w:tcW w:w="840" w:type="dxa"/>
            <w:noWrap/>
            <w:hideMark/>
          </w:tcPr>
          <w:p w14:paraId="3DB9D6CB"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421.875</w:t>
            </w:r>
          </w:p>
        </w:tc>
        <w:tc>
          <w:tcPr>
            <w:tcW w:w="743" w:type="dxa"/>
            <w:hideMark/>
          </w:tcPr>
          <w:p w14:paraId="1D71F580"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5</w:t>
            </w:r>
          </w:p>
        </w:tc>
        <w:tc>
          <w:tcPr>
            <w:tcW w:w="701" w:type="dxa"/>
            <w:noWrap/>
            <w:hideMark/>
          </w:tcPr>
          <w:p w14:paraId="37E3FB7A"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411.9</w:t>
            </w:r>
          </w:p>
        </w:tc>
        <w:tc>
          <w:tcPr>
            <w:tcW w:w="851" w:type="dxa"/>
            <w:noWrap/>
            <w:hideMark/>
          </w:tcPr>
          <w:p w14:paraId="40335834" w14:textId="77777777" w:rsidR="00870BEA" w:rsidRPr="00870BEA" w:rsidRDefault="00870BEA" w:rsidP="00870BEA">
            <w:pPr>
              <w:jc w:val="center"/>
              <w:rPr>
                <w:rFonts w:ascii="ITC Avant Garde" w:hAnsi="ITC Avant Garde"/>
                <w:color w:val="000000"/>
                <w:sz w:val="14"/>
                <w:szCs w:val="14"/>
                <w:lang w:eastAsia="es-MX"/>
              </w:rPr>
            </w:pPr>
            <w:r w:rsidRPr="00870BEA">
              <w:rPr>
                <w:rFonts w:ascii="ITC Avant Garde" w:hAnsi="ITC Avant Garde"/>
                <w:color w:val="000000"/>
                <w:sz w:val="14"/>
                <w:szCs w:val="14"/>
                <w:lang w:eastAsia="es-MX"/>
              </w:rPr>
              <w:t>421.9</w:t>
            </w:r>
          </w:p>
        </w:tc>
      </w:tr>
    </w:tbl>
    <w:p w14:paraId="70E07C95" w14:textId="72BD85CE" w:rsidR="00003EB9" w:rsidRPr="00525DB6" w:rsidRDefault="00A673AE" w:rsidP="00A673AE">
      <w:pPr>
        <w:ind w:firstLine="708"/>
        <w:rPr>
          <w:rFonts w:ascii="ITC Avant Garde" w:hAnsi="ITC Avant Garde"/>
          <w:sz w:val="22"/>
          <w:szCs w:val="22"/>
        </w:rPr>
      </w:pPr>
      <w:r>
        <w:rPr>
          <w:rFonts w:ascii="ITC Avant Garde" w:hAnsi="ITC Avant Garde"/>
          <w:sz w:val="22"/>
          <w:szCs w:val="22"/>
        </w:rPr>
        <w:br w:type="textWrapping" w:clear="all"/>
      </w:r>
    </w:p>
    <w:p w14:paraId="67342609" w14:textId="62F1307C" w:rsidR="00916A84" w:rsidRPr="00525DB6" w:rsidRDefault="00916A84" w:rsidP="00916A84">
      <w:pPr>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Por otro lado, tal como se indicó en el antecedente XII de la presente resolución, la Unidad de Competencia Económica del Instituto</w:t>
      </w:r>
      <w:r w:rsidR="00DC32DC" w:rsidRPr="00525DB6">
        <w:rPr>
          <w:rFonts w:ascii="ITC Avant Garde" w:eastAsia="Calibri" w:hAnsi="ITC Avant Garde"/>
          <w:bCs/>
          <w:color w:val="000000"/>
          <w:sz w:val="22"/>
          <w:szCs w:val="22"/>
          <w:lang w:eastAsia="es-MX"/>
        </w:rPr>
        <w:t>, a través de la Dirección General de Concentraciones y Concesiones,</w:t>
      </w:r>
      <w:r w:rsidRPr="00525DB6">
        <w:rPr>
          <w:rFonts w:ascii="ITC Avant Garde" w:eastAsia="Calibri" w:hAnsi="ITC Avant Garde"/>
          <w:bCs/>
          <w:color w:val="000000"/>
          <w:sz w:val="22"/>
          <w:szCs w:val="22"/>
          <w:lang w:eastAsia="es-MX"/>
        </w:rPr>
        <w:t xml:space="preserve"> informó </w:t>
      </w:r>
      <w:r w:rsidR="00DC32DC" w:rsidRPr="00525DB6">
        <w:rPr>
          <w:rFonts w:ascii="ITC Avant Garde" w:eastAsia="Calibri" w:hAnsi="ITC Avant Garde"/>
          <w:bCs/>
          <w:color w:val="000000"/>
          <w:sz w:val="22"/>
          <w:szCs w:val="22"/>
          <w:lang w:eastAsia="es-MX"/>
        </w:rPr>
        <w:t xml:space="preserve">entre otras cosas, </w:t>
      </w:r>
      <w:r w:rsidRPr="00525DB6">
        <w:rPr>
          <w:rFonts w:ascii="ITC Avant Garde" w:eastAsia="Calibri" w:hAnsi="ITC Avant Garde"/>
          <w:bCs/>
          <w:color w:val="000000"/>
          <w:sz w:val="22"/>
          <w:szCs w:val="22"/>
          <w:lang w:eastAsia="es-MX"/>
        </w:rPr>
        <w:t xml:space="preserve">que no se identificaban elementos ni indicios de que la autorización de la prórroga solicitada </w:t>
      </w:r>
      <w:r w:rsidR="005F4E16">
        <w:rPr>
          <w:rFonts w:ascii="ITC Avant Garde" w:eastAsia="Calibri" w:hAnsi="ITC Avant Garde"/>
          <w:bCs/>
          <w:color w:val="000000"/>
          <w:sz w:val="22"/>
          <w:szCs w:val="22"/>
          <w:lang w:eastAsia="es-MX"/>
        </w:rPr>
        <w:t xml:space="preserve">por </w:t>
      </w:r>
      <w:proofErr w:type="spellStart"/>
      <w:r w:rsidR="005F4E16">
        <w:rPr>
          <w:rFonts w:ascii="ITC Avant Garde" w:eastAsia="Calibri" w:hAnsi="ITC Avant Garde"/>
          <w:bCs/>
          <w:color w:val="000000"/>
          <w:sz w:val="22"/>
          <w:szCs w:val="22"/>
          <w:lang w:eastAsia="es-MX"/>
        </w:rPr>
        <w:t>Troncatel</w:t>
      </w:r>
      <w:proofErr w:type="spellEnd"/>
      <w:r w:rsidR="005F4E16">
        <w:rPr>
          <w:rFonts w:ascii="ITC Avant Garde" w:eastAsia="Calibri" w:hAnsi="ITC Avant Garde"/>
          <w:bCs/>
          <w:color w:val="000000"/>
          <w:sz w:val="22"/>
          <w:szCs w:val="22"/>
          <w:lang w:eastAsia="es-MX"/>
        </w:rPr>
        <w:t>, S.A. de C.V., pu</w:t>
      </w:r>
      <w:r w:rsidRPr="00525DB6">
        <w:rPr>
          <w:rFonts w:ascii="ITC Avant Garde" w:eastAsia="Calibri" w:hAnsi="ITC Avant Garde"/>
          <w:bCs/>
          <w:color w:val="000000"/>
          <w:sz w:val="22"/>
          <w:szCs w:val="22"/>
          <w:lang w:eastAsia="es-MX"/>
        </w:rPr>
        <w:t>d</w:t>
      </w:r>
      <w:r w:rsidR="00DC32DC" w:rsidRPr="00525DB6">
        <w:rPr>
          <w:rFonts w:ascii="ITC Avant Garde" w:eastAsia="Calibri" w:hAnsi="ITC Avant Garde"/>
          <w:bCs/>
          <w:color w:val="000000"/>
          <w:sz w:val="22"/>
          <w:szCs w:val="22"/>
          <w:lang w:eastAsia="es-MX"/>
        </w:rPr>
        <w:t>iera</w:t>
      </w:r>
      <w:r w:rsidRPr="00525DB6">
        <w:rPr>
          <w:rFonts w:ascii="ITC Avant Garde" w:eastAsia="Calibri" w:hAnsi="ITC Avant Garde"/>
          <w:bCs/>
          <w:color w:val="000000"/>
          <w:sz w:val="22"/>
          <w:szCs w:val="22"/>
          <w:lang w:eastAsia="es-MX"/>
        </w:rPr>
        <w:t xml:space="preserve"> tener efectos contrarios en el proceso de competencia y libre concurrencia en los mercados.</w:t>
      </w:r>
    </w:p>
    <w:p w14:paraId="56A41A6F" w14:textId="77777777" w:rsidR="00916A84" w:rsidRPr="00525DB6" w:rsidRDefault="00916A84" w:rsidP="00916A84">
      <w:pPr>
        <w:ind w:right="96"/>
        <w:jc w:val="both"/>
        <w:rPr>
          <w:rFonts w:ascii="ITC Avant Garde" w:eastAsia="Calibri" w:hAnsi="ITC Avant Garde"/>
          <w:bCs/>
          <w:color w:val="000000"/>
          <w:sz w:val="22"/>
          <w:szCs w:val="22"/>
          <w:lang w:eastAsia="es-MX"/>
        </w:rPr>
      </w:pPr>
    </w:p>
    <w:p w14:paraId="7096F521" w14:textId="77777777" w:rsidR="00916A84" w:rsidRPr="00525DB6" w:rsidRDefault="00916A84" w:rsidP="00916A84">
      <w:pPr>
        <w:ind w:right="96"/>
        <w:jc w:val="both"/>
        <w:rPr>
          <w:rFonts w:ascii="ITC Avant Garde" w:eastAsia="Calibri" w:hAnsi="ITC Avant Garde"/>
          <w:bCs/>
          <w:color w:val="000000"/>
          <w:sz w:val="22"/>
          <w:szCs w:val="22"/>
          <w:lang w:eastAsia="es-MX"/>
        </w:rPr>
      </w:pPr>
    </w:p>
    <w:p w14:paraId="5B9A0623" w14:textId="3AE272BC" w:rsidR="00856019" w:rsidRPr="00525DB6" w:rsidRDefault="00D56ADB" w:rsidP="007A2645">
      <w:pPr>
        <w:tabs>
          <w:tab w:val="num" w:pos="540"/>
        </w:tabs>
        <w:jc w:val="both"/>
        <w:rPr>
          <w:rFonts w:ascii="ITC Avant Garde" w:eastAsia="Calibri" w:hAnsi="ITC Avant Garde"/>
          <w:bCs/>
          <w:color w:val="000000"/>
          <w:sz w:val="22"/>
          <w:szCs w:val="22"/>
          <w:lang w:eastAsia="es-MX"/>
        </w:rPr>
      </w:pPr>
      <w:r>
        <w:rPr>
          <w:rFonts w:ascii="ITC Avant Garde" w:eastAsia="Calibri" w:hAnsi="ITC Avant Garde"/>
          <w:b/>
          <w:bCs/>
          <w:color w:val="000000"/>
          <w:sz w:val="22"/>
          <w:szCs w:val="22"/>
          <w:lang w:eastAsia="es-MX"/>
        </w:rPr>
        <w:t>Noven</w:t>
      </w:r>
      <w:r w:rsidR="00F8090D" w:rsidRPr="00525DB6">
        <w:rPr>
          <w:rFonts w:ascii="ITC Avant Garde" w:eastAsia="Calibri" w:hAnsi="ITC Avant Garde"/>
          <w:b/>
          <w:bCs/>
          <w:color w:val="000000"/>
          <w:sz w:val="22"/>
          <w:szCs w:val="22"/>
          <w:lang w:eastAsia="es-MX"/>
        </w:rPr>
        <w:t xml:space="preserve">o.- </w:t>
      </w:r>
      <w:r w:rsidR="00C76254" w:rsidRPr="00525DB6">
        <w:rPr>
          <w:rFonts w:ascii="ITC Avant Garde" w:eastAsia="Calibri" w:hAnsi="ITC Avant Garde"/>
          <w:b/>
          <w:bCs/>
          <w:color w:val="000000"/>
          <w:sz w:val="22"/>
          <w:szCs w:val="22"/>
          <w:lang w:eastAsia="es-MX"/>
        </w:rPr>
        <w:t xml:space="preserve">Contraprestación. </w:t>
      </w:r>
      <w:r w:rsidR="00856019" w:rsidRPr="00525DB6">
        <w:rPr>
          <w:rFonts w:ascii="ITC Avant Garde" w:hAnsi="ITC Avant Garde"/>
          <w:bCs/>
          <w:color w:val="000000"/>
          <w:sz w:val="22"/>
          <w:szCs w:val="22"/>
          <w:lang w:val="es-ES" w:eastAsia="es-MX"/>
        </w:rPr>
        <w:t xml:space="preserve">Como ya quedó señalado en el Considerando Segundo, </w:t>
      </w:r>
      <w:r w:rsidR="00856019" w:rsidRPr="00525DB6">
        <w:rPr>
          <w:rFonts w:ascii="ITC Avant Garde" w:eastAsia="Calibri" w:hAnsi="ITC Avant Garde"/>
          <w:bCs/>
          <w:color w:val="000000"/>
          <w:sz w:val="22"/>
          <w:szCs w:val="22"/>
          <w:lang w:eastAsia="es-MX"/>
        </w:rPr>
        <w:t>la normatividad aplicable a la Solicitud de Prórroga está contenida en la LFT, la cual, en su artículo 19</w:t>
      </w:r>
      <w:r w:rsidR="00F8090D" w:rsidRPr="00525DB6">
        <w:rPr>
          <w:rFonts w:ascii="ITC Avant Garde" w:eastAsia="Calibri" w:hAnsi="ITC Avant Garde"/>
          <w:bCs/>
          <w:color w:val="000000"/>
          <w:sz w:val="22"/>
          <w:szCs w:val="22"/>
          <w:lang w:eastAsia="es-MX"/>
        </w:rPr>
        <w:t xml:space="preserve"> establece, entre otros</w:t>
      </w:r>
      <w:r w:rsidR="00856019" w:rsidRPr="00525DB6">
        <w:rPr>
          <w:rFonts w:ascii="ITC Avant Garde" w:eastAsia="Calibri" w:hAnsi="ITC Avant Garde"/>
          <w:bCs/>
          <w:color w:val="000000"/>
          <w:sz w:val="22"/>
          <w:szCs w:val="22"/>
          <w:lang w:eastAsia="es-MX"/>
        </w:rPr>
        <w:t xml:space="preserve">, </w:t>
      </w:r>
      <w:r w:rsidR="00F8090D" w:rsidRPr="00525DB6">
        <w:rPr>
          <w:rFonts w:ascii="ITC Avant Garde" w:eastAsia="Calibri" w:hAnsi="ITC Avant Garde"/>
          <w:bCs/>
          <w:color w:val="000000"/>
          <w:sz w:val="22"/>
          <w:szCs w:val="22"/>
          <w:lang w:eastAsia="es-MX"/>
        </w:rPr>
        <w:t>el requisito de fijar nuevas</w:t>
      </w:r>
      <w:r w:rsidR="00856019" w:rsidRPr="00525DB6">
        <w:rPr>
          <w:rFonts w:ascii="ITC Avant Garde" w:eastAsia="Calibri" w:hAnsi="ITC Avant Garde"/>
          <w:bCs/>
          <w:color w:val="000000"/>
          <w:sz w:val="22"/>
          <w:szCs w:val="22"/>
          <w:lang w:eastAsia="es-MX"/>
        </w:rPr>
        <w:t xml:space="preserve"> condiciones al </w:t>
      </w:r>
      <w:r w:rsidR="00F8090D" w:rsidRPr="00525DB6">
        <w:rPr>
          <w:rFonts w:ascii="ITC Avant Garde" w:eastAsia="Calibri" w:hAnsi="ITC Avant Garde"/>
          <w:bCs/>
          <w:color w:val="000000"/>
          <w:sz w:val="22"/>
          <w:szCs w:val="22"/>
          <w:lang w:eastAsia="es-MX"/>
        </w:rPr>
        <w:t>c</w:t>
      </w:r>
      <w:r w:rsidR="00856019" w:rsidRPr="00525DB6">
        <w:rPr>
          <w:rFonts w:ascii="ITC Avant Garde" w:eastAsia="Calibri" w:hAnsi="ITC Avant Garde"/>
          <w:bCs/>
          <w:color w:val="000000"/>
          <w:sz w:val="22"/>
          <w:szCs w:val="22"/>
          <w:lang w:eastAsia="es-MX"/>
        </w:rPr>
        <w:t>oncesionario, entre las que se encuentra fijar una contraprestación por el uso, aprovechamiento y explotación de bandas de frecuencias del espectro radioeléctrico.</w:t>
      </w:r>
    </w:p>
    <w:p w14:paraId="53FCD250" w14:textId="77777777" w:rsidR="000B0759" w:rsidRPr="00525DB6" w:rsidRDefault="000B0759" w:rsidP="007A2645">
      <w:pPr>
        <w:tabs>
          <w:tab w:val="num" w:pos="540"/>
        </w:tabs>
        <w:jc w:val="both"/>
        <w:rPr>
          <w:rFonts w:ascii="ITC Avant Garde" w:eastAsia="Calibri" w:hAnsi="ITC Avant Garde"/>
          <w:bCs/>
          <w:color w:val="000000"/>
          <w:sz w:val="22"/>
          <w:szCs w:val="22"/>
          <w:lang w:eastAsia="es-MX"/>
        </w:rPr>
      </w:pPr>
    </w:p>
    <w:p w14:paraId="5BCE15C6" w14:textId="77777777" w:rsidR="00F8090D" w:rsidRPr="00525DB6" w:rsidRDefault="00F8090D" w:rsidP="00F8090D">
      <w:pPr>
        <w:tabs>
          <w:tab w:val="num" w:pos="540"/>
        </w:tabs>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Por su parte, el artículo 14 del citado ordenamiento, señala lo siguiente:</w:t>
      </w:r>
    </w:p>
    <w:p w14:paraId="0C263FB9" w14:textId="77777777" w:rsidR="00F8090D" w:rsidRPr="00525DB6" w:rsidRDefault="00F8090D" w:rsidP="00F8090D">
      <w:pPr>
        <w:tabs>
          <w:tab w:val="num" w:pos="540"/>
        </w:tabs>
        <w:jc w:val="both"/>
        <w:rPr>
          <w:rFonts w:ascii="ITC Avant Garde" w:eastAsia="Calibri" w:hAnsi="ITC Avant Garde"/>
          <w:bCs/>
          <w:color w:val="000000"/>
          <w:sz w:val="22"/>
          <w:szCs w:val="22"/>
          <w:lang w:eastAsia="es-MX"/>
        </w:rPr>
      </w:pPr>
    </w:p>
    <w:p w14:paraId="32675A2D" w14:textId="77777777" w:rsidR="00F8090D" w:rsidRPr="00525DB6" w:rsidRDefault="00F8090D" w:rsidP="00F8090D">
      <w:pPr>
        <w:tabs>
          <w:tab w:val="num" w:pos="540"/>
        </w:tabs>
        <w:ind w:left="540" w:right="528"/>
        <w:jc w:val="both"/>
        <w:rPr>
          <w:rFonts w:ascii="ITC Avant Garde" w:eastAsia="Calibri" w:hAnsi="ITC Avant Garde"/>
          <w:bCs/>
          <w:color w:val="000000"/>
          <w:sz w:val="16"/>
          <w:szCs w:val="16"/>
          <w:lang w:eastAsia="es-MX"/>
        </w:rPr>
      </w:pPr>
      <w:r w:rsidRPr="00525DB6">
        <w:rPr>
          <w:rFonts w:ascii="ITC Avant Garde" w:eastAsia="Calibri" w:hAnsi="ITC Avant Garde"/>
          <w:bCs/>
          <w:i/>
          <w:color w:val="000000"/>
          <w:sz w:val="16"/>
          <w:szCs w:val="16"/>
          <w:lang w:eastAsia="es-MX"/>
        </w:rPr>
        <w:lastRenderedPageBreak/>
        <w:t>“</w:t>
      </w:r>
      <w:r w:rsidRPr="00525DB6">
        <w:rPr>
          <w:rFonts w:ascii="ITC Avant Garde" w:eastAsia="Calibri" w:hAnsi="ITC Avant Garde"/>
          <w:b/>
          <w:bCs/>
          <w:i/>
          <w:color w:val="000000"/>
          <w:sz w:val="16"/>
          <w:szCs w:val="16"/>
          <w:lang w:eastAsia="es-MX"/>
        </w:rPr>
        <w:t>Artículo 14.</w:t>
      </w:r>
      <w:r w:rsidRPr="00525DB6">
        <w:rPr>
          <w:rFonts w:ascii="ITC Avant Garde" w:eastAsia="Calibri" w:hAnsi="ITC Avant Garde"/>
          <w:bCs/>
          <w:i/>
          <w:color w:val="000000"/>
          <w:sz w:val="16"/>
          <w:szCs w:val="16"/>
          <w:lang w:eastAsia="es-MX"/>
        </w:rPr>
        <w:t xml:space="preserve"> Las concesiones sobre bandas de frecuencias del espectro para usos determinados se otorgarán mediante licitación pública. </w:t>
      </w:r>
      <w:r w:rsidRPr="00525DB6">
        <w:rPr>
          <w:rFonts w:ascii="ITC Avant Garde" w:eastAsia="Calibri" w:hAnsi="ITC Avant Garde"/>
          <w:bCs/>
          <w:i/>
          <w:color w:val="000000"/>
          <w:sz w:val="16"/>
          <w:szCs w:val="16"/>
          <w:u w:val="single"/>
          <w:lang w:eastAsia="es-MX"/>
        </w:rPr>
        <w:t>El Gobierno Federal tendrá derecho a recibir una contraprestación económica por el otorgamiento de la concesión correspondiente</w:t>
      </w:r>
      <w:r w:rsidRPr="00525DB6">
        <w:rPr>
          <w:rFonts w:ascii="ITC Avant Garde" w:eastAsia="Calibri" w:hAnsi="ITC Avant Garde"/>
          <w:bCs/>
          <w:i/>
          <w:color w:val="000000"/>
          <w:sz w:val="16"/>
          <w:szCs w:val="16"/>
          <w:lang w:eastAsia="es-MX"/>
        </w:rPr>
        <w:t xml:space="preserve">.” </w:t>
      </w:r>
      <w:r w:rsidRPr="00525DB6">
        <w:rPr>
          <w:rFonts w:ascii="ITC Avant Garde" w:eastAsia="Calibri" w:hAnsi="ITC Avant Garde"/>
          <w:bCs/>
          <w:color w:val="000000"/>
          <w:sz w:val="16"/>
          <w:szCs w:val="16"/>
          <w:lang w:eastAsia="es-MX"/>
        </w:rPr>
        <w:t>(Énfasis añadido)</w:t>
      </w:r>
    </w:p>
    <w:p w14:paraId="41FB2C24" w14:textId="77777777" w:rsidR="00F8090D" w:rsidRPr="00525DB6" w:rsidRDefault="00F8090D" w:rsidP="00F8090D">
      <w:pPr>
        <w:tabs>
          <w:tab w:val="num" w:pos="540"/>
        </w:tabs>
        <w:ind w:left="540"/>
        <w:jc w:val="both"/>
        <w:rPr>
          <w:rFonts w:ascii="ITC Avant Garde" w:eastAsia="Calibri" w:hAnsi="ITC Avant Garde"/>
          <w:bCs/>
          <w:color w:val="000000"/>
          <w:sz w:val="16"/>
          <w:szCs w:val="16"/>
          <w:lang w:eastAsia="es-MX"/>
        </w:rPr>
      </w:pPr>
    </w:p>
    <w:p w14:paraId="5BD938F8" w14:textId="2D661253" w:rsidR="00F8090D" w:rsidRPr="00525DB6" w:rsidRDefault="00F8090D" w:rsidP="00F8090D">
      <w:pPr>
        <w:jc w:val="both"/>
        <w:rPr>
          <w:rFonts w:ascii="ITC Avant Garde" w:hAnsi="ITC Avant Garde"/>
          <w:sz w:val="22"/>
          <w:szCs w:val="22"/>
        </w:rPr>
      </w:pPr>
      <w:r w:rsidRPr="00525DB6">
        <w:rPr>
          <w:rFonts w:ascii="ITC Avant Garde" w:eastAsia="Calibri" w:hAnsi="ITC Avant Garde"/>
          <w:bCs/>
          <w:color w:val="000000"/>
          <w:sz w:val="22"/>
          <w:szCs w:val="22"/>
          <w:lang w:eastAsia="es-MX"/>
        </w:rPr>
        <w:t xml:space="preserve">Es decir, el otorgamiento de una prórroga de vigencia constituye un nuevo acto de otorgamiento de una concesión por un plazo determinado, que en el caso que nos ocupa, tiene por objeto el uso, aprovechamiento y explotación del </w:t>
      </w:r>
      <w:r w:rsidRPr="00525DB6">
        <w:rPr>
          <w:rFonts w:ascii="ITC Avant Garde" w:hAnsi="ITC Avant Garde"/>
          <w:sz w:val="22"/>
          <w:szCs w:val="22"/>
        </w:rPr>
        <w:t>espectro radioeléctrico, bien de uso común sujeto al régimen de do</w:t>
      </w:r>
      <w:r w:rsidR="00531BC3" w:rsidRPr="00525DB6">
        <w:rPr>
          <w:rFonts w:ascii="ITC Avant Garde" w:hAnsi="ITC Avant Garde"/>
          <w:sz w:val="22"/>
          <w:szCs w:val="22"/>
        </w:rPr>
        <w:t>minio público de la Federación.</w:t>
      </w:r>
    </w:p>
    <w:p w14:paraId="0B49E8B1" w14:textId="77777777" w:rsidR="00F8090D" w:rsidRPr="00525DB6" w:rsidRDefault="00F8090D" w:rsidP="007A2645">
      <w:pPr>
        <w:tabs>
          <w:tab w:val="num" w:pos="540"/>
        </w:tabs>
        <w:jc w:val="both"/>
        <w:rPr>
          <w:rFonts w:ascii="ITC Avant Garde" w:eastAsia="Calibri" w:hAnsi="ITC Avant Garde"/>
          <w:bCs/>
          <w:color w:val="000000"/>
          <w:sz w:val="22"/>
          <w:szCs w:val="22"/>
          <w:lang w:eastAsia="es-MX"/>
        </w:rPr>
      </w:pPr>
    </w:p>
    <w:p w14:paraId="20A1203A" w14:textId="19E23590" w:rsidR="00531BC3" w:rsidRPr="00525DB6" w:rsidRDefault="00531BC3" w:rsidP="00531BC3">
      <w:pPr>
        <w:jc w:val="both"/>
        <w:rPr>
          <w:rFonts w:ascii="ITC Avant Garde" w:hAnsi="ITC Avant Garde"/>
          <w:sz w:val="22"/>
          <w:szCs w:val="22"/>
        </w:rPr>
      </w:pPr>
      <w:r w:rsidRPr="00525DB6">
        <w:rPr>
          <w:rFonts w:ascii="ITC Avant Garde" w:hAnsi="ITC Avant Garde"/>
          <w:sz w:val="22"/>
          <w:szCs w:val="22"/>
        </w:rPr>
        <w:t xml:space="preserve">En este caso, constituye un recurso económico del Estado al que le son aplicables los principios contenidos en el artículo 134 de la Constitución, conjuntamente con los establecidos en los artículos 25, 26, 27 y 28 que conforman el capítulo económico de Ley Fundamental, por lo que se otorga en concesión solo a cambio de una contraprestación económica. En este sentido, al prorrogarse </w:t>
      </w:r>
      <w:r w:rsidR="00DC32DC" w:rsidRPr="00525DB6">
        <w:rPr>
          <w:rFonts w:ascii="ITC Avant Garde" w:hAnsi="ITC Avant Garde"/>
          <w:sz w:val="22"/>
          <w:szCs w:val="22"/>
        </w:rPr>
        <w:t xml:space="preserve">su </w:t>
      </w:r>
      <w:proofErr w:type="spellStart"/>
      <w:r w:rsidR="00DC32DC" w:rsidRPr="00525DB6">
        <w:rPr>
          <w:rFonts w:ascii="ITC Avant Garde" w:hAnsi="ITC Avant Garde"/>
          <w:sz w:val="22"/>
          <w:szCs w:val="22"/>
        </w:rPr>
        <w:t>concesionamiento</w:t>
      </w:r>
      <w:proofErr w:type="spellEnd"/>
      <w:r w:rsidRPr="00525DB6">
        <w:rPr>
          <w:rFonts w:ascii="ITC Avant Garde" w:hAnsi="ITC Avant Garde"/>
          <w:sz w:val="22"/>
          <w:szCs w:val="22"/>
        </w:rPr>
        <w:t>, el Estado tiene derecho a percibir una contraprestación por el uso, goce, aprovechamiento o explotación del bien de dominio público de la Federación al que se hace mención.</w:t>
      </w:r>
    </w:p>
    <w:p w14:paraId="2D708B5E" w14:textId="77777777" w:rsidR="00F8090D" w:rsidRPr="00525DB6" w:rsidRDefault="00F8090D" w:rsidP="007A2645">
      <w:pPr>
        <w:tabs>
          <w:tab w:val="num" w:pos="540"/>
        </w:tabs>
        <w:jc w:val="both"/>
        <w:rPr>
          <w:rFonts w:ascii="ITC Avant Garde" w:eastAsia="Calibri" w:hAnsi="ITC Avant Garde"/>
          <w:bCs/>
          <w:color w:val="000000"/>
          <w:sz w:val="22"/>
          <w:szCs w:val="22"/>
          <w:lang w:eastAsia="es-MX"/>
        </w:rPr>
      </w:pPr>
    </w:p>
    <w:p w14:paraId="1E70B3FF" w14:textId="77777777" w:rsidR="00531BC3" w:rsidRPr="00525DB6" w:rsidRDefault="00531BC3" w:rsidP="00531BC3">
      <w:pPr>
        <w:tabs>
          <w:tab w:val="num" w:pos="540"/>
        </w:tabs>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 xml:space="preserve">Ahora bien, la Solicitud de Prórroga fue presentada antes de la entrada en vigor del Decreto de Reforma Constitucional, en ese sentido, dicha disposición estableció en el segundo párrafo del artículo Séptimo Transitorio que los procedimientos iniciados con anterioridad a la integración del Instituto, continuarán su trámite en términos de la legislación aplicable al momento de su inicio, por lo que corresponde a la Secretaría de Hacienda y Crédito Público, en atención a lo señalado en el artículo 10 de la Ley de Ingresos de la Federación, fijar los aprovechamientos que se cobrarán en el ejercicio fiscal correspondiente por el uso, goce, aprovechamiento o explotación de bienes sujetos al régimen de dominio público de la Federación. </w:t>
      </w:r>
    </w:p>
    <w:p w14:paraId="519F7069" w14:textId="77777777" w:rsidR="00F8090D" w:rsidRPr="00525DB6" w:rsidRDefault="00F8090D" w:rsidP="007A2645">
      <w:pPr>
        <w:tabs>
          <w:tab w:val="num" w:pos="540"/>
        </w:tabs>
        <w:jc w:val="both"/>
        <w:rPr>
          <w:rFonts w:ascii="ITC Avant Garde" w:eastAsia="Calibri" w:hAnsi="ITC Avant Garde"/>
          <w:bCs/>
          <w:color w:val="000000"/>
          <w:sz w:val="22"/>
          <w:szCs w:val="22"/>
          <w:lang w:eastAsia="es-MX"/>
        </w:rPr>
      </w:pPr>
    </w:p>
    <w:p w14:paraId="31EAC2E9" w14:textId="162D8EB6" w:rsidR="00531BC3" w:rsidRPr="00525DB6" w:rsidRDefault="00F04A33" w:rsidP="00531BC3">
      <w:pPr>
        <w:tabs>
          <w:tab w:val="num" w:pos="540"/>
        </w:tabs>
        <w:jc w:val="both"/>
        <w:rPr>
          <w:rFonts w:ascii="ITC Avant Garde" w:hAnsi="ITC Avant Garde"/>
          <w:bCs/>
          <w:color w:val="000000"/>
          <w:sz w:val="22"/>
          <w:szCs w:val="22"/>
          <w:lang w:val="es-ES" w:eastAsia="es-MX"/>
        </w:rPr>
      </w:pPr>
      <w:r w:rsidRPr="00525DB6">
        <w:rPr>
          <w:rFonts w:ascii="ITC Avant Garde" w:hAnsi="ITC Avant Garde"/>
          <w:bCs/>
          <w:color w:val="000000"/>
          <w:sz w:val="22"/>
          <w:szCs w:val="22"/>
          <w:lang w:val="es-ES" w:eastAsia="es-MX"/>
        </w:rPr>
        <w:t xml:space="preserve">En ese sentido, a fin de que la Secretaría de Hacienda y Crédito Público fijara el monto de los aprovechamientos correspondientes, la Unidad de Espectro Radioeléctrico del Instituto, mediante oficios IFT/222/UER/010/2014 de fecha 6 de octubre de 2014 e IFT/222/UER/154/2015 de fecha 24 de junio de 2015, remitió a dicha Dependencia, las propuestas de aprovechamientos que debería pagar </w:t>
      </w:r>
      <w:proofErr w:type="spellStart"/>
      <w:r w:rsidR="00531BC3" w:rsidRPr="00525DB6">
        <w:rPr>
          <w:rFonts w:ascii="ITC Avant Garde" w:hAnsi="ITC Avant Garde"/>
          <w:bCs/>
          <w:color w:val="000000"/>
          <w:sz w:val="22"/>
          <w:szCs w:val="22"/>
          <w:lang w:val="es-ES" w:eastAsia="es-MX"/>
        </w:rPr>
        <w:t>Troncatel</w:t>
      </w:r>
      <w:proofErr w:type="spellEnd"/>
      <w:r w:rsidR="00531BC3" w:rsidRPr="00525DB6">
        <w:rPr>
          <w:rFonts w:ascii="ITC Avant Garde" w:hAnsi="ITC Avant Garde"/>
          <w:bCs/>
          <w:color w:val="000000"/>
          <w:sz w:val="22"/>
          <w:szCs w:val="22"/>
          <w:lang w:val="es-ES" w:eastAsia="es-MX"/>
        </w:rPr>
        <w:t>, S.A. de C.V., por el uso, aprovechamiento y explotación de las bandas de frecuencias en del segmento 410 – 430 MHz, para lo cual consideró, entre otros, los siguientes aspectos: las bandas de espectro radioeléctrico objeto de la las Solicitud de Prórroga, la cobertura geográfica autorizada, así como los pagos promedio realizados en las licitaciones No. 15, 16 y 17 para el otorgamiento de concesiones de bandas de frecuencias para la prestación del servicio móvil de radiocomunicación especializada en flotillas. Además</w:t>
      </w:r>
      <w:r w:rsidR="00DC32DC" w:rsidRPr="00525DB6">
        <w:rPr>
          <w:rFonts w:ascii="ITC Avant Garde" w:hAnsi="ITC Avant Garde"/>
          <w:bCs/>
          <w:color w:val="000000"/>
          <w:sz w:val="22"/>
          <w:szCs w:val="22"/>
          <w:lang w:val="es-ES" w:eastAsia="es-MX"/>
        </w:rPr>
        <w:t>,</w:t>
      </w:r>
      <w:r w:rsidR="00531BC3" w:rsidRPr="00525DB6">
        <w:rPr>
          <w:rFonts w:ascii="ITC Avant Garde" w:hAnsi="ITC Avant Garde"/>
          <w:bCs/>
          <w:color w:val="000000"/>
          <w:sz w:val="22"/>
          <w:szCs w:val="22"/>
          <w:lang w:val="es-ES" w:eastAsia="es-MX"/>
        </w:rPr>
        <w:t xml:space="preserve"> se considera dentro de este aprovechamiento un monto equivalente a las cuotas de derechos del artículo 244-F por el periodo comprendido desde la fecha de vencimiento de cada una de las concesiones, hasta la fecha en que los concesionarios paguen el aprovechamiento con motivo de la prórroga de la vigencia de </w:t>
      </w:r>
      <w:r w:rsidRPr="00525DB6">
        <w:rPr>
          <w:rFonts w:ascii="ITC Avant Garde" w:hAnsi="ITC Avant Garde"/>
          <w:bCs/>
          <w:color w:val="000000"/>
          <w:sz w:val="22"/>
          <w:szCs w:val="22"/>
          <w:lang w:val="es-ES" w:eastAsia="es-MX"/>
        </w:rPr>
        <w:t xml:space="preserve">la </w:t>
      </w:r>
      <w:r w:rsidR="00531BC3" w:rsidRPr="00525DB6">
        <w:rPr>
          <w:rFonts w:ascii="ITC Avant Garde" w:hAnsi="ITC Avant Garde"/>
          <w:bCs/>
          <w:color w:val="000000"/>
          <w:sz w:val="22"/>
          <w:szCs w:val="22"/>
          <w:lang w:val="es-ES" w:eastAsia="es-MX"/>
        </w:rPr>
        <w:t>concesión.</w:t>
      </w:r>
    </w:p>
    <w:p w14:paraId="164443F5" w14:textId="77777777" w:rsidR="00531BC3" w:rsidRPr="00525DB6" w:rsidRDefault="00531BC3" w:rsidP="00531BC3">
      <w:pPr>
        <w:tabs>
          <w:tab w:val="num" w:pos="540"/>
        </w:tabs>
        <w:jc w:val="both"/>
        <w:rPr>
          <w:rFonts w:ascii="ITC Avant Garde" w:hAnsi="ITC Avant Garde"/>
          <w:bCs/>
          <w:color w:val="000000"/>
          <w:sz w:val="22"/>
          <w:szCs w:val="22"/>
          <w:lang w:val="es-ES" w:eastAsia="es-MX"/>
        </w:rPr>
      </w:pPr>
    </w:p>
    <w:p w14:paraId="588C485A" w14:textId="41FD1C94" w:rsidR="00531BC3" w:rsidRPr="00525DB6" w:rsidRDefault="00F04A33" w:rsidP="00531BC3">
      <w:pPr>
        <w:ind w:right="96"/>
        <w:jc w:val="both"/>
        <w:rPr>
          <w:rFonts w:ascii="ITC Avant Garde" w:eastAsia="Calibri" w:hAnsi="ITC Avant Garde"/>
          <w:bCs/>
          <w:color w:val="000000"/>
          <w:sz w:val="22"/>
          <w:szCs w:val="22"/>
          <w:lang w:eastAsia="es-MX"/>
        </w:rPr>
      </w:pPr>
      <w:r w:rsidRPr="00525DB6">
        <w:rPr>
          <w:rFonts w:ascii="ITC Avant Garde" w:eastAsia="Calibri" w:hAnsi="ITC Avant Garde"/>
          <w:bCs/>
          <w:color w:val="000000"/>
          <w:sz w:val="22"/>
          <w:szCs w:val="22"/>
          <w:lang w:eastAsia="es-MX"/>
        </w:rPr>
        <w:t xml:space="preserve">En atención a la propuesta presentada por la Unidad de Espectro Radioeléctrico, con oficios 349-B-367 y 349-B-264 señalados en el Antecedente XIII, la Secretaría de Hacienda y Crédito Público autorizó los aprovechamientos por la prórroga de diversas concesiones para prestar </w:t>
      </w:r>
      <w:r w:rsidRPr="00525DB6">
        <w:rPr>
          <w:rFonts w:ascii="ITC Avant Garde" w:eastAsia="Calibri" w:hAnsi="ITC Avant Garde"/>
          <w:bCs/>
          <w:color w:val="000000"/>
          <w:sz w:val="22"/>
          <w:szCs w:val="22"/>
          <w:lang w:eastAsia="es-MX"/>
        </w:rPr>
        <w:lastRenderedPageBreak/>
        <w:t>el servicio móvil de radiocomunicación especializada de flotillas</w:t>
      </w:r>
      <w:r w:rsidR="001D1353" w:rsidRPr="00525DB6">
        <w:rPr>
          <w:rFonts w:ascii="ITC Avant Garde" w:eastAsia="Calibri" w:hAnsi="ITC Avant Garde"/>
          <w:bCs/>
          <w:color w:val="000000"/>
          <w:sz w:val="22"/>
          <w:szCs w:val="22"/>
          <w:lang w:eastAsia="es-MX"/>
        </w:rPr>
        <w:t>, entre la</w:t>
      </w:r>
      <w:r w:rsidR="00531BC3" w:rsidRPr="00525DB6">
        <w:rPr>
          <w:rFonts w:ascii="ITC Avant Garde" w:eastAsia="Calibri" w:hAnsi="ITC Avant Garde"/>
          <w:bCs/>
          <w:color w:val="000000"/>
          <w:sz w:val="22"/>
          <w:szCs w:val="22"/>
          <w:lang w:eastAsia="es-MX"/>
        </w:rPr>
        <w:t>s que se encuentra</w:t>
      </w:r>
      <w:r w:rsidR="001D1353" w:rsidRPr="00525DB6">
        <w:rPr>
          <w:rFonts w:ascii="ITC Avant Garde" w:eastAsia="Calibri" w:hAnsi="ITC Avant Garde"/>
          <w:bCs/>
          <w:color w:val="000000"/>
          <w:sz w:val="22"/>
          <w:szCs w:val="22"/>
          <w:lang w:eastAsia="es-MX"/>
        </w:rPr>
        <w:t xml:space="preserve"> la Concesión de</w:t>
      </w:r>
      <w:r w:rsidR="00531BC3" w:rsidRPr="00525DB6">
        <w:rPr>
          <w:rFonts w:ascii="ITC Avant Garde" w:eastAsia="Calibri" w:hAnsi="ITC Avant Garde"/>
          <w:bCs/>
          <w:color w:val="000000"/>
          <w:sz w:val="22"/>
          <w:szCs w:val="22"/>
          <w:lang w:eastAsia="es-MX"/>
        </w:rPr>
        <w:t xml:space="preserve"> </w:t>
      </w:r>
      <w:proofErr w:type="spellStart"/>
      <w:r w:rsidR="00EA2304" w:rsidRPr="00525DB6">
        <w:rPr>
          <w:rFonts w:ascii="ITC Avant Garde" w:eastAsia="Calibri" w:hAnsi="ITC Avant Garde"/>
          <w:bCs/>
          <w:color w:val="000000"/>
          <w:sz w:val="22"/>
          <w:szCs w:val="22"/>
          <w:lang w:eastAsia="es-MX"/>
        </w:rPr>
        <w:t>Troncatel</w:t>
      </w:r>
      <w:proofErr w:type="spellEnd"/>
      <w:r w:rsidR="00EA2304" w:rsidRPr="00525DB6">
        <w:rPr>
          <w:rFonts w:ascii="ITC Avant Garde" w:eastAsia="Calibri" w:hAnsi="ITC Avant Garde"/>
          <w:bCs/>
          <w:color w:val="000000"/>
          <w:sz w:val="22"/>
          <w:szCs w:val="22"/>
          <w:lang w:eastAsia="es-MX"/>
        </w:rPr>
        <w:t>, S.A. de C.V.</w:t>
      </w:r>
      <w:r w:rsidR="00531BC3" w:rsidRPr="00525DB6">
        <w:rPr>
          <w:rFonts w:ascii="ITC Avant Garde" w:eastAsia="Calibri" w:hAnsi="ITC Avant Garde"/>
          <w:bCs/>
          <w:color w:val="000000"/>
          <w:sz w:val="22"/>
          <w:szCs w:val="22"/>
          <w:lang w:eastAsia="es-MX"/>
        </w:rPr>
        <w:t>, en los siguientes términos:</w:t>
      </w:r>
    </w:p>
    <w:p w14:paraId="18C096BD" w14:textId="77777777" w:rsidR="00531BC3" w:rsidRPr="00525DB6" w:rsidRDefault="00531BC3" w:rsidP="00531BC3">
      <w:pPr>
        <w:ind w:right="96"/>
        <w:jc w:val="both"/>
        <w:rPr>
          <w:rFonts w:ascii="ITC Avant Garde" w:eastAsia="Calibri" w:hAnsi="ITC Avant Garde"/>
          <w:bCs/>
          <w:color w:val="000000"/>
          <w:sz w:val="22"/>
          <w:szCs w:val="22"/>
          <w:lang w:eastAsia="es-MX"/>
        </w:rPr>
      </w:pPr>
    </w:p>
    <w:p w14:paraId="2F6395AC" w14:textId="77777777" w:rsidR="00531BC3" w:rsidRPr="00525DB6" w:rsidRDefault="00531BC3" w:rsidP="00531BC3">
      <w:pPr>
        <w:ind w:right="96"/>
        <w:jc w:val="both"/>
        <w:rPr>
          <w:rFonts w:ascii="ITC Avant Garde" w:eastAsia="Calibri" w:hAnsi="ITC Avant Garde"/>
          <w:bCs/>
          <w:i/>
          <w:color w:val="000000"/>
          <w:sz w:val="16"/>
          <w:szCs w:val="16"/>
          <w:lang w:eastAsia="es-MX"/>
        </w:rPr>
      </w:pPr>
      <w:r w:rsidRPr="00525DB6">
        <w:rPr>
          <w:rFonts w:ascii="ITC Avant Garde" w:eastAsia="Calibri" w:hAnsi="ITC Avant Garde"/>
          <w:bCs/>
          <w:color w:val="000000"/>
          <w:sz w:val="22"/>
          <w:szCs w:val="22"/>
          <w:lang w:eastAsia="es-MX"/>
        </w:rPr>
        <w:tab/>
      </w:r>
      <w:r w:rsidRPr="00525DB6">
        <w:rPr>
          <w:rFonts w:ascii="ITC Avant Garde" w:eastAsia="Calibri" w:hAnsi="ITC Avant Garde"/>
          <w:bCs/>
          <w:i/>
          <w:color w:val="000000"/>
          <w:sz w:val="16"/>
          <w:szCs w:val="16"/>
          <w:lang w:eastAsia="es-MX"/>
        </w:rPr>
        <w:t>“[…]</w:t>
      </w:r>
    </w:p>
    <w:p w14:paraId="1A71A621" w14:textId="77777777" w:rsidR="00531BC3" w:rsidRPr="00525DB6" w:rsidRDefault="00531BC3" w:rsidP="00531BC3">
      <w:pPr>
        <w:ind w:right="96"/>
        <w:jc w:val="both"/>
        <w:rPr>
          <w:rFonts w:ascii="ITC Avant Garde" w:eastAsia="Calibri" w:hAnsi="ITC Avant Garde"/>
          <w:bCs/>
          <w:i/>
          <w:color w:val="000000"/>
          <w:sz w:val="16"/>
          <w:szCs w:val="16"/>
          <w:lang w:eastAsia="es-MX"/>
        </w:rPr>
      </w:pPr>
    </w:p>
    <w:p w14:paraId="14FEEDC6" w14:textId="77777777" w:rsidR="00531BC3" w:rsidRPr="00525DB6" w:rsidRDefault="00531BC3" w:rsidP="00531BC3">
      <w:pPr>
        <w:pStyle w:val="Prrafodelista"/>
        <w:numPr>
          <w:ilvl w:val="0"/>
          <w:numId w:val="30"/>
        </w:numPr>
        <w:ind w:left="993" w:right="528" w:hanging="426"/>
        <w:jc w:val="both"/>
        <w:rPr>
          <w:rFonts w:ascii="ITC Avant Garde" w:eastAsia="Calibri" w:hAnsi="ITC Avant Garde"/>
          <w:bCs/>
          <w:i/>
          <w:color w:val="000000"/>
          <w:sz w:val="16"/>
          <w:szCs w:val="16"/>
          <w:lang w:eastAsia="es-MX"/>
        </w:rPr>
      </w:pPr>
      <w:r w:rsidRPr="00525DB6">
        <w:rPr>
          <w:rFonts w:ascii="ITC Avant Garde" w:eastAsia="Calibri" w:hAnsi="ITC Avant Garde"/>
          <w:b/>
          <w:bCs/>
          <w:i/>
          <w:color w:val="000000"/>
          <w:sz w:val="16"/>
          <w:szCs w:val="16"/>
          <w:lang w:eastAsia="es-MX"/>
        </w:rPr>
        <w:t>Un aprovechamiento a pagarse en una sola exhibición</w:t>
      </w:r>
      <w:r w:rsidRPr="00525DB6">
        <w:rPr>
          <w:rFonts w:ascii="ITC Avant Garde" w:hAnsi="ITC Avant Garde"/>
          <w:bCs/>
          <w:i/>
          <w:color w:val="000000"/>
          <w:sz w:val="16"/>
          <w:szCs w:val="16"/>
          <w:lang w:val="es-ES" w:eastAsia="es-MX"/>
        </w:rPr>
        <w:t xml:space="preserve"> </w:t>
      </w:r>
      <w:r w:rsidRPr="00525DB6">
        <w:rPr>
          <w:rFonts w:ascii="ITC Avant Garde" w:eastAsia="Calibri" w:hAnsi="ITC Avant Garde"/>
          <w:bCs/>
          <w:i/>
          <w:color w:val="000000"/>
          <w:sz w:val="16"/>
          <w:szCs w:val="16"/>
          <w:lang w:eastAsia="es-MX"/>
        </w:rPr>
        <w:t>equivalente a los pagos promedio realizados en las licitaciones No. 15, 16 y 17 para el servicio móvil de radiocomunicación especializada de flotillas (</w:t>
      </w:r>
      <w:proofErr w:type="spellStart"/>
      <w:r w:rsidRPr="00525DB6">
        <w:rPr>
          <w:rFonts w:ascii="ITC Avant Garde" w:eastAsia="Calibri" w:hAnsi="ITC Avant Garde"/>
          <w:bCs/>
          <w:i/>
          <w:color w:val="000000"/>
          <w:sz w:val="16"/>
          <w:szCs w:val="16"/>
          <w:lang w:eastAsia="es-MX"/>
        </w:rPr>
        <w:t>trunking</w:t>
      </w:r>
      <w:proofErr w:type="spellEnd"/>
      <w:r w:rsidRPr="00525DB6">
        <w:rPr>
          <w:rFonts w:ascii="ITC Avant Garde" w:eastAsia="Calibri" w:hAnsi="ITC Avant Garde"/>
          <w:bCs/>
          <w:i/>
          <w:color w:val="000000"/>
          <w:sz w:val="16"/>
          <w:szCs w:val="16"/>
          <w:lang w:eastAsia="es-MX"/>
        </w:rPr>
        <w:t>) conforme al ancho de banda concesionado; el área de cobertura geográfica autorizada y el plazo que cubra la prórroga de las concesiones. Además, se considera dentro de este aprovechamiento un monto calculado tomando en cuenta un monto equivalente a las cuotas de derechos del artículo 244-F por el periodo comprendido desde la fecha de vencimiento de cada una de las concesiones hasta el presente ejercicio fiscal.</w:t>
      </w:r>
    </w:p>
    <w:p w14:paraId="0FF05672" w14:textId="77777777" w:rsidR="00F8090D" w:rsidRPr="00525DB6" w:rsidRDefault="00F8090D" w:rsidP="007A2645">
      <w:pPr>
        <w:tabs>
          <w:tab w:val="num" w:pos="540"/>
        </w:tabs>
        <w:jc w:val="both"/>
        <w:rPr>
          <w:rFonts w:ascii="ITC Avant Garde" w:eastAsia="Calibri" w:hAnsi="ITC Avant Garde"/>
          <w:bCs/>
          <w:color w:val="000000"/>
          <w:sz w:val="22"/>
          <w:szCs w:val="22"/>
          <w:lang w:eastAsia="es-MX"/>
        </w:rPr>
      </w:pPr>
    </w:p>
    <w:p w14:paraId="4AB833E2" w14:textId="77777777" w:rsidR="00531BC3" w:rsidRPr="00525DB6" w:rsidRDefault="00531BC3" w:rsidP="00531BC3">
      <w:pPr>
        <w:pStyle w:val="Prrafodelista"/>
        <w:numPr>
          <w:ilvl w:val="0"/>
          <w:numId w:val="30"/>
        </w:numPr>
        <w:ind w:left="993" w:right="528" w:hanging="426"/>
        <w:jc w:val="both"/>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ejercicio fiscal.</w:t>
      </w:r>
    </w:p>
    <w:p w14:paraId="17AB3A86" w14:textId="77777777" w:rsidR="00531BC3" w:rsidRPr="00525DB6" w:rsidRDefault="00531BC3" w:rsidP="00531BC3">
      <w:pPr>
        <w:ind w:right="528"/>
        <w:jc w:val="both"/>
        <w:rPr>
          <w:rFonts w:ascii="ITC Avant Garde" w:eastAsia="Calibri" w:hAnsi="ITC Avant Garde"/>
          <w:bCs/>
          <w:i/>
          <w:color w:val="000000"/>
          <w:sz w:val="16"/>
          <w:szCs w:val="16"/>
          <w:lang w:eastAsia="es-MX"/>
        </w:rPr>
      </w:pPr>
    </w:p>
    <w:tbl>
      <w:tblPr>
        <w:tblStyle w:val="Tablaconcuadrcula"/>
        <w:tblW w:w="7933" w:type="dxa"/>
        <w:jc w:val="center"/>
        <w:tblLayout w:type="fixed"/>
        <w:tblLook w:val="04A0" w:firstRow="1" w:lastRow="0" w:firstColumn="1" w:lastColumn="0" w:noHBand="0" w:noVBand="1"/>
        <w:tblCaption w:val="Ejercicio Fiscal"/>
        <w:tblDescription w:val="Consecionario TRONCATEL, S.A. DE C.V."/>
      </w:tblPr>
      <w:tblGrid>
        <w:gridCol w:w="562"/>
        <w:gridCol w:w="3408"/>
        <w:gridCol w:w="1701"/>
        <w:gridCol w:w="2262"/>
      </w:tblGrid>
      <w:tr w:rsidR="00531BC3" w:rsidRPr="00525DB6" w14:paraId="525ACAA3" w14:textId="77777777" w:rsidTr="00DA5CA5">
        <w:trPr>
          <w:tblHeader/>
          <w:jc w:val="center"/>
        </w:trPr>
        <w:tc>
          <w:tcPr>
            <w:tcW w:w="562" w:type="dxa"/>
            <w:vAlign w:val="center"/>
          </w:tcPr>
          <w:p w14:paraId="1EF0DCDB" w14:textId="77777777" w:rsidR="00531BC3" w:rsidRPr="00525DB6" w:rsidRDefault="00531BC3" w:rsidP="001D4B69">
            <w:pPr>
              <w:ind w:right="-108"/>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No.</w:t>
            </w:r>
          </w:p>
        </w:tc>
        <w:tc>
          <w:tcPr>
            <w:tcW w:w="3408" w:type="dxa"/>
            <w:vAlign w:val="center"/>
          </w:tcPr>
          <w:p w14:paraId="19557D8D"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Nombre del Concesionario</w:t>
            </w:r>
          </w:p>
        </w:tc>
        <w:tc>
          <w:tcPr>
            <w:tcW w:w="1701" w:type="dxa"/>
            <w:vAlign w:val="center"/>
          </w:tcPr>
          <w:p w14:paraId="7FBE4257"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Banda de Frecuencias (reubicación)</w:t>
            </w:r>
          </w:p>
        </w:tc>
        <w:tc>
          <w:tcPr>
            <w:tcW w:w="2262" w:type="dxa"/>
            <w:vAlign w:val="center"/>
          </w:tcPr>
          <w:p w14:paraId="410405AE"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Importe del Aprovechamiento inicial (pesos)</w:t>
            </w:r>
          </w:p>
        </w:tc>
      </w:tr>
      <w:tr w:rsidR="00531BC3" w:rsidRPr="00525DB6" w14:paraId="3E09427E" w14:textId="77777777" w:rsidTr="001D4B69">
        <w:trPr>
          <w:jc w:val="center"/>
        </w:trPr>
        <w:tc>
          <w:tcPr>
            <w:tcW w:w="562" w:type="dxa"/>
          </w:tcPr>
          <w:p w14:paraId="001CB4AC" w14:textId="77777777" w:rsidR="00531BC3" w:rsidRPr="00525DB6" w:rsidRDefault="00531BC3" w:rsidP="001D4B69">
            <w:pPr>
              <w:ind w:right="-108"/>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1</w:t>
            </w:r>
          </w:p>
        </w:tc>
        <w:tc>
          <w:tcPr>
            <w:tcW w:w="3408" w:type="dxa"/>
          </w:tcPr>
          <w:p w14:paraId="684BDBB6" w14:textId="77777777" w:rsidR="00531BC3" w:rsidRPr="00525DB6" w:rsidRDefault="00531BC3" w:rsidP="001D4B69">
            <w:pPr>
              <w:ind w:right="96"/>
              <w:jc w:val="center"/>
              <w:rPr>
                <w:rFonts w:ascii="ITC Avant Garde" w:hAnsi="ITC Avant Garde"/>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1701" w:type="dxa"/>
          </w:tcPr>
          <w:p w14:paraId="4138BBEC"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2262" w:type="dxa"/>
          </w:tcPr>
          <w:p w14:paraId="388E16B0"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r>
      <w:tr w:rsidR="00531BC3" w:rsidRPr="00525DB6" w14:paraId="723EFBB9" w14:textId="77777777" w:rsidTr="001D4B69">
        <w:trPr>
          <w:jc w:val="center"/>
        </w:trPr>
        <w:tc>
          <w:tcPr>
            <w:tcW w:w="562" w:type="dxa"/>
          </w:tcPr>
          <w:p w14:paraId="0448AC7A" w14:textId="77777777" w:rsidR="00531BC3" w:rsidRPr="00525DB6" w:rsidRDefault="00531BC3" w:rsidP="001D4B69">
            <w:pPr>
              <w:ind w:right="-108"/>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2</w:t>
            </w:r>
          </w:p>
        </w:tc>
        <w:tc>
          <w:tcPr>
            <w:tcW w:w="3408" w:type="dxa"/>
          </w:tcPr>
          <w:p w14:paraId="730D697B" w14:textId="4CDF230D"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1701" w:type="dxa"/>
          </w:tcPr>
          <w:p w14:paraId="6494977B" w14:textId="0ED182E9"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2262" w:type="dxa"/>
          </w:tcPr>
          <w:p w14:paraId="33843701" w14:textId="59BB3566"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r>
      <w:tr w:rsidR="00531BC3" w:rsidRPr="00525DB6" w14:paraId="3FDE2274" w14:textId="77777777" w:rsidTr="001D4B69">
        <w:trPr>
          <w:jc w:val="center"/>
        </w:trPr>
        <w:tc>
          <w:tcPr>
            <w:tcW w:w="562" w:type="dxa"/>
          </w:tcPr>
          <w:p w14:paraId="754BEAA7" w14:textId="77777777" w:rsidR="00531BC3" w:rsidRPr="00525DB6" w:rsidRDefault="00531BC3" w:rsidP="001D4B69">
            <w:pPr>
              <w:ind w:right="-108"/>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3</w:t>
            </w:r>
          </w:p>
        </w:tc>
        <w:tc>
          <w:tcPr>
            <w:tcW w:w="3408" w:type="dxa"/>
          </w:tcPr>
          <w:p w14:paraId="7C761202"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1701" w:type="dxa"/>
          </w:tcPr>
          <w:p w14:paraId="589DD4FB"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2262" w:type="dxa"/>
          </w:tcPr>
          <w:p w14:paraId="3A007D92"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r>
      <w:tr w:rsidR="00531BC3" w:rsidRPr="00525DB6" w14:paraId="44B650F4" w14:textId="77777777" w:rsidTr="001D4B69">
        <w:trPr>
          <w:jc w:val="center"/>
        </w:trPr>
        <w:tc>
          <w:tcPr>
            <w:tcW w:w="562" w:type="dxa"/>
          </w:tcPr>
          <w:p w14:paraId="47DCA2DE" w14:textId="77777777" w:rsidR="00531BC3" w:rsidRPr="00525DB6" w:rsidRDefault="00531BC3" w:rsidP="001D4B69">
            <w:pPr>
              <w:ind w:right="-108"/>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4</w:t>
            </w:r>
          </w:p>
        </w:tc>
        <w:tc>
          <w:tcPr>
            <w:tcW w:w="3408" w:type="dxa"/>
          </w:tcPr>
          <w:p w14:paraId="7660F99C"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1701" w:type="dxa"/>
          </w:tcPr>
          <w:p w14:paraId="0154C325"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2262" w:type="dxa"/>
          </w:tcPr>
          <w:p w14:paraId="2BCF2474"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r>
      <w:tr w:rsidR="00531BC3" w:rsidRPr="00525DB6" w14:paraId="5CC30566" w14:textId="77777777" w:rsidTr="001D4B69">
        <w:trPr>
          <w:jc w:val="center"/>
        </w:trPr>
        <w:tc>
          <w:tcPr>
            <w:tcW w:w="562" w:type="dxa"/>
          </w:tcPr>
          <w:p w14:paraId="214C8BAE" w14:textId="77777777" w:rsidR="00531BC3" w:rsidRPr="00525DB6" w:rsidRDefault="00531BC3" w:rsidP="001D4B69">
            <w:pPr>
              <w:ind w:right="-108"/>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5</w:t>
            </w:r>
          </w:p>
        </w:tc>
        <w:tc>
          <w:tcPr>
            <w:tcW w:w="3408" w:type="dxa"/>
          </w:tcPr>
          <w:p w14:paraId="109744B7"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1701" w:type="dxa"/>
          </w:tcPr>
          <w:p w14:paraId="1633E44B"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2262" w:type="dxa"/>
          </w:tcPr>
          <w:p w14:paraId="5FC9D37B"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r>
      <w:tr w:rsidR="00531BC3" w:rsidRPr="00525DB6" w14:paraId="4D726CBD" w14:textId="77777777" w:rsidTr="001D4B69">
        <w:trPr>
          <w:jc w:val="center"/>
        </w:trPr>
        <w:tc>
          <w:tcPr>
            <w:tcW w:w="562" w:type="dxa"/>
          </w:tcPr>
          <w:p w14:paraId="40B31397" w14:textId="77777777" w:rsidR="00531BC3" w:rsidRPr="00525DB6" w:rsidRDefault="00531BC3" w:rsidP="001D4B69">
            <w:pPr>
              <w:ind w:right="-108"/>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6</w:t>
            </w:r>
          </w:p>
        </w:tc>
        <w:tc>
          <w:tcPr>
            <w:tcW w:w="3408" w:type="dxa"/>
          </w:tcPr>
          <w:p w14:paraId="31035329"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1701" w:type="dxa"/>
          </w:tcPr>
          <w:p w14:paraId="679A146C"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2262" w:type="dxa"/>
          </w:tcPr>
          <w:p w14:paraId="1D0E6CD8"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r>
      <w:tr w:rsidR="00531BC3" w:rsidRPr="00525DB6" w14:paraId="2A182077" w14:textId="77777777" w:rsidTr="001D4B69">
        <w:trPr>
          <w:jc w:val="center"/>
        </w:trPr>
        <w:tc>
          <w:tcPr>
            <w:tcW w:w="562" w:type="dxa"/>
          </w:tcPr>
          <w:p w14:paraId="39C2796F" w14:textId="77777777" w:rsidR="00531BC3" w:rsidRPr="00525DB6" w:rsidRDefault="00531BC3" w:rsidP="001D4B69">
            <w:pPr>
              <w:ind w:right="-108"/>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7</w:t>
            </w:r>
          </w:p>
        </w:tc>
        <w:tc>
          <w:tcPr>
            <w:tcW w:w="3408" w:type="dxa"/>
          </w:tcPr>
          <w:p w14:paraId="74B96AF1"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1701" w:type="dxa"/>
          </w:tcPr>
          <w:p w14:paraId="084894AB"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2262" w:type="dxa"/>
          </w:tcPr>
          <w:p w14:paraId="637C1400"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r>
      <w:tr w:rsidR="00531BC3" w:rsidRPr="00525DB6" w14:paraId="50B69EC6" w14:textId="77777777" w:rsidTr="001D4B69">
        <w:trPr>
          <w:jc w:val="center"/>
        </w:trPr>
        <w:tc>
          <w:tcPr>
            <w:tcW w:w="562" w:type="dxa"/>
          </w:tcPr>
          <w:p w14:paraId="7AA22E3F" w14:textId="77777777" w:rsidR="00531BC3" w:rsidRPr="00525DB6" w:rsidRDefault="00531BC3" w:rsidP="001D4B69">
            <w:pPr>
              <w:ind w:right="-108"/>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8</w:t>
            </w:r>
          </w:p>
        </w:tc>
        <w:tc>
          <w:tcPr>
            <w:tcW w:w="3408" w:type="dxa"/>
          </w:tcPr>
          <w:p w14:paraId="3AD52FDB"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1701" w:type="dxa"/>
          </w:tcPr>
          <w:p w14:paraId="1F99BFE6"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c>
          <w:tcPr>
            <w:tcW w:w="2262" w:type="dxa"/>
          </w:tcPr>
          <w:p w14:paraId="68639E23" w14:textId="77777777"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w:t>
            </w:r>
          </w:p>
        </w:tc>
      </w:tr>
      <w:tr w:rsidR="00531BC3" w:rsidRPr="00525DB6" w14:paraId="4987C84F" w14:textId="77777777" w:rsidTr="001D4B69">
        <w:trPr>
          <w:jc w:val="center"/>
        </w:trPr>
        <w:tc>
          <w:tcPr>
            <w:tcW w:w="562" w:type="dxa"/>
          </w:tcPr>
          <w:p w14:paraId="08F5E7A7" w14:textId="77777777" w:rsidR="00531BC3" w:rsidRPr="00525DB6" w:rsidRDefault="00531BC3" w:rsidP="001D4B69">
            <w:pPr>
              <w:ind w:right="-108"/>
              <w:jc w:val="center"/>
              <w:rPr>
                <w:rFonts w:ascii="ITC Avant Garde" w:hAnsi="ITC Avant Garde"/>
                <w:b/>
                <w:bCs/>
                <w:i/>
                <w:color w:val="000000"/>
                <w:sz w:val="16"/>
                <w:szCs w:val="16"/>
                <w:lang w:val="es-ES" w:eastAsia="es-MX"/>
              </w:rPr>
            </w:pPr>
            <w:r w:rsidRPr="00525DB6">
              <w:rPr>
                <w:rFonts w:ascii="ITC Avant Garde" w:hAnsi="ITC Avant Garde"/>
                <w:b/>
                <w:bCs/>
                <w:i/>
                <w:color w:val="000000"/>
                <w:sz w:val="16"/>
                <w:szCs w:val="16"/>
                <w:lang w:val="es-ES" w:eastAsia="es-MX"/>
              </w:rPr>
              <w:t>9</w:t>
            </w:r>
          </w:p>
        </w:tc>
        <w:tc>
          <w:tcPr>
            <w:tcW w:w="3408" w:type="dxa"/>
          </w:tcPr>
          <w:p w14:paraId="5CC49D5A" w14:textId="0456D515" w:rsidR="00531BC3" w:rsidRPr="00525DB6" w:rsidRDefault="00531BC3" w:rsidP="00531BC3">
            <w:pPr>
              <w:ind w:right="96"/>
              <w:jc w:val="center"/>
              <w:rPr>
                <w:rFonts w:ascii="ITC Avant Garde" w:hAnsi="ITC Avant Garde"/>
                <w:b/>
                <w:bCs/>
                <w:i/>
                <w:color w:val="000000"/>
                <w:sz w:val="16"/>
                <w:szCs w:val="16"/>
                <w:lang w:val="es-ES" w:eastAsia="es-MX"/>
              </w:rPr>
            </w:pPr>
            <w:proofErr w:type="spellStart"/>
            <w:r w:rsidRPr="00525DB6">
              <w:rPr>
                <w:rFonts w:ascii="ITC Avant Garde" w:hAnsi="ITC Avant Garde"/>
                <w:bCs/>
                <w:i/>
                <w:color w:val="000000"/>
                <w:sz w:val="16"/>
                <w:szCs w:val="16"/>
                <w:lang w:val="es-ES" w:eastAsia="es-MX"/>
              </w:rPr>
              <w:t>Troncatel</w:t>
            </w:r>
            <w:proofErr w:type="spellEnd"/>
            <w:r w:rsidRPr="00525DB6">
              <w:rPr>
                <w:rFonts w:ascii="ITC Avant Garde" w:hAnsi="ITC Avant Garde"/>
                <w:bCs/>
                <w:i/>
                <w:color w:val="000000"/>
                <w:sz w:val="16"/>
                <w:szCs w:val="16"/>
                <w:lang w:val="es-ES" w:eastAsia="es-MX"/>
              </w:rPr>
              <w:t>, S.A. de C.V.</w:t>
            </w:r>
          </w:p>
        </w:tc>
        <w:tc>
          <w:tcPr>
            <w:tcW w:w="1701" w:type="dxa"/>
          </w:tcPr>
          <w:p w14:paraId="7DD55B8F" w14:textId="62B40E22"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410-430 MHz</w:t>
            </w:r>
          </w:p>
        </w:tc>
        <w:tc>
          <w:tcPr>
            <w:tcW w:w="2262" w:type="dxa"/>
          </w:tcPr>
          <w:p w14:paraId="7D26834B" w14:textId="5DE758A8" w:rsidR="00531BC3" w:rsidRPr="00525DB6" w:rsidRDefault="00531BC3" w:rsidP="001D4B69">
            <w:pPr>
              <w:ind w:right="96"/>
              <w:jc w:val="center"/>
              <w:rPr>
                <w:rFonts w:ascii="ITC Avant Garde" w:hAnsi="ITC Avant Garde"/>
                <w:b/>
                <w:bCs/>
                <w:i/>
                <w:color w:val="000000"/>
                <w:sz w:val="16"/>
                <w:szCs w:val="16"/>
                <w:lang w:val="es-ES" w:eastAsia="es-MX"/>
              </w:rPr>
            </w:pPr>
            <w:r w:rsidRPr="00525DB6">
              <w:rPr>
                <w:rFonts w:ascii="ITC Avant Garde" w:hAnsi="ITC Avant Garde"/>
                <w:bCs/>
                <w:i/>
                <w:color w:val="000000"/>
                <w:sz w:val="16"/>
                <w:szCs w:val="16"/>
                <w:lang w:val="es-ES" w:eastAsia="es-MX"/>
              </w:rPr>
              <w:t>7,703,818</w:t>
            </w:r>
          </w:p>
        </w:tc>
      </w:tr>
    </w:tbl>
    <w:p w14:paraId="791C6679" w14:textId="77777777" w:rsidR="00531BC3" w:rsidRPr="00525DB6" w:rsidRDefault="00531BC3" w:rsidP="00531BC3">
      <w:pPr>
        <w:ind w:right="96"/>
        <w:jc w:val="both"/>
        <w:rPr>
          <w:rFonts w:ascii="ITC Avant Garde" w:eastAsia="Calibri" w:hAnsi="ITC Avant Garde"/>
          <w:bCs/>
          <w:color w:val="000000"/>
          <w:sz w:val="20"/>
          <w:lang w:eastAsia="es-MX"/>
        </w:rPr>
      </w:pPr>
    </w:p>
    <w:p w14:paraId="51941FC0" w14:textId="77777777" w:rsidR="00531BC3" w:rsidRPr="00525DB6" w:rsidRDefault="00531BC3" w:rsidP="00531BC3">
      <w:pPr>
        <w:ind w:left="708" w:right="528"/>
        <w:jc w:val="both"/>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Del monto de aprovechamiento anterior, las empresas concesionarias podrán disminuir una cantidad equivalente a los derechos y/o aprovechamientos federales relativos al uso, goce, aprovechamiento o explotación del espectro radioeléctrico asociados a las concesiones que en su caso se prorroguen y que hayan sido pagados desde la fecha de vencimiento de la concesión, hasta la fecha en que el concesionario pague el aprovechamiento con motivo de la prórroga de la vigencia de las concesiones respectivas. Esta operación, se podrá realizar siempre y cuando los pagos efectivamente realizados por concepto de derechos y/o aprovechamientos cuyo importe se pretenda restar hayan sido pagados de manera definitiva y no sean devueltos por las autoridades fiscales.</w:t>
      </w:r>
    </w:p>
    <w:p w14:paraId="3A92E2E4" w14:textId="77777777" w:rsidR="00531BC3" w:rsidRPr="00525DB6" w:rsidRDefault="00531BC3" w:rsidP="00531BC3">
      <w:pPr>
        <w:ind w:left="708" w:right="528"/>
        <w:jc w:val="both"/>
        <w:rPr>
          <w:rFonts w:ascii="ITC Avant Garde" w:eastAsia="Calibri" w:hAnsi="ITC Avant Garde"/>
          <w:bCs/>
          <w:i/>
          <w:color w:val="000000"/>
          <w:sz w:val="16"/>
          <w:szCs w:val="16"/>
          <w:lang w:eastAsia="es-MX"/>
        </w:rPr>
      </w:pPr>
    </w:p>
    <w:p w14:paraId="30170C03" w14:textId="77777777" w:rsidR="00531BC3" w:rsidRPr="00525DB6" w:rsidRDefault="00531BC3" w:rsidP="00531BC3">
      <w:pPr>
        <w:ind w:left="708" w:right="528"/>
        <w:jc w:val="both"/>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 xml:space="preserve">Los montos que se podrán restar de este aprovechamiento se deberán actualizar a partir de la fecha en que se hubieran cubierto, tanto en términos del artículo 17-A del CFF, como por el factor que refleja la tasa real de fondeo promedio del Gobierno Federal en </w:t>
      </w:r>
      <w:proofErr w:type="spellStart"/>
      <w:r w:rsidRPr="00525DB6">
        <w:rPr>
          <w:rFonts w:ascii="ITC Avant Garde" w:eastAsia="Calibri" w:hAnsi="ITC Avant Garde"/>
          <w:bCs/>
          <w:i/>
          <w:color w:val="000000"/>
          <w:sz w:val="16"/>
          <w:szCs w:val="16"/>
          <w:lang w:eastAsia="es-MX"/>
        </w:rPr>
        <w:t>Udibonos</w:t>
      </w:r>
      <w:proofErr w:type="spellEnd"/>
      <w:r w:rsidRPr="00525DB6">
        <w:rPr>
          <w:rFonts w:ascii="ITC Avant Garde" w:eastAsia="Calibri" w:hAnsi="ITC Avant Garde"/>
          <w:bCs/>
          <w:i/>
          <w:color w:val="000000"/>
          <w:sz w:val="16"/>
          <w:szCs w:val="16"/>
          <w:lang w:eastAsia="es-MX"/>
        </w:rPr>
        <w:t xml:space="preserve"> que se colocaron al menor plazo en colocaciones primarias, según el año en que se efectuaron los pagos de acuerdo con la tabla siguiente:</w:t>
      </w:r>
    </w:p>
    <w:p w14:paraId="1FB7E15D" w14:textId="160A445D" w:rsidR="00531BC3" w:rsidRPr="00525DB6" w:rsidRDefault="00462A79" w:rsidP="00462A79">
      <w:pPr>
        <w:spacing w:before="240"/>
        <w:ind w:left="567" w:right="527"/>
        <w:jc w:val="center"/>
        <w:rPr>
          <w:rFonts w:ascii="ITC Avant Garde" w:eastAsia="Calibri" w:hAnsi="ITC Avant Garde"/>
          <w:bCs/>
          <w:i/>
          <w:color w:val="000000"/>
          <w:sz w:val="20"/>
          <w:lang w:eastAsia="es-MX"/>
        </w:rPr>
      </w:pPr>
      <w:r w:rsidRPr="00462A79">
        <w:rPr>
          <w:rFonts w:ascii="ITC Avant Garde" w:eastAsia="Calibri" w:hAnsi="ITC Avant Garde"/>
          <w:b/>
          <w:bCs/>
          <w:i/>
          <w:color w:val="000000"/>
          <w:sz w:val="20"/>
          <w:lang w:eastAsia="es-MX"/>
        </w:rPr>
        <w:t>Factor de actualización anual</w:t>
      </w:r>
    </w:p>
    <w:tbl>
      <w:tblPr>
        <w:tblStyle w:val="Tablaconcuadrcula"/>
        <w:tblW w:w="0" w:type="auto"/>
        <w:jc w:val="center"/>
        <w:tblLayout w:type="fixed"/>
        <w:tblLook w:val="04A0" w:firstRow="1" w:lastRow="0" w:firstColumn="1" w:lastColumn="0" w:noHBand="0" w:noVBand="1"/>
        <w:tblCaption w:val="Factor de actualización anual"/>
        <w:tblDescription w:val="Del año 2005 al 2015."/>
      </w:tblPr>
      <w:tblGrid>
        <w:gridCol w:w="988"/>
        <w:gridCol w:w="860"/>
        <w:gridCol w:w="699"/>
        <w:gridCol w:w="719"/>
        <w:gridCol w:w="708"/>
        <w:gridCol w:w="709"/>
        <w:gridCol w:w="709"/>
        <w:gridCol w:w="709"/>
        <w:gridCol w:w="698"/>
        <w:gridCol w:w="851"/>
        <w:gridCol w:w="992"/>
        <w:gridCol w:w="992"/>
      </w:tblGrid>
      <w:tr w:rsidR="00531BC3" w:rsidRPr="00525DB6" w14:paraId="6E0BDAA6" w14:textId="77777777" w:rsidTr="00657D7B">
        <w:trPr>
          <w:tblHeader/>
          <w:jc w:val="center"/>
        </w:trPr>
        <w:tc>
          <w:tcPr>
            <w:tcW w:w="988" w:type="dxa"/>
          </w:tcPr>
          <w:p w14:paraId="350BD9C3" w14:textId="77777777" w:rsidR="00531BC3" w:rsidRPr="00525DB6" w:rsidRDefault="00531BC3" w:rsidP="001D4B69">
            <w:pPr>
              <w:ind w:right="-108"/>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Año</w:t>
            </w:r>
          </w:p>
        </w:tc>
        <w:tc>
          <w:tcPr>
            <w:tcW w:w="860" w:type="dxa"/>
          </w:tcPr>
          <w:p w14:paraId="22ADD04E" w14:textId="77777777" w:rsidR="00531BC3" w:rsidRPr="00525DB6" w:rsidRDefault="00531BC3" w:rsidP="001D4B69">
            <w:pPr>
              <w:ind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2005</w:t>
            </w:r>
          </w:p>
        </w:tc>
        <w:tc>
          <w:tcPr>
            <w:tcW w:w="699" w:type="dxa"/>
          </w:tcPr>
          <w:p w14:paraId="011CF83D" w14:textId="77777777" w:rsidR="00531BC3" w:rsidRPr="00525DB6" w:rsidRDefault="00531BC3" w:rsidP="001D4B69">
            <w:pPr>
              <w:ind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2006</w:t>
            </w:r>
          </w:p>
        </w:tc>
        <w:tc>
          <w:tcPr>
            <w:tcW w:w="719" w:type="dxa"/>
          </w:tcPr>
          <w:p w14:paraId="4F6BDC9A" w14:textId="77777777" w:rsidR="00531BC3" w:rsidRPr="00525DB6" w:rsidRDefault="00531BC3" w:rsidP="001D4B69">
            <w:pPr>
              <w:ind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2007</w:t>
            </w:r>
          </w:p>
        </w:tc>
        <w:tc>
          <w:tcPr>
            <w:tcW w:w="708" w:type="dxa"/>
          </w:tcPr>
          <w:p w14:paraId="77FAF2BC" w14:textId="77777777" w:rsidR="00531BC3" w:rsidRPr="00525DB6" w:rsidRDefault="00531BC3" w:rsidP="001D4B69">
            <w:pPr>
              <w:ind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2008</w:t>
            </w:r>
          </w:p>
        </w:tc>
        <w:tc>
          <w:tcPr>
            <w:tcW w:w="709" w:type="dxa"/>
          </w:tcPr>
          <w:p w14:paraId="713F0616" w14:textId="77777777" w:rsidR="00531BC3" w:rsidRPr="00525DB6" w:rsidRDefault="00531BC3" w:rsidP="001D4B69">
            <w:pPr>
              <w:ind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2009</w:t>
            </w:r>
          </w:p>
        </w:tc>
        <w:tc>
          <w:tcPr>
            <w:tcW w:w="709" w:type="dxa"/>
          </w:tcPr>
          <w:p w14:paraId="19D97A7F" w14:textId="77777777" w:rsidR="00531BC3" w:rsidRPr="00525DB6" w:rsidRDefault="00531BC3" w:rsidP="001D4B69">
            <w:pPr>
              <w:ind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2010</w:t>
            </w:r>
          </w:p>
        </w:tc>
        <w:tc>
          <w:tcPr>
            <w:tcW w:w="709" w:type="dxa"/>
          </w:tcPr>
          <w:p w14:paraId="473D2165" w14:textId="77777777" w:rsidR="00531BC3" w:rsidRPr="00525DB6" w:rsidRDefault="00531BC3" w:rsidP="001D4B69">
            <w:pPr>
              <w:ind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2011</w:t>
            </w:r>
          </w:p>
        </w:tc>
        <w:tc>
          <w:tcPr>
            <w:tcW w:w="698" w:type="dxa"/>
          </w:tcPr>
          <w:p w14:paraId="0F36EF91" w14:textId="77777777" w:rsidR="00531BC3" w:rsidRPr="00525DB6" w:rsidRDefault="00531BC3" w:rsidP="001D4B69">
            <w:pPr>
              <w:ind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2012</w:t>
            </w:r>
          </w:p>
        </w:tc>
        <w:tc>
          <w:tcPr>
            <w:tcW w:w="851" w:type="dxa"/>
          </w:tcPr>
          <w:p w14:paraId="49915947" w14:textId="77777777" w:rsidR="00531BC3" w:rsidRPr="00525DB6" w:rsidRDefault="00531BC3" w:rsidP="001D4B69">
            <w:pPr>
              <w:ind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2013</w:t>
            </w:r>
          </w:p>
        </w:tc>
        <w:tc>
          <w:tcPr>
            <w:tcW w:w="992" w:type="dxa"/>
          </w:tcPr>
          <w:p w14:paraId="681ADD32" w14:textId="77777777" w:rsidR="00531BC3" w:rsidRPr="00525DB6" w:rsidRDefault="00531BC3" w:rsidP="001D4B69">
            <w:pPr>
              <w:ind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2014</w:t>
            </w:r>
          </w:p>
        </w:tc>
        <w:tc>
          <w:tcPr>
            <w:tcW w:w="992" w:type="dxa"/>
          </w:tcPr>
          <w:p w14:paraId="69A4B049" w14:textId="77777777" w:rsidR="00531BC3" w:rsidRPr="00525DB6" w:rsidRDefault="00531BC3" w:rsidP="001D4B69">
            <w:pPr>
              <w:ind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2015</w:t>
            </w:r>
          </w:p>
        </w:tc>
      </w:tr>
      <w:tr w:rsidR="00531BC3" w:rsidRPr="00525DB6" w14:paraId="25ADC7DF" w14:textId="77777777" w:rsidTr="00657D7B">
        <w:trPr>
          <w:jc w:val="center"/>
        </w:trPr>
        <w:tc>
          <w:tcPr>
            <w:tcW w:w="988" w:type="dxa"/>
          </w:tcPr>
          <w:p w14:paraId="57D0155A" w14:textId="77777777" w:rsidR="00531BC3" w:rsidRPr="00525DB6" w:rsidRDefault="00531BC3" w:rsidP="001D4B69">
            <w:pPr>
              <w:ind w:left="-113" w:right="-108"/>
              <w:jc w:val="center"/>
              <w:rPr>
                <w:rFonts w:ascii="ITC Avant Garde" w:hAnsi="ITC Avant Garde"/>
                <w:bCs/>
                <w:i/>
                <w:color w:val="000000"/>
                <w:sz w:val="16"/>
                <w:szCs w:val="16"/>
                <w:lang w:val="es-ES" w:eastAsia="es-MX"/>
              </w:rPr>
            </w:pPr>
            <w:r w:rsidRPr="00525DB6">
              <w:rPr>
                <w:rFonts w:ascii="ITC Avant Garde" w:hAnsi="ITC Avant Garde"/>
                <w:bCs/>
                <w:i/>
                <w:color w:val="000000"/>
                <w:sz w:val="16"/>
                <w:szCs w:val="16"/>
                <w:lang w:val="es-ES" w:eastAsia="es-MX"/>
              </w:rPr>
              <w:t>Factor</w:t>
            </w:r>
          </w:p>
        </w:tc>
        <w:tc>
          <w:tcPr>
            <w:tcW w:w="860" w:type="dxa"/>
          </w:tcPr>
          <w:p w14:paraId="64D0120F" w14:textId="77777777" w:rsidR="00531BC3" w:rsidRPr="00525DB6" w:rsidRDefault="00531BC3" w:rsidP="001D4B69">
            <w:pPr>
              <w:ind w:right="-103"/>
              <w:jc w:val="center"/>
              <w:rPr>
                <w:rFonts w:ascii="ITC Avant Garde" w:hAnsi="ITC Avant Garde"/>
                <w:b/>
                <w:bCs/>
                <w:color w:val="000000"/>
                <w:sz w:val="16"/>
                <w:szCs w:val="16"/>
                <w:lang w:val="es-ES" w:eastAsia="es-MX"/>
              </w:rPr>
            </w:pPr>
            <w:r w:rsidRPr="00525DB6">
              <w:rPr>
                <w:rFonts w:ascii="ITC Avant Garde" w:eastAsia="Calibri" w:hAnsi="ITC Avant Garde"/>
                <w:bCs/>
                <w:i/>
                <w:color w:val="000000"/>
                <w:sz w:val="16"/>
                <w:szCs w:val="16"/>
                <w:lang w:eastAsia="es-MX"/>
              </w:rPr>
              <w:t>1.3564</w:t>
            </w:r>
          </w:p>
        </w:tc>
        <w:tc>
          <w:tcPr>
            <w:tcW w:w="699" w:type="dxa"/>
          </w:tcPr>
          <w:p w14:paraId="1D51A6AA" w14:textId="77777777" w:rsidR="00531BC3" w:rsidRPr="00525DB6" w:rsidRDefault="00531BC3" w:rsidP="001D4B69">
            <w:pPr>
              <w:ind w:right="-103"/>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1.3157</w:t>
            </w:r>
          </w:p>
        </w:tc>
        <w:tc>
          <w:tcPr>
            <w:tcW w:w="719" w:type="dxa"/>
          </w:tcPr>
          <w:p w14:paraId="607379BC" w14:textId="77777777" w:rsidR="00531BC3" w:rsidRPr="00525DB6" w:rsidRDefault="00531BC3" w:rsidP="001D4B69">
            <w:pPr>
              <w:ind w:right="-103"/>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1.2763</w:t>
            </w:r>
          </w:p>
        </w:tc>
        <w:tc>
          <w:tcPr>
            <w:tcW w:w="708" w:type="dxa"/>
          </w:tcPr>
          <w:p w14:paraId="4912010E" w14:textId="77777777" w:rsidR="00531BC3" w:rsidRPr="00525DB6" w:rsidRDefault="00531BC3" w:rsidP="001D4B69">
            <w:pPr>
              <w:ind w:right="-103"/>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1.2378</w:t>
            </w:r>
          </w:p>
        </w:tc>
        <w:tc>
          <w:tcPr>
            <w:tcW w:w="709" w:type="dxa"/>
          </w:tcPr>
          <w:p w14:paraId="52BF552B" w14:textId="77777777" w:rsidR="00531BC3" w:rsidRPr="00525DB6" w:rsidRDefault="00531BC3" w:rsidP="001D4B69">
            <w:pPr>
              <w:ind w:right="-103"/>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1.2007</w:t>
            </w:r>
          </w:p>
        </w:tc>
        <w:tc>
          <w:tcPr>
            <w:tcW w:w="709" w:type="dxa"/>
          </w:tcPr>
          <w:p w14:paraId="11333FB8" w14:textId="77777777" w:rsidR="00531BC3" w:rsidRPr="00525DB6" w:rsidRDefault="00531BC3" w:rsidP="001D4B69">
            <w:pPr>
              <w:tabs>
                <w:tab w:val="left" w:pos="534"/>
              </w:tabs>
              <w:ind w:left="-113" w:right="96"/>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1.1647</w:t>
            </w:r>
          </w:p>
        </w:tc>
        <w:tc>
          <w:tcPr>
            <w:tcW w:w="709" w:type="dxa"/>
          </w:tcPr>
          <w:p w14:paraId="76203B4D" w14:textId="77777777" w:rsidR="00531BC3" w:rsidRPr="00525DB6" w:rsidRDefault="00531BC3" w:rsidP="001D4B69">
            <w:pPr>
              <w:ind w:right="-103"/>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1.1297</w:t>
            </w:r>
          </w:p>
        </w:tc>
        <w:tc>
          <w:tcPr>
            <w:tcW w:w="698" w:type="dxa"/>
          </w:tcPr>
          <w:p w14:paraId="4D8FE16C" w14:textId="77777777" w:rsidR="00531BC3" w:rsidRPr="00525DB6" w:rsidRDefault="00531BC3" w:rsidP="001D4B69">
            <w:pPr>
              <w:ind w:left="-113" w:right="-103"/>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1.0957</w:t>
            </w:r>
          </w:p>
        </w:tc>
        <w:tc>
          <w:tcPr>
            <w:tcW w:w="851" w:type="dxa"/>
          </w:tcPr>
          <w:p w14:paraId="23C7CE2B" w14:textId="77777777" w:rsidR="00531BC3" w:rsidRPr="00525DB6" w:rsidRDefault="00531BC3" w:rsidP="001D4B69">
            <w:pPr>
              <w:ind w:right="-108"/>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1.0628</w:t>
            </w:r>
          </w:p>
        </w:tc>
        <w:tc>
          <w:tcPr>
            <w:tcW w:w="992" w:type="dxa"/>
          </w:tcPr>
          <w:p w14:paraId="433D0A9B" w14:textId="77777777" w:rsidR="00531BC3" w:rsidRPr="00525DB6" w:rsidRDefault="00531BC3" w:rsidP="001D4B69">
            <w:pPr>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1.0309</w:t>
            </w:r>
          </w:p>
        </w:tc>
        <w:tc>
          <w:tcPr>
            <w:tcW w:w="992" w:type="dxa"/>
          </w:tcPr>
          <w:p w14:paraId="17CCC4FC" w14:textId="77777777" w:rsidR="00531BC3" w:rsidRPr="00525DB6" w:rsidRDefault="00531BC3" w:rsidP="001D4B69">
            <w:pPr>
              <w:jc w:val="center"/>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1.0000</w:t>
            </w:r>
          </w:p>
        </w:tc>
      </w:tr>
    </w:tbl>
    <w:p w14:paraId="31D2827E" w14:textId="77777777" w:rsidR="00531BC3" w:rsidRPr="00525DB6" w:rsidRDefault="00531BC3" w:rsidP="00531BC3">
      <w:pPr>
        <w:ind w:left="567" w:right="527"/>
        <w:jc w:val="both"/>
        <w:rPr>
          <w:rFonts w:ascii="ITC Avant Garde" w:eastAsia="Calibri" w:hAnsi="ITC Avant Garde"/>
          <w:bCs/>
          <w:i/>
          <w:color w:val="000000"/>
          <w:sz w:val="20"/>
          <w:lang w:eastAsia="es-MX"/>
        </w:rPr>
      </w:pPr>
    </w:p>
    <w:p w14:paraId="73E4E0C8" w14:textId="77777777" w:rsidR="00531BC3" w:rsidRPr="00525DB6" w:rsidRDefault="00531BC3" w:rsidP="00531BC3">
      <w:pPr>
        <w:ind w:left="709" w:right="527"/>
        <w:jc w:val="both"/>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En el caso de que el importe de los montos a restar sea mayor que el aprovechamiento autorizado, no procederá devolución ni compensación alguna.</w:t>
      </w:r>
    </w:p>
    <w:p w14:paraId="2E903DA9" w14:textId="77777777" w:rsidR="00531BC3" w:rsidRPr="00525DB6" w:rsidRDefault="00531BC3" w:rsidP="00531BC3">
      <w:pPr>
        <w:ind w:left="709" w:right="527"/>
        <w:jc w:val="both"/>
        <w:rPr>
          <w:rFonts w:ascii="ITC Avant Garde" w:eastAsia="Calibri" w:hAnsi="ITC Avant Garde"/>
          <w:bCs/>
          <w:i/>
          <w:color w:val="000000"/>
          <w:sz w:val="16"/>
          <w:szCs w:val="16"/>
          <w:lang w:eastAsia="es-MX"/>
        </w:rPr>
      </w:pPr>
    </w:p>
    <w:p w14:paraId="6E9A5089" w14:textId="77777777" w:rsidR="00531BC3" w:rsidRPr="00525DB6" w:rsidRDefault="00531BC3" w:rsidP="00531BC3">
      <w:pPr>
        <w:ind w:left="709" w:right="528"/>
        <w:jc w:val="both"/>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El pago del aprovechamiento por prórroga deberá realizarse previo a la entrega de los títulos de concesión mediante la clave de entero que corresponda.</w:t>
      </w:r>
    </w:p>
    <w:p w14:paraId="3110974C" w14:textId="77777777" w:rsidR="00531BC3" w:rsidRPr="00525DB6" w:rsidRDefault="00531BC3" w:rsidP="00531BC3">
      <w:pPr>
        <w:ind w:left="709" w:right="528"/>
        <w:jc w:val="both"/>
        <w:rPr>
          <w:rFonts w:ascii="ITC Avant Garde" w:eastAsia="Calibri" w:hAnsi="ITC Avant Garde"/>
          <w:bCs/>
          <w:i/>
          <w:color w:val="000000"/>
          <w:sz w:val="16"/>
          <w:szCs w:val="16"/>
          <w:lang w:eastAsia="es-MX"/>
        </w:rPr>
      </w:pPr>
    </w:p>
    <w:p w14:paraId="64891E71" w14:textId="77777777" w:rsidR="00531BC3" w:rsidRPr="00525DB6" w:rsidRDefault="00531BC3" w:rsidP="00531BC3">
      <w:pPr>
        <w:ind w:left="709" w:right="528"/>
        <w:jc w:val="both"/>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w:t>
      </w:r>
    </w:p>
    <w:p w14:paraId="7B61BB1A" w14:textId="77777777" w:rsidR="00531BC3" w:rsidRPr="00525DB6" w:rsidRDefault="00531BC3" w:rsidP="00531BC3">
      <w:pPr>
        <w:ind w:left="709" w:right="528"/>
        <w:jc w:val="both"/>
        <w:rPr>
          <w:rFonts w:ascii="ITC Avant Garde" w:eastAsia="Calibri" w:hAnsi="ITC Avant Garde"/>
          <w:bCs/>
          <w:i/>
          <w:color w:val="000000"/>
          <w:sz w:val="16"/>
          <w:szCs w:val="16"/>
          <w:lang w:eastAsia="es-MX"/>
        </w:rPr>
      </w:pPr>
    </w:p>
    <w:p w14:paraId="6F53BD6B" w14:textId="77777777" w:rsidR="00531BC3" w:rsidRPr="00525DB6" w:rsidRDefault="00531BC3" w:rsidP="00531BC3">
      <w:pPr>
        <w:ind w:left="709" w:right="528"/>
        <w:jc w:val="both"/>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La obligación de pagar el monto del aprovechamiento autorizado en el presente oficio deberá establecerse en los nuevos títulos de concesión que se emitan en virtud del otorgamiento de la prórroga de concesión, incorporando los montos del aprovechamiento a pagar.</w:t>
      </w:r>
    </w:p>
    <w:p w14:paraId="7A969E24" w14:textId="77777777" w:rsidR="00531BC3" w:rsidRPr="00525DB6" w:rsidRDefault="00531BC3" w:rsidP="00531BC3">
      <w:pPr>
        <w:ind w:left="709" w:right="528"/>
        <w:jc w:val="both"/>
        <w:rPr>
          <w:rFonts w:ascii="ITC Avant Garde" w:eastAsia="Calibri" w:hAnsi="ITC Avant Garde"/>
          <w:bCs/>
          <w:i/>
          <w:color w:val="000000"/>
          <w:sz w:val="16"/>
          <w:szCs w:val="16"/>
          <w:lang w:eastAsia="es-MX"/>
        </w:rPr>
      </w:pPr>
    </w:p>
    <w:p w14:paraId="7F3DB70C" w14:textId="77777777" w:rsidR="00531BC3" w:rsidRPr="00525DB6" w:rsidRDefault="00531BC3" w:rsidP="00531BC3">
      <w:pPr>
        <w:ind w:left="709" w:right="528"/>
        <w:jc w:val="both"/>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lastRenderedPageBreak/>
        <w:t>El pago de aprovechamiento autorizado en el presente oficio debe realizarse sin menoscabo de la obligación de pagar los derechos establecidos en el artículo 244-F de la LFD por el uso, goce, aprovechamiento o explotación del espectro radioeléctrico, a partir de la entrega de las prórrogas de los títulos de concesión.</w:t>
      </w:r>
    </w:p>
    <w:p w14:paraId="7DA43DD1" w14:textId="77777777" w:rsidR="00531BC3" w:rsidRPr="00525DB6" w:rsidRDefault="00531BC3" w:rsidP="00531BC3">
      <w:pPr>
        <w:ind w:left="709" w:right="528"/>
        <w:jc w:val="both"/>
        <w:rPr>
          <w:rFonts w:ascii="ITC Avant Garde" w:eastAsia="Calibri" w:hAnsi="ITC Avant Garde"/>
          <w:bCs/>
          <w:i/>
          <w:color w:val="000000"/>
          <w:sz w:val="16"/>
          <w:szCs w:val="16"/>
          <w:lang w:eastAsia="es-MX"/>
        </w:rPr>
      </w:pPr>
    </w:p>
    <w:p w14:paraId="20E481E0" w14:textId="77777777" w:rsidR="00531BC3" w:rsidRPr="00525DB6" w:rsidRDefault="00531BC3" w:rsidP="00531BC3">
      <w:pPr>
        <w:ind w:left="709" w:right="528"/>
        <w:jc w:val="both"/>
        <w:rPr>
          <w:rFonts w:ascii="ITC Avant Garde" w:eastAsia="Calibri" w:hAnsi="ITC Avant Garde"/>
          <w:bCs/>
          <w:i/>
          <w:color w:val="000000"/>
          <w:sz w:val="16"/>
          <w:szCs w:val="16"/>
          <w:lang w:eastAsia="es-MX"/>
        </w:rPr>
      </w:pPr>
      <w:r w:rsidRPr="00525DB6">
        <w:rPr>
          <w:rFonts w:ascii="ITC Avant Garde" w:eastAsia="Calibri" w:hAnsi="ITC Avant Garde"/>
          <w:bCs/>
          <w:i/>
          <w:color w:val="000000"/>
          <w:sz w:val="16"/>
          <w:szCs w:val="16"/>
          <w:lang w:eastAsia="es-MX"/>
        </w:rPr>
        <w:t>[…]”</w:t>
      </w:r>
    </w:p>
    <w:p w14:paraId="0E9428DF" w14:textId="77777777" w:rsidR="00DC32DC" w:rsidRPr="00525DB6" w:rsidRDefault="00DC32DC" w:rsidP="00531BC3">
      <w:pPr>
        <w:ind w:left="709" w:right="528"/>
        <w:jc w:val="both"/>
        <w:rPr>
          <w:rFonts w:ascii="ITC Avant Garde" w:eastAsia="Calibri" w:hAnsi="ITC Avant Garde"/>
          <w:bCs/>
          <w:i/>
          <w:color w:val="000000"/>
          <w:sz w:val="16"/>
          <w:szCs w:val="16"/>
          <w:lang w:eastAsia="es-MX"/>
        </w:rPr>
      </w:pPr>
    </w:p>
    <w:p w14:paraId="54FD257E" w14:textId="7D7DCE9B" w:rsidR="00DC32DC" w:rsidRPr="00525DB6" w:rsidRDefault="00DC32DC" w:rsidP="00DC32DC">
      <w:pPr>
        <w:autoSpaceDE w:val="0"/>
        <w:autoSpaceDN w:val="0"/>
        <w:adjustRightInd w:val="0"/>
        <w:jc w:val="both"/>
        <w:rPr>
          <w:rFonts w:ascii="ITC Avant Garde" w:hAnsi="ITC Avant Garde"/>
          <w:bCs/>
          <w:color w:val="000000"/>
          <w:sz w:val="22"/>
          <w:szCs w:val="22"/>
          <w:lang w:val="es-ES" w:eastAsia="es-MX"/>
        </w:rPr>
      </w:pPr>
      <w:r w:rsidRPr="00525DB6">
        <w:rPr>
          <w:rFonts w:ascii="ITC Avant Garde" w:hAnsi="ITC Avant Garde"/>
          <w:bCs/>
          <w:sz w:val="22"/>
          <w:szCs w:val="22"/>
        </w:rPr>
        <w:t xml:space="preserve">Ahora bien, mediante oficio IFT/222/UER/DG-EERO/008/2016 de fecha 11 de enero de 2016, la Unidad de Espectro Radioeléctrico, a través de la Dirección General de Economía del Espectro y Recursos Orbitales, remitió la actualización </w:t>
      </w:r>
      <w:r w:rsidRPr="00525DB6">
        <w:rPr>
          <w:rFonts w:ascii="ITC Avant Garde" w:hAnsi="ITC Avant Garde"/>
          <w:bCs/>
          <w:color w:val="000000"/>
          <w:sz w:val="22"/>
          <w:szCs w:val="22"/>
          <w:lang w:val="es-ES" w:eastAsia="es-MX"/>
        </w:rPr>
        <w:t xml:space="preserve">de los aprovechamientos autorizados por la Secretaría de Hacienda y Crédito Público, al mes de enero de 2016, que corresponden a </w:t>
      </w:r>
      <w:proofErr w:type="spellStart"/>
      <w:r w:rsidRPr="00525DB6">
        <w:rPr>
          <w:rFonts w:ascii="ITC Avant Garde" w:hAnsi="ITC Avant Garde"/>
          <w:bCs/>
          <w:color w:val="000000"/>
          <w:sz w:val="22"/>
          <w:szCs w:val="22"/>
          <w:lang w:val="es-ES" w:eastAsia="es-MX"/>
        </w:rPr>
        <w:t>Troncatel</w:t>
      </w:r>
      <w:proofErr w:type="spellEnd"/>
      <w:r w:rsidRPr="00525DB6">
        <w:rPr>
          <w:rFonts w:ascii="ITC Avant Garde" w:hAnsi="ITC Avant Garde"/>
          <w:bCs/>
          <w:color w:val="000000"/>
          <w:sz w:val="22"/>
          <w:szCs w:val="22"/>
          <w:lang w:val="es-ES" w:eastAsia="es-MX"/>
        </w:rPr>
        <w:t>, S.A. de C.V., mismo que se transcribe a continuación:</w:t>
      </w:r>
    </w:p>
    <w:p w14:paraId="51DCEEA1" w14:textId="77777777" w:rsidR="00C931CD" w:rsidRPr="00525DB6" w:rsidRDefault="00C931CD" w:rsidP="00C931CD">
      <w:pPr>
        <w:autoSpaceDE w:val="0"/>
        <w:autoSpaceDN w:val="0"/>
        <w:adjustRightInd w:val="0"/>
        <w:jc w:val="both"/>
        <w:rPr>
          <w:rFonts w:ascii="ITC Avant Garde" w:hAnsi="ITC Avant Garde"/>
          <w:bCs/>
          <w:color w:val="000000"/>
          <w:lang w:val="es-ES" w:eastAsia="es-MX"/>
        </w:rPr>
      </w:pPr>
    </w:p>
    <w:tbl>
      <w:tblPr>
        <w:tblStyle w:val="Tablaconcuadrcula"/>
        <w:tblW w:w="0" w:type="auto"/>
        <w:tblLook w:val="04A0" w:firstRow="1" w:lastRow="0" w:firstColumn="1" w:lastColumn="0" w:noHBand="0" w:noVBand="1"/>
        <w:tblCaption w:val="Aprovechamientos autorizados por la Secretaría de Hacienda y Crédito Público, al mes de enero de 2016"/>
        <w:tblDescription w:val="Corresponden a Troncatel, S.A. de C.V.,"/>
      </w:tblPr>
      <w:tblGrid>
        <w:gridCol w:w="592"/>
        <w:gridCol w:w="3802"/>
        <w:gridCol w:w="2549"/>
        <w:gridCol w:w="3073"/>
      </w:tblGrid>
      <w:tr w:rsidR="00C931CD" w:rsidRPr="00525DB6" w14:paraId="410991B6" w14:textId="77777777" w:rsidTr="00DA5CA5">
        <w:trPr>
          <w:tblHeader/>
        </w:trPr>
        <w:tc>
          <w:tcPr>
            <w:tcW w:w="592" w:type="dxa"/>
            <w:vAlign w:val="center"/>
          </w:tcPr>
          <w:p w14:paraId="23BB64A4" w14:textId="77777777" w:rsidR="00C931CD" w:rsidRPr="00525DB6" w:rsidRDefault="00C931CD" w:rsidP="0099574F">
            <w:pPr>
              <w:autoSpaceDE w:val="0"/>
              <w:autoSpaceDN w:val="0"/>
              <w:adjustRightInd w:val="0"/>
              <w:jc w:val="center"/>
              <w:rPr>
                <w:rFonts w:ascii="ITC Avant Garde" w:eastAsia="Calibri" w:hAnsi="ITC Avant Garde"/>
                <w:b/>
                <w:bCs/>
                <w:i/>
                <w:color w:val="000000"/>
                <w:sz w:val="18"/>
                <w:szCs w:val="18"/>
                <w:lang w:eastAsia="es-MX"/>
              </w:rPr>
            </w:pPr>
            <w:r w:rsidRPr="00525DB6">
              <w:rPr>
                <w:rFonts w:ascii="ITC Avant Garde" w:eastAsia="Calibri" w:hAnsi="ITC Avant Garde"/>
                <w:b/>
                <w:bCs/>
                <w:i/>
                <w:color w:val="000000"/>
                <w:sz w:val="18"/>
                <w:szCs w:val="18"/>
                <w:lang w:eastAsia="es-MX"/>
              </w:rPr>
              <w:t>No.</w:t>
            </w:r>
          </w:p>
        </w:tc>
        <w:tc>
          <w:tcPr>
            <w:tcW w:w="3802" w:type="dxa"/>
            <w:vAlign w:val="center"/>
          </w:tcPr>
          <w:p w14:paraId="6710AC5C" w14:textId="77777777" w:rsidR="00C931CD" w:rsidRPr="00525DB6" w:rsidRDefault="00C931CD" w:rsidP="0099574F">
            <w:pPr>
              <w:autoSpaceDE w:val="0"/>
              <w:autoSpaceDN w:val="0"/>
              <w:adjustRightInd w:val="0"/>
              <w:jc w:val="center"/>
              <w:rPr>
                <w:rFonts w:ascii="ITC Avant Garde" w:eastAsia="Calibri" w:hAnsi="ITC Avant Garde"/>
                <w:b/>
                <w:bCs/>
                <w:i/>
                <w:color w:val="000000"/>
                <w:sz w:val="18"/>
                <w:szCs w:val="18"/>
                <w:lang w:eastAsia="es-MX"/>
              </w:rPr>
            </w:pPr>
            <w:r w:rsidRPr="00525DB6">
              <w:rPr>
                <w:rFonts w:ascii="ITC Avant Garde" w:eastAsia="Calibri" w:hAnsi="ITC Avant Garde"/>
                <w:b/>
                <w:bCs/>
                <w:i/>
                <w:color w:val="000000"/>
                <w:sz w:val="18"/>
                <w:szCs w:val="18"/>
                <w:lang w:eastAsia="es-MX"/>
              </w:rPr>
              <w:t>Nombre del Concesionario</w:t>
            </w:r>
          </w:p>
        </w:tc>
        <w:tc>
          <w:tcPr>
            <w:tcW w:w="2549" w:type="dxa"/>
            <w:vAlign w:val="center"/>
          </w:tcPr>
          <w:p w14:paraId="05B13BE3" w14:textId="77777777" w:rsidR="00C931CD" w:rsidRPr="00525DB6" w:rsidRDefault="00C931CD" w:rsidP="0099574F">
            <w:pPr>
              <w:autoSpaceDE w:val="0"/>
              <w:autoSpaceDN w:val="0"/>
              <w:adjustRightInd w:val="0"/>
              <w:jc w:val="center"/>
              <w:rPr>
                <w:rFonts w:ascii="ITC Avant Garde" w:eastAsia="Calibri" w:hAnsi="ITC Avant Garde"/>
                <w:b/>
                <w:bCs/>
                <w:i/>
                <w:color w:val="000000"/>
                <w:sz w:val="18"/>
                <w:szCs w:val="18"/>
                <w:lang w:eastAsia="es-MX"/>
              </w:rPr>
            </w:pPr>
            <w:r w:rsidRPr="00525DB6">
              <w:rPr>
                <w:rFonts w:ascii="ITC Avant Garde" w:eastAsia="Calibri" w:hAnsi="ITC Avant Garde"/>
                <w:b/>
                <w:bCs/>
                <w:i/>
                <w:color w:val="000000"/>
                <w:sz w:val="18"/>
                <w:szCs w:val="18"/>
                <w:lang w:eastAsia="es-MX"/>
              </w:rPr>
              <w:t>Banda de Frecuencias (reubicación)</w:t>
            </w:r>
          </w:p>
        </w:tc>
        <w:tc>
          <w:tcPr>
            <w:tcW w:w="3073" w:type="dxa"/>
            <w:vAlign w:val="center"/>
          </w:tcPr>
          <w:p w14:paraId="7B532D9B" w14:textId="77777777" w:rsidR="00C931CD" w:rsidRPr="00525DB6" w:rsidRDefault="00C931CD" w:rsidP="0099574F">
            <w:pPr>
              <w:autoSpaceDE w:val="0"/>
              <w:autoSpaceDN w:val="0"/>
              <w:adjustRightInd w:val="0"/>
              <w:jc w:val="center"/>
              <w:rPr>
                <w:rFonts w:ascii="ITC Avant Garde" w:eastAsia="Calibri" w:hAnsi="ITC Avant Garde"/>
                <w:b/>
                <w:bCs/>
                <w:i/>
                <w:color w:val="000000"/>
                <w:sz w:val="18"/>
                <w:szCs w:val="18"/>
                <w:lang w:eastAsia="es-MX"/>
              </w:rPr>
            </w:pPr>
            <w:r w:rsidRPr="00525DB6">
              <w:rPr>
                <w:rFonts w:ascii="ITC Avant Garde" w:eastAsia="Calibri" w:hAnsi="ITC Avant Garde"/>
                <w:b/>
                <w:bCs/>
                <w:i/>
                <w:color w:val="000000"/>
                <w:sz w:val="18"/>
                <w:szCs w:val="18"/>
                <w:lang w:eastAsia="es-MX"/>
              </w:rPr>
              <w:t>Importe del Aprovechamiento inicial (pesos)</w:t>
            </w:r>
          </w:p>
        </w:tc>
      </w:tr>
      <w:tr w:rsidR="00C931CD" w:rsidRPr="00525DB6" w14:paraId="5EA24AE5" w14:textId="77777777" w:rsidTr="0099574F">
        <w:tc>
          <w:tcPr>
            <w:tcW w:w="592" w:type="dxa"/>
          </w:tcPr>
          <w:p w14:paraId="2727DD71" w14:textId="7611CF2B" w:rsidR="00C931CD" w:rsidRPr="00525DB6" w:rsidRDefault="00C931CD" w:rsidP="00C931CD">
            <w:pPr>
              <w:autoSpaceDE w:val="0"/>
              <w:autoSpaceDN w:val="0"/>
              <w:adjustRightInd w:val="0"/>
              <w:jc w:val="both"/>
              <w:rPr>
                <w:rFonts w:ascii="ITC Avant Garde" w:eastAsia="Calibri" w:hAnsi="ITC Avant Garde"/>
                <w:bCs/>
                <w:i/>
                <w:color w:val="000000"/>
                <w:sz w:val="18"/>
                <w:szCs w:val="18"/>
                <w:lang w:eastAsia="es-MX"/>
              </w:rPr>
            </w:pPr>
            <w:r w:rsidRPr="00525DB6">
              <w:rPr>
                <w:rFonts w:ascii="ITC Avant Garde" w:eastAsia="Calibri" w:hAnsi="ITC Avant Garde"/>
                <w:bCs/>
                <w:i/>
                <w:color w:val="000000"/>
                <w:sz w:val="18"/>
                <w:szCs w:val="18"/>
                <w:lang w:eastAsia="es-MX"/>
              </w:rPr>
              <w:t>[…]</w:t>
            </w:r>
          </w:p>
        </w:tc>
        <w:tc>
          <w:tcPr>
            <w:tcW w:w="3802" w:type="dxa"/>
          </w:tcPr>
          <w:p w14:paraId="3F670839" w14:textId="1FCDF905" w:rsidR="00C931CD" w:rsidRPr="00525DB6" w:rsidRDefault="00C931CD" w:rsidP="00C931CD">
            <w:pPr>
              <w:autoSpaceDE w:val="0"/>
              <w:autoSpaceDN w:val="0"/>
              <w:adjustRightInd w:val="0"/>
              <w:jc w:val="both"/>
              <w:rPr>
                <w:rFonts w:ascii="ITC Avant Garde" w:eastAsia="Calibri" w:hAnsi="ITC Avant Garde"/>
                <w:bCs/>
                <w:i/>
                <w:color w:val="000000"/>
                <w:sz w:val="18"/>
                <w:szCs w:val="18"/>
                <w:lang w:eastAsia="es-MX"/>
              </w:rPr>
            </w:pPr>
            <w:r w:rsidRPr="00525DB6">
              <w:rPr>
                <w:rFonts w:ascii="ITC Avant Garde" w:eastAsia="Calibri" w:hAnsi="ITC Avant Garde"/>
                <w:bCs/>
                <w:i/>
                <w:color w:val="000000"/>
                <w:sz w:val="18"/>
                <w:szCs w:val="18"/>
                <w:lang w:eastAsia="es-MX"/>
              </w:rPr>
              <w:t>[…]</w:t>
            </w:r>
          </w:p>
        </w:tc>
        <w:tc>
          <w:tcPr>
            <w:tcW w:w="2549" w:type="dxa"/>
          </w:tcPr>
          <w:p w14:paraId="6EB35A2E" w14:textId="42B94775" w:rsidR="00C931CD" w:rsidRPr="00525DB6" w:rsidRDefault="00C931CD" w:rsidP="00C931CD">
            <w:pPr>
              <w:autoSpaceDE w:val="0"/>
              <w:autoSpaceDN w:val="0"/>
              <w:adjustRightInd w:val="0"/>
              <w:jc w:val="both"/>
              <w:rPr>
                <w:rFonts w:ascii="ITC Avant Garde" w:eastAsia="Calibri" w:hAnsi="ITC Avant Garde"/>
                <w:bCs/>
                <w:i/>
                <w:color w:val="000000"/>
                <w:sz w:val="18"/>
                <w:szCs w:val="18"/>
                <w:lang w:eastAsia="es-MX"/>
              </w:rPr>
            </w:pPr>
            <w:r w:rsidRPr="00525DB6">
              <w:rPr>
                <w:rFonts w:ascii="ITC Avant Garde" w:eastAsia="Calibri" w:hAnsi="ITC Avant Garde"/>
                <w:bCs/>
                <w:i/>
                <w:color w:val="000000"/>
                <w:sz w:val="18"/>
                <w:szCs w:val="18"/>
                <w:lang w:eastAsia="es-MX"/>
              </w:rPr>
              <w:t>[…]</w:t>
            </w:r>
          </w:p>
        </w:tc>
        <w:tc>
          <w:tcPr>
            <w:tcW w:w="3073" w:type="dxa"/>
          </w:tcPr>
          <w:p w14:paraId="719790FE" w14:textId="1B12577C" w:rsidR="00C931CD" w:rsidRPr="00525DB6" w:rsidRDefault="00C931CD" w:rsidP="00C931CD">
            <w:pPr>
              <w:autoSpaceDE w:val="0"/>
              <w:autoSpaceDN w:val="0"/>
              <w:adjustRightInd w:val="0"/>
              <w:jc w:val="both"/>
              <w:rPr>
                <w:rFonts w:ascii="ITC Avant Garde" w:eastAsia="Calibri" w:hAnsi="ITC Avant Garde"/>
                <w:bCs/>
                <w:i/>
                <w:color w:val="000000"/>
                <w:sz w:val="18"/>
                <w:szCs w:val="18"/>
                <w:lang w:eastAsia="es-MX"/>
              </w:rPr>
            </w:pPr>
            <w:r w:rsidRPr="00525DB6">
              <w:rPr>
                <w:rFonts w:ascii="ITC Avant Garde" w:eastAsia="Calibri" w:hAnsi="ITC Avant Garde"/>
                <w:bCs/>
                <w:i/>
                <w:color w:val="000000"/>
                <w:sz w:val="18"/>
                <w:szCs w:val="18"/>
                <w:lang w:eastAsia="es-MX"/>
              </w:rPr>
              <w:t>[…]</w:t>
            </w:r>
          </w:p>
        </w:tc>
      </w:tr>
      <w:tr w:rsidR="00C931CD" w:rsidRPr="00525DB6" w14:paraId="590A7043" w14:textId="77777777" w:rsidTr="0099574F">
        <w:tc>
          <w:tcPr>
            <w:tcW w:w="592" w:type="dxa"/>
          </w:tcPr>
          <w:p w14:paraId="13201F51" w14:textId="28729366" w:rsidR="00C931CD" w:rsidRPr="00525DB6" w:rsidRDefault="00C931CD" w:rsidP="0099574F">
            <w:pPr>
              <w:autoSpaceDE w:val="0"/>
              <w:autoSpaceDN w:val="0"/>
              <w:adjustRightInd w:val="0"/>
              <w:jc w:val="both"/>
              <w:rPr>
                <w:rFonts w:ascii="ITC Avant Garde" w:eastAsia="Calibri" w:hAnsi="ITC Avant Garde"/>
                <w:bCs/>
                <w:i/>
                <w:color w:val="000000"/>
                <w:sz w:val="18"/>
                <w:szCs w:val="18"/>
                <w:lang w:eastAsia="es-MX"/>
              </w:rPr>
            </w:pPr>
            <w:r w:rsidRPr="00525DB6">
              <w:rPr>
                <w:rFonts w:ascii="ITC Avant Garde" w:eastAsia="Calibri" w:hAnsi="ITC Avant Garde"/>
                <w:bCs/>
                <w:i/>
                <w:color w:val="000000"/>
                <w:sz w:val="18"/>
                <w:szCs w:val="18"/>
                <w:lang w:eastAsia="es-MX"/>
              </w:rPr>
              <w:t>9</w:t>
            </w:r>
          </w:p>
        </w:tc>
        <w:tc>
          <w:tcPr>
            <w:tcW w:w="3802" w:type="dxa"/>
          </w:tcPr>
          <w:p w14:paraId="525E1E06" w14:textId="4E8D6BC6" w:rsidR="00C931CD" w:rsidRPr="00525DB6" w:rsidRDefault="00C931CD" w:rsidP="0099574F">
            <w:pPr>
              <w:autoSpaceDE w:val="0"/>
              <w:autoSpaceDN w:val="0"/>
              <w:adjustRightInd w:val="0"/>
              <w:jc w:val="both"/>
              <w:rPr>
                <w:rFonts w:ascii="ITC Avant Garde" w:eastAsia="Calibri" w:hAnsi="ITC Avant Garde"/>
                <w:bCs/>
                <w:i/>
                <w:color w:val="000000"/>
                <w:sz w:val="18"/>
                <w:szCs w:val="18"/>
                <w:lang w:eastAsia="es-MX"/>
              </w:rPr>
            </w:pPr>
            <w:proofErr w:type="spellStart"/>
            <w:r w:rsidRPr="00525DB6">
              <w:rPr>
                <w:rFonts w:ascii="ITC Avant Garde" w:eastAsia="Calibri" w:hAnsi="ITC Avant Garde"/>
                <w:bCs/>
                <w:i/>
                <w:color w:val="000000"/>
                <w:sz w:val="18"/>
                <w:szCs w:val="18"/>
                <w:lang w:eastAsia="es-MX"/>
              </w:rPr>
              <w:t>Troncatel</w:t>
            </w:r>
            <w:proofErr w:type="spellEnd"/>
            <w:r w:rsidRPr="00525DB6">
              <w:rPr>
                <w:rFonts w:ascii="ITC Avant Garde" w:eastAsia="Calibri" w:hAnsi="ITC Avant Garde"/>
                <w:bCs/>
                <w:i/>
                <w:color w:val="000000"/>
                <w:sz w:val="18"/>
                <w:szCs w:val="18"/>
                <w:lang w:eastAsia="es-MX"/>
              </w:rPr>
              <w:t>, S.A. de C.V.</w:t>
            </w:r>
          </w:p>
        </w:tc>
        <w:tc>
          <w:tcPr>
            <w:tcW w:w="2549" w:type="dxa"/>
          </w:tcPr>
          <w:p w14:paraId="7FB29D79" w14:textId="226C5BDB" w:rsidR="00C931CD" w:rsidRPr="00525DB6" w:rsidRDefault="00C931CD" w:rsidP="0099574F">
            <w:pPr>
              <w:autoSpaceDE w:val="0"/>
              <w:autoSpaceDN w:val="0"/>
              <w:adjustRightInd w:val="0"/>
              <w:jc w:val="both"/>
              <w:rPr>
                <w:rFonts w:ascii="ITC Avant Garde" w:eastAsia="Calibri" w:hAnsi="ITC Avant Garde"/>
                <w:bCs/>
                <w:i/>
                <w:color w:val="000000"/>
                <w:sz w:val="18"/>
                <w:szCs w:val="18"/>
                <w:lang w:eastAsia="es-MX"/>
              </w:rPr>
            </w:pPr>
            <w:r w:rsidRPr="00525DB6">
              <w:rPr>
                <w:rFonts w:ascii="ITC Avant Garde" w:eastAsia="Calibri" w:hAnsi="ITC Avant Garde"/>
                <w:bCs/>
                <w:i/>
                <w:color w:val="000000"/>
                <w:sz w:val="18"/>
                <w:szCs w:val="18"/>
                <w:lang w:eastAsia="es-MX"/>
              </w:rPr>
              <w:t>410-430 MHz</w:t>
            </w:r>
          </w:p>
        </w:tc>
        <w:tc>
          <w:tcPr>
            <w:tcW w:w="3073" w:type="dxa"/>
          </w:tcPr>
          <w:p w14:paraId="02502E3C" w14:textId="2894E390" w:rsidR="00C931CD" w:rsidRPr="00525DB6" w:rsidRDefault="00C931CD" w:rsidP="0099574F">
            <w:pPr>
              <w:autoSpaceDE w:val="0"/>
              <w:autoSpaceDN w:val="0"/>
              <w:adjustRightInd w:val="0"/>
              <w:jc w:val="both"/>
              <w:rPr>
                <w:rFonts w:ascii="ITC Avant Garde" w:eastAsia="Calibri" w:hAnsi="ITC Avant Garde"/>
                <w:bCs/>
                <w:i/>
                <w:color w:val="000000"/>
                <w:sz w:val="18"/>
                <w:szCs w:val="18"/>
                <w:lang w:eastAsia="es-MX"/>
              </w:rPr>
            </w:pPr>
            <w:r w:rsidRPr="00525DB6">
              <w:rPr>
                <w:rFonts w:ascii="ITC Avant Garde" w:eastAsia="Calibri" w:hAnsi="ITC Avant Garde"/>
                <w:bCs/>
                <w:i/>
                <w:color w:val="000000"/>
                <w:sz w:val="18"/>
                <w:szCs w:val="18"/>
                <w:lang w:eastAsia="es-MX"/>
              </w:rPr>
              <w:t>8,482,794</w:t>
            </w:r>
          </w:p>
        </w:tc>
      </w:tr>
    </w:tbl>
    <w:p w14:paraId="12310266" w14:textId="77777777" w:rsidR="00F8090D" w:rsidRPr="00525DB6" w:rsidRDefault="00F8090D" w:rsidP="007A2645">
      <w:pPr>
        <w:tabs>
          <w:tab w:val="num" w:pos="540"/>
        </w:tabs>
        <w:jc w:val="both"/>
        <w:rPr>
          <w:rFonts w:ascii="ITC Avant Garde" w:eastAsia="Calibri" w:hAnsi="ITC Avant Garde"/>
          <w:bCs/>
          <w:color w:val="000000"/>
          <w:sz w:val="22"/>
          <w:szCs w:val="22"/>
          <w:lang w:eastAsia="es-MX"/>
        </w:rPr>
      </w:pPr>
    </w:p>
    <w:p w14:paraId="76134994" w14:textId="1053C42E" w:rsidR="00462A79" w:rsidRDefault="00DC32DC" w:rsidP="00ED7A6D">
      <w:pPr>
        <w:jc w:val="both"/>
        <w:rPr>
          <w:rFonts w:ascii="ITC Avant Garde" w:hAnsi="ITC Avant Garde"/>
          <w:b/>
          <w:bCs/>
          <w:color w:val="000000"/>
          <w:sz w:val="22"/>
          <w:szCs w:val="22"/>
          <w:lang w:val="es-ES" w:eastAsia="es-MX"/>
        </w:rPr>
      </w:pPr>
      <w:r w:rsidRPr="00525DB6">
        <w:rPr>
          <w:rFonts w:ascii="ITC Avant Garde" w:hAnsi="ITC Avant Garde"/>
          <w:bCs/>
          <w:sz w:val="22"/>
          <w:szCs w:val="22"/>
        </w:rPr>
        <w:t>Por lo anteriormente señalado y con fundamento en los artículos 6o. Apartado B fracción II y 28 párrafos décimo quinto, décimo sexto, décimo séptimo y 134 de la Constitución Política de los Estados Unidos Mexicanos; Séptimo Transitorio del “</w:t>
      </w:r>
      <w:r w:rsidRPr="00525DB6">
        <w:rPr>
          <w:rFonts w:ascii="ITC Avant Garde" w:hAnsi="ITC Avant Garde"/>
          <w:bCs/>
          <w:i/>
          <w:sz w:val="22"/>
          <w:szCs w:val="22"/>
        </w:rPr>
        <w:t>Decreto por el que se reforman y adicionan diversas disposiciones de los artículos 6o., 7o., 27, 28, 73, 78, 94 y 105 de la Constitución Política de los Estados Unidos Mexicanos, en materia de telecomunicaciones</w:t>
      </w:r>
      <w:r w:rsidRPr="00525DB6">
        <w:rPr>
          <w:rFonts w:ascii="ITC Avant Garde" w:hAnsi="ITC Avant Garde"/>
          <w:bCs/>
          <w:sz w:val="22"/>
          <w:szCs w:val="22"/>
        </w:rPr>
        <w:t xml:space="preserve">”, publicado en el Diario Oficial de la Federación el 11 de junio de 2013; Sexto Transitorio del </w:t>
      </w:r>
      <w:r w:rsidRPr="00525DB6">
        <w:rPr>
          <w:rFonts w:ascii="ITC Avant Garde" w:hAnsi="ITC Avant Garde"/>
          <w:bCs/>
          <w:color w:val="000000"/>
          <w:sz w:val="22"/>
          <w:szCs w:val="22"/>
          <w:lang w:eastAsia="es-MX"/>
        </w:rPr>
        <w:t>“</w:t>
      </w:r>
      <w:r w:rsidRPr="00525DB6">
        <w:rPr>
          <w:rFonts w:ascii="ITC Avant Garde"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525DB6">
        <w:rPr>
          <w:rFonts w:ascii="ITC Avant Garde" w:hAnsi="ITC Avant Garde"/>
          <w:bCs/>
          <w:color w:val="000000"/>
          <w:sz w:val="22"/>
          <w:szCs w:val="22"/>
          <w:lang w:eastAsia="es-MX"/>
        </w:rPr>
        <w:t xml:space="preserve">”, publicado en el Diario Oficial de la Federación el 14 de julio de 2014; 15 fracciones IV y LVII, 16, 17 fracción I, 66, 67 fracción I, 68, 72, 75, 76 fracción I y 177 fracción I </w:t>
      </w:r>
      <w:r w:rsidRPr="00525DB6">
        <w:rPr>
          <w:rFonts w:ascii="ITC Avant Garde" w:hAnsi="ITC Avant Garde"/>
          <w:bCs/>
          <w:sz w:val="22"/>
          <w:szCs w:val="22"/>
        </w:rPr>
        <w:t xml:space="preserve">de la Ley Federal de Telecomunicaciones y Radiodifusión; 14, </w:t>
      </w:r>
      <w:r w:rsidRPr="00525DB6">
        <w:rPr>
          <w:rFonts w:ascii="ITC Avant Garde" w:hAnsi="ITC Avant Garde"/>
          <w:bCs/>
          <w:color w:val="000000"/>
          <w:sz w:val="22"/>
          <w:szCs w:val="22"/>
          <w:lang w:eastAsia="es-MX"/>
        </w:rPr>
        <w:t xml:space="preserve">19 y 27 de la Ley Federal de Telecomunicaciones; </w:t>
      </w:r>
      <w:r w:rsidRPr="00525DB6">
        <w:rPr>
          <w:rFonts w:ascii="ITC Avant Garde" w:hAnsi="ITC Avant Garde"/>
          <w:bCs/>
          <w:sz w:val="22"/>
          <w:szCs w:val="22"/>
        </w:rPr>
        <w:t>35 fracción I, 36, 38, 39 y 57 fracción I de la Ley Federal de Procedimiento Administrativo;</w:t>
      </w:r>
      <w:r w:rsidR="00525DB6" w:rsidRPr="00525DB6">
        <w:rPr>
          <w:rFonts w:ascii="ITC Avant Garde" w:hAnsi="ITC Avant Garde"/>
          <w:bCs/>
          <w:sz w:val="22"/>
          <w:szCs w:val="22"/>
        </w:rPr>
        <w:t xml:space="preserve"> 93 fracción III y 94 fracción III de la Ley Federal de Derechos vigente durante el año 2015;</w:t>
      </w:r>
      <w:r w:rsidRPr="00525DB6">
        <w:rPr>
          <w:rFonts w:ascii="ITC Avant Garde" w:hAnsi="ITC Avant Garde"/>
          <w:bCs/>
          <w:color w:val="000000"/>
          <w:sz w:val="22"/>
          <w:szCs w:val="22"/>
          <w:lang w:eastAsia="es-MX"/>
        </w:rPr>
        <w:t xml:space="preserve"> </w:t>
      </w:r>
      <w:r w:rsidR="00B72000">
        <w:rPr>
          <w:rFonts w:ascii="ITC Avant Garde" w:hAnsi="ITC Avant Garde"/>
          <w:bCs/>
          <w:color w:val="000000"/>
          <w:sz w:val="22"/>
          <w:szCs w:val="22"/>
          <w:lang w:eastAsia="es-MX"/>
        </w:rPr>
        <w:t xml:space="preserve">el Cuadro Nacional de Atribución de Frecuencias publicado en el Diario Oficial de la Federación el 20 de octubre de 2015, y </w:t>
      </w:r>
      <w:r w:rsidRPr="00525DB6">
        <w:rPr>
          <w:rFonts w:ascii="ITC Avant Garde" w:hAnsi="ITC Avant Garde"/>
          <w:bCs/>
          <w:sz w:val="22"/>
          <w:szCs w:val="22"/>
        </w:rPr>
        <w:t>1, 6 fracciones I, XVIII y XXXVII, 27, 29, 30, 31 fracciones VII y XII, 32, 33 fracción II, 47 y 50 fracción XII del Estatuto Orgánico del Instituto Federal de Telecomunicaciones, este órgano autónomo emite los siguientes:</w:t>
      </w:r>
    </w:p>
    <w:p w14:paraId="5CFAA149" w14:textId="77777777" w:rsidR="00462A79" w:rsidRDefault="00462A79" w:rsidP="00850B5A">
      <w:pPr>
        <w:tabs>
          <w:tab w:val="num" w:pos="540"/>
        </w:tabs>
        <w:jc w:val="center"/>
        <w:rPr>
          <w:rFonts w:ascii="ITC Avant Garde" w:hAnsi="ITC Avant Garde"/>
          <w:b/>
          <w:bCs/>
          <w:color w:val="000000"/>
          <w:sz w:val="22"/>
          <w:szCs w:val="22"/>
          <w:lang w:val="es-ES" w:eastAsia="es-MX"/>
        </w:rPr>
      </w:pPr>
    </w:p>
    <w:p w14:paraId="0337A53E" w14:textId="77777777" w:rsidR="00191670" w:rsidRPr="00FE3CB4" w:rsidRDefault="00191670" w:rsidP="00FE3CB4">
      <w:pPr>
        <w:pStyle w:val="Ttulo5"/>
        <w:rPr>
          <w:rFonts w:ascii="ITC Avant Garde" w:hAnsi="ITC Avant Garde"/>
          <w:sz w:val="22"/>
          <w:szCs w:val="22"/>
          <w:lang w:val="es-ES" w:eastAsia="es-MX"/>
        </w:rPr>
      </w:pPr>
      <w:r w:rsidRPr="00FE3CB4">
        <w:rPr>
          <w:rFonts w:ascii="ITC Avant Garde" w:hAnsi="ITC Avant Garde"/>
          <w:sz w:val="22"/>
          <w:szCs w:val="22"/>
          <w:lang w:val="es-ES" w:eastAsia="es-MX"/>
        </w:rPr>
        <w:t>RESOLUTIVOS</w:t>
      </w:r>
    </w:p>
    <w:p w14:paraId="6B5F6EC2" w14:textId="77777777" w:rsidR="00191670" w:rsidRPr="00525DB6" w:rsidRDefault="00191670" w:rsidP="0099574F">
      <w:pPr>
        <w:spacing w:line="230" w:lineRule="auto"/>
        <w:jc w:val="both"/>
        <w:rPr>
          <w:rFonts w:ascii="ITC Avant Garde" w:hAnsi="ITC Avant Garde" w:cstheme="minorHAnsi"/>
          <w:sz w:val="22"/>
          <w:szCs w:val="22"/>
        </w:rPr>
      </w:pPr>
    </w:p>
    <w:p w14:paraId="47290765" w14:textId="784F6E35" w:rsidR="00191670" w:rsidRPr="00525DB6" w:rsidRDefault="00191670" w:rsidP="0099574F">
      <w:pPr>
        <w:tabs>
          <w:tab w:val="num" w:pos="540"/>
        </w:tabs>
        <w:jc w:val="both"/>
        <w:rPr>
          <w:rFonts w:ascii="ITC Avant Garde" w:hAnsi="ITC Avant Garde"/>
          <w:bCs/>
          <w:color w:val="000000"/>
          <w:sz w:val="22"/>
          <w:szCs w:val="22"/>
          <w:lang w:val="es-ES" w:eastAsia="es-MX"/>
        </w:rPr>
      </w:pPr>
      <w:r w:rsidRPr="00525DB6">
        <w:rPr>
          <w:rFonts w:ascii="ITC Avant Garde" w:hAnsi="ITC Avant Garde"/>
          <w:b/>
          <w:bCs/>
          <w:color w:val="000000"/>
          <w:sz w:val="22"/>
          <w:szCs w:val="22"/>
          <w:lang w:val="es-ES" w:eastAsia="es-MX"/>
        </w:rPr>
        <w:t xml:space="preserve">PRIMERO.- </w:t>
      </w:r>
      <w:r w:rsidRPr="00525DB6">
        <w:rPr>
          <w:rFonts w:ascii="ITC Avant Garde" w:hAnsi="ITC Avant Garde"/>
          <w:bCs/>
          <w:color w:val="000000"/>
          <w:sz w:val="22"/>
          <w:szCs w:val="22"/>
          <w:lang w:val="es-ES" w:eastAsia="es-MX"/>
        </w:rPr>
        <w:t>Se autoriza a</w:t>
      </w:r>
      <w:r w:rsidRPr="00525DB6">
        <w:rPr>
          <w:rFonts w:ascii="ITC Avant Garde" w:hAnsi="ITC Avant Garde" w:cstheme="minorHAnsi"/>
          <w:sz w:val="22"/>
          <w:szCs w:val="22"/>
        </w:rPr>
        <w:t xml:space="preserve"> </w:t>
      </w:r>
      <w:proofErr w:type="spellStart"/>
      <w:r w:rsidRPr="00525DB6">
        <w:rPr>
          <w:rFonts w:ascii="ITC Avant Garde" w:hAnsi="ITC Avant Garde"/>
          <w:bCs/>
          <w:color w:val="000000"/>
          <w:sz w:val="22"/>
          <w:szCs w:val="22"/>
          <w:lang w:val="es-ES" w:eastAsia="es-MX"/>
        </w:rPr>
        <w:t>Troncatel</w:t>
      </w:r>
      <w:proofErr w:type="spellEnd"/>
      <w:r w:rsidRPr="00525DB6">
        <w:rPr>
          <w:rFonts w:ascii="ITC Avant Garde" w:hAnsi="ITC Avant Garde"/>
          <w:bCs/>
          <w:color w:val="000000"/>
          <w:sz w:val="22"/>
          <w:szCs w:val="22"/>
          <w:lang w:val="es-ES" w:eastAsia="es-MX"/>
        </w:rPr>
        <w:t>, S.A. de C.V., la prórroga de vigencia de la concesión para instalar, operar y explotar una red pública del servicio móvil de radiocomunicación especializada de flotillas, otorgada el 24 de noviembre de 1994.</w:t>
      </w:r>
    </w:p>
    <w:p w14:paraId="0C0D9339" w14:textId="77777777" w:rsidR="00191670" w:rsidRPr="00525DB6" w:rsidRDefault="00191670" w:rsidP="0099574F">
      <w:pPr>
        <w:tabs>
          <w:tab w:val="num" w:pos="540"/>
        </w:tabs>
        <w:jc w:val="both"/>
        <w:rPr>
          <w:rFonts w:ascii="ITC Avant Garde" w:hAnsi="ITC Avant Garde"/>
          <w:bCs/>
          <w:color w:val="000000"/>
          <w:sz w:val="22"/>
          <w:szCs w:val="22"/>
          <w:lang w:val="es-ES" w:eastAsia="es-MX"/>
        </w:rPr>
      </w:pPr>
    </w:p>
    <w:p w14:paraId="7FD5A9E6" w14:textId="72625873" w:rsidR="00191670" w:rsidRPr="00525DB6" w:rsidRDefault="00191670" w:rsidP="0099574F">
      <w:pPr>
        <w:autoSpaceDE w:val="0"/>
        <w:autoSpaceDN w:val="0"/>
        <w:adjustRightInd w:val="0"/>
        <w:jc w:val="both"/>
        <w:rPr>
          <w:rFonts w:ascii="ITC Avant Garde" w:hAnsi="ITC Avant Garde"/>
          <w:bCs/>
          <w:sz w:val="22"/>
          <w:szCs w:val="22"/>
          <w:lang w:val="es-ES_tradnl"/>
        </w:rPr>
      </w:pPr>
      <w:r w:rsidRPr="00525DB6">
        <w:rPr>
          <w:rFonts w:ascii="ITC Avant Garde" w:hAnsi="ITC Avant Garde"/>
          <w:bCs/>
          <w:sz w:val="22"/>
          <w:szCs w:val="22"/>
        </w:rPr>
        <w:t xml:space="preserve">Para tal efecto, el Instituto Federal de Telecomunicaciones otorgará un título de concesión única para uso comercial en favor de </w:t>
      </w:r>
      <w:proofErr w:type="spellStart"/>
      <w:r w:rsidRPr="00525DB6">
        <w:rPr>
          <w:rFonts w:ascii="ITC Avant Garde" w:hAnsi="ITC Avant Garde"/>
          <w:bCs/>
          <w:color w:val="000000"/>
          <w:sz w:val="22"/>
          <w:szCs w:val="22"/>
          <w:lang w:val="es-ES" w:eastAsia="es-MX"/>
        </w:rPr>
        <w:t>Troncatel</w:t>
      </w:r>
      <w:proofErr w:type="spellEnd"/>
      <w:r w:rsidRPr="00525DB6">
        <w:rPr>
          <w:rFonts w:ascii="ITC Avant Garde" w:hAnsi="ITC Avant Garde"/>
          <w:bCs/>
          <w:color w:val="000000"/>
          <w:sz w:val="22"/>
          <w:szCs w:val="22"/>
          <w:lang w:val="es-ES" w:eastAsia="es-MX"/>
        </w:rPr>
        <w:t>, S.A. de C.V.</w:t>
      </w:r>
      <w:r w:rsidRPr="00525DB6">
        <w:rPr>
          <w:rFonts w:ascii="ITC Avant Garde" w:hAnsi="ITC Avant Garde"/>
          <w:bCs/>
          <w:sz w:val="22"/>
          <w:szCs w:val="22"/>
        </w:rPr>
        <w:t xml:space="preserve"> con una vigencia de 30 (treinta) años contados a partir del 25 de noviembre de 2009, </w:t>
      </w:r>
      <w:r w:rsidRPr="00525DB6">
        <w:rPr>
          <w:rFonts w:ascii="ITC Avant Garde" w:hAnsi="ITC Avant Garde"/>
          <w:bCs/>
          <w:sz w:val="22"/>
          <w:szCs w:val="22"/>
          <w:lang w:val="es-ES_tradnl"/>
        </w:rPr>
        <w:t>con cobertura nacional y con el que podrá prestar cualquier servicio de telecomunicaciones y de radiodifusión que sea técnicamente factible.</w:t>
      </w:r>
    </w:p>
    <w:p w14:paraId="42E3E599" w14:textId="77777777" w:rsidR="00191670" w:rsidRPr="00525DB6" w:rsidRDefault="00191670" w:rsidP="0099574F">
      <w:pPr>
        <w:autoSpaceDE w:val="0"/>
        <w:autoSpaceDN w:val="0"/>
        <w:adjustRightInd w:val="0"/>
        <w:jc w:val="both"/>
        <w:rPr>
          <w:rFonts w:ascii="ITC Avant Garde" w:hAnsi="ITC Avant Garde"/>
          <w:bCs/>
          <w:sz w:val="22"/>
          <w:szCs w:val="22"/>
        </w:rPr>
      </w:pPr>
    </w:p>
    <w:p w14:paraId="3BEC00F7" w14:textId="1C58753C" w:rsidR="00191670" w:rsidRPr="00525DB6" w:rsidRDefault="00191670" w:rsidP="0099574F">
      <w:pPr>
        <w:autoSpaceDE w:val="0"/>
        <w:autoSpaceDN w:val="0"/>
        <w:adjustRightInd w:val="0"/>
        <w:jc w:val="both"/>
        <w:rPr>
          <w:rFonts w:ascii="ITC Avant Garde" w:hAnsi="ITC Avant Garde"/>
          <w:bCs/>
          <w:sz w:val="22"/>
          <w:szCs w:val="22"/>
        </w:rPr>
      </w:pPr>
      <w:r w:rsidRPr="00525DB6">
        <w:rPr>
          <w:rFonts w:ascii="ITC Avant Garde" w:hAnsi="ITC Avant Garde"/>
          <w:bCs/>
          <w:sz w:val="22"/>
          <w:szCs w:val="22"/>
        </w:rPr>
        <w:lastRenderedPageBreak/>
        <w:t xml:space="preserve">A fin de que el Instituto Federal de Telecomunicaciones expida el título de concesión señalado en el párrafo anterior, </w:t>
      </w:r>
      <w:proofErr w:type="spellStart"/>
      <w:r w:rsidRPr="00525DB6">
        <w:rPr>
          <w:rFonts w:ascii="ITC Avant Garde" w:hAnsi="ITC Avant Garde"/>
          <w:bCs/>
          <w:color w:val="000000"/>
          <w:sz w:val="22"/>
          <w:szCs w:val="22"/>
          <w:lang w:val="es-ES" w:eastAsia="es-MX"/>
        </w:rPr>
        <w:t>Troncatel</w:t>
      </w:r>
      <w:proofErr w:type="spellEnd"/>
      <w:r w:rsidRPr="00525DB6">
        <w:rPr>
          <w:rFonts w:ascii="ITC Avant Garde" w:hAnsi="ITC Avant Garde"/>
          <w:bCs/>
          <w:color w:val="000000"/>
          <w:sz w:val="22"/>
          <w:szCs w:val="22"/>
          <w:lang w:val="es-ES" w:eastAsia="es-MX"/>
        </w:rPr>
        <w:t>, S.A. de C.V.</w:t>
      </w:r>
      <w:r w:rsidRPr="00525DB6">
        <w:rPr>
          <w:rFonts w:ascii="ITC Avant Garde" w:hAnsi="ITC Avant Garde"/>
          <w:bCs/>
          <w:sz w:val="22"/>
          <w:szCs w:val="22"/>
        </w:rPr>
        <w:t xml:space="preserve"> deberá aceptar expresamente y de manera previa, las nuevas condiciones que al efecto se le establezcan, de conformidad con lo dispuesto por </w:t>
      </w:r>
      <w:r w:rsidR="00326196">
        <w:rPr>
          <w:rFonts w:ascii="ITC Avant Garde" w:hAnsi="ITC Avant Garde"/>
          <w:bCs/>
          <w:sz w:val="22"/>
          <w:szCs w:val="22"/>
        </w:rPr>
        <w:t>los</w:t>
      </w:r>
      <w:r w:rsidRPr="00525DB6">
        <w:rPr>
          <w:rFonts w:ascii="ITC Avant Garde" w:hAnsi="ITC Avant Garde"/>
          <w:bCs/>
          <w:sz w:val="22"/>
          <w:szCs w:val="22"/>
        </w:rPr>
        <w:t xml:space="preserve"> Resolutivo</w:t>
      </w:r>
      <w:r w:rsidR="00326196">
        <w:rPr>
          <w:rFonts w:ascii="ITC Avant Garde" w:hAnsi="ITC Avant Garde"/>
          <w:bCs/>
          <w:sz w:val="22"/>
          <w:szCs w:val="22"/>
        </w:rPr>
        <w:t>s</w:t>
      </w:r>
      <w:r w:rsidRPr="00525DB6">
        <w:rPr>
          <w:rFonts w:ascii="ITC Avant Garde" w:hAnsi="ITC Avant Garde"/>
          <w:bCs/>
          <w:sz w:val="22"/>
          <w:szCs w:val="22"/>
        </w:rPr>
        <w:t xml:space="preserve"> Cuarto</w:t>
      </w:r>
      <w:r w:rsidR="00326196">
        <w:rPr>
          <w:rFonts w:ascii="ITC Avant Garde" w:hAnsi="ITC Avant Garde"/>
          <w:bCs/>
          <w:sz w:val="22"/>
          <w:szCs w:val="22"/>
        </w:rPr>
        <w:t xml:space="preserve"> y Quinto</w:t>
      </w:r>
      <w:r w:rsidRPr="00525DB6">
        <w:rPr>
          <w:rFonts w:ascii="ITC Avant Garde" w:hAnsi="ITC Avant Garde"/>
          <w:bCs/>
          <w:sz w:val="22"/>
          <w:szCs w:val="22"/>
        </w:rPr>
        <w:t xml:space="preserve"> de la presente Resolución.</w:t>
      </w:r>
    </w:p>
    <w:p w14:paraId="67EDCA29" w14:textId="77777777" w:rsidR="00191670" w:rsidRPr="00525DB6" w:rsidRDefault="00191670" w:rsidP="0099574F">
      <w:pPr>
        <w:tabs>
          <w:tab w:val="num" w:pos="540"/>
        </w:tabs>
        <w:jc w:val="both"/>
        <w:rPr>
          <w:rFonts w:ascii="ITC Avant Garde" w:hAnsi="ITC Avant Garde"/>
          <w:bCs/>
          <w:color w:val="000000"/>
          <w:sz w:val="22"/>
          <w:szCs w:val="22"/>
          <w:lang w:eastAsia="es-MX"/>
        </w:rPr>
      </w:pPr>
    </w:p>
    <w:p w14:paraId="368174AF" w14:textId="492E80EB" w:rsidR="00CB4C4E" w:rsidRDefault="00191670" w:rsidP="0099574F">
      <w:pPr>
        <w:autoSpaceDE w:val="0"/>
        <w:autoSpaceDN w:val="0"/>
        <w:adjustRightInd w:val="0"/>
        <w:jc w:val="both"/>
        <w:rPr>
          <w:rFonts w:ascii="ITC Avant Garde" w:hAnsi="ITC Avant Garde"/>
          <w:bCs/>
          <w:sz w:val="22"/>
          <w:szCs w:val="22"/>
        </w:rPr>
      </w:pPr>
      <w:r w:rsidRPr="00525DB6">
        <w:rPr>
          <w:rFonts w:ascii="ITC Avant Garde" w:hAnsi="ITC Avant Garde"/>
          <w:b/>
          <w:bCs/>
          <w:color w:val="000000"/>
          <w:sz w:val="22"/>
          <w:szCs w:val="22"/>
          <w:lang w:val="es-ES" w:eastAsia="es-MX"/>
        </w:rPr>
        <w:t>SEGUNDO.-</w:t>
      </w:r>
      <w:r w:rsidRPr="00525DB6">
        <w:rPr>
          <w:rFonts w:ascii="ITC Avant Garde" w:hAnsi="ITC Avant Garde"/>
          <w:bCs/>
        </w:rPr>
        <w:t xml:space="preserve"> </w:t>
      </w:r>
      <w:r w:rsidRPr="00525DB6">
        <w:rPr>
          <w:rFonts w:ascii="ITC Avant Garde" w:hAnsi="ITC Avant Garde"/>
          <w:bCs/>
          <w:sz w:val="22"/>
          <w:szCs w:val="22"/>
        </w:rPr>
        <w:t xml:space="preserve">De conformidad </w:t>
      </w:r>
      <w:r w:rsidR="00C931CD" w:rsidRPr="00525DB6">
        <w:rPr>
          <w:rFonts w:ascii="ITC Avant Garde" w:hAnsi="ITC Avant Garde"/>
          <w:bCs/>
          <w:sz w:val="22"/>
          <w:szCs w:val="22"/>
        </w:rPr>
        <w:t xml:space="preserve">con </w:t>
      </w:r>
      <w:r w:rsidRPr="00525DB6">
        <w:rPr>
          <w:rFonts w:ascii="ITC Avant Garde" w:hAnsi="ITC Avant Garde"/>
          <w:bCs/>
          <w:sz w:val="22"/>
          <w:szCs w:val="22"/>
        </w:rPr>
        <w:t xml:space="preserve">la autorización señalada en el Resolutivo que antecede, el Instituto Federal de Telecomunicaciones otorgará </w:t>
      </w:r>
      <w:r w:rsidR="00CB4C4E" w:rsidRPr="00525DB6">
        <w:rPr>
          <w:rFonts w:ascii="ITC Avant Garde" w:hAnsi="ITC Avant Garde"/>
          <w:bCs/>
          <w:sz w:val="22"/>
          <w:szCs w:val="22"/>
        </w:rPr>
        <w:t xml:space="preserve">en favor de </w:t>
      </w:r>
      <w:proofErr w:type="spellStart"/>
      <w:r w:rsidR="00CB4C4E" w:rsidRPr="00525DB6">
        <w:rPr>
          <w:rFonts w:ascii="ITC Avant Garde" w:hAnsi="ITC Avant Garde"/>
          <w:bCs/>
          <w:color w:val="000000"/>
          <w:sz w:val="22"/>
          <w:szCs w:val="22"/>
          <w:lang w:val="es-ES" w:eastAsia="es-MX"/>
        </w:rPr>
        <w:t>Troncatel</w:t>
      </w:r>
      <w:proofErr w:type="spellEnd"/>
      <w:r w:rsidR="00CB4C4E" w:rsidRPr="00525DB6">
        <w:rPr>
          <w:rFonts w:ascii="ITC Avant Garde" w:hAnsi="ITC Avant Garde"/>
          <w:bCs/>
          <w:color w:val="000000"/>
          <w:sz w:val="22"/>
          <w:szCs w:val="22"/>
          <w:lang w:val="es-ES" w:eastAsia="es-MX"/>
        </w:rPr>
        <w:t>, S.A. de C.V.</w:t>
      </w:r>
      <w:r w:rsidR="00CB4C4E" w:rsidRPr="00525DB6">
        <w:rPr>
          <w:rFonts w:ascii="ITC Avant Garde" w:hAnsi="ITC Avant Garde"/>
          <w:bCs/>
          <w:sz w:val="22"/>
          <w:szCs w:val="22"/>
        </w:rPr>
        <w:t xml:space="preserve">, </w:t>
      </w:r>
      <w:r w:rsidRPr="00525DB6">
        <w:rPr>
          <w:rFonts w:ascii="ITC Avant Garde" w:hAnsi="ITC Avant Garde"/>
          <w:bCs/>
          <w:sz w:val="22"/>
          <w:szCs w:val="22"/>
        </w:rPr>
        <w:t xml:space="preserve">un título de concesión para usar, aprovechar y explotar bandas de frecuencias del espectro radioeléctrico para uso comercial con una vigencia de 20 (veinte) años contados a partir del 25 de noviembre de 2009, con </w:t>
      </w:r>
      <w:r w:rsidR="00CB4C4E" w:rsidRPr="00525DB6">
        <w:rPr>
          <w:rFonts w:ascii="ITC Avant Garde" w:hAnsi="ITC Avant Garde"/>
          <w:bCs/>
          <w:sz w:val="22"/>
          <w:szCs w:val="22"/>
        </w:rPr>
        <w:t xml:space="preserve">la siguiente </w:t>
      </w:r>
      <w:r w:rsidRPr="00525DB6">
        <w:rPr>
          <w:rFonts w:ascii="ITC Avant Garde" w:hAnsi="ITC Avant Garde"/>
          <w:bCs/>
          <w:sz w:val="22"/>
          <w:szCs w:val="22"/>
        </w:rPr>
        <w:t>cobertura</w:t>
      </w:r>
      <w:r w:rsidR="00CB4C4E" w:rsidRPr="00525DB6">
        <w:rPr>
          <w:rFonts w:ascii="ITC Avant Garde" w:hAnsi="ITC Avant Garde"/>
          <w:bCs/>
          <w:sz w:val="22"/>
          <w:szCs w:val="22"/>
        </w:rPr>
        <w:t>:</w:t>
      </w:r>
    </w:p>
    <w:p w14:paraId="65EBAF1E" w14:textId="5202338B" w:rsidR="00D6761F" w:rsidRPr="00525DB6" w:rsidRDefault="00462A79" w:rsidP="00462A79">
      <w:pPr>
        <w:autoSpaceDE w:val="0"/>
        <w:autoSpaceDN w:val="0"/>
        <w:adjustRightInd w:val="0"/>
        <w:jc w:val="center"/>
        <w:rPr>
          <w:rFonts w:ascii="ITC Avant Garde" w:hAnsi="ITC Avant Garde"/>
          <w:bCs/>
          <w:sz w:val="22"/>
          <w:szCs w:val="22"/>
        </w:rPr>
      </w:pPr>
      <w:r w:rsidRPr="00462A79">
        <w:rPr>
          <w:rFonts w:ascii="ITC Avant Garde" w:eastAsia="Calibri" w:hAnsi="ITC Avant Garde"/>
          <w:b/>
          <w:bCs/>
          <w:color w:val="000000"/>
          <w:sz w:val="20"/>
          <w:lang w:val="es-ES" w:eastAsia="es-MX"/>
        </w:rPr>
        <w:t>Cobertura</w:t>
      </w:r>
    </w:p>
    <w:tbl>
      <w:tblPr>
        <w:tblStyle w:val="Tablaconcuadrcula"/>
        <w:tblW w:w="2602" w:type="pct"/>
        <w:jc w:val="center"/>
        <w:tblLook w:val="04A0" w:firstRow="1" w:lastRow="0" w:firstColumn="1" w:lastColumn="0" w:noHBand="0" w:noVBand="1"/>
        <w:tblCaption w:val="Cobertura"/>
        <w:tblDescription w:val="Estado                                 Municipios&#10;Baja California,      Ensenada, Playas de Rosarito, Tijuana, Tecate y Mexicali.&#10;Sonora                       San Luis Río Colorado.&#10;"/>
      </w:tblPr>
      <w:tblGrid>
        <w:gridCol w:w="1348"/>
        <w:gridCol w:w="3854"/>
      </w:tblGrid>
      <w:tr w:rsidR="00CB4C4E" w:rsidRPr="00525DB6" w14:paraId="2565855C" w14:textId="77777777" w:rsidTr="00462A79">
        <w:trPr>
          <w:trHeight w:val="392"/>
          <w:tblHeader/>
          <w:jc w:val="center"/>
        </w:trPr>
        <w:tc>
          <w:tcPr>
            <w:tcW w:w="1296"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6CAA67BD" w14:textId="77777777" w:rsidR="00CB4C4E" w:rsidRPr="00525DB6" w:rsidRDefault="00CB4C4E" w:rsidP="0099574F">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Estado</w:t>
            </w:r>
          </w:p>
        </w:tc>
        <w:tc>
          <w:tcPr>
            <w:tcW w:w="3704"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605ABD1D" w14:textId="77777777" w:rsidR="00CB4C4E" w:rsidRPr="00525DB6" w:rsidRDefault="00CB4C4E" w:rsidP="0099574F">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Municipios</w:t>
            </w:r>
          </w:p>
        </w:tc>
      </w:tr>
      <w:tr w:rsidR="00CB4C4E" w:rsidRPr="00525DB6" w14:paraId="21D8C140" w14:textId="77777777" w:rsidTr="00CB4C4E">
        <w:trPr>
          <w:trHeight w:val="1374"/>
          <w:jc w:val="center"/>
        </w:trPr>
        <w:tc>
          <w:tcPr>
            <w:tcW w:w="1296" w:type="pct"/>
            <w:tcBorders>
              <w:top w:val="double" w:sz="4" w:space="0" w:color="auto"/>
              <w:left w:val="double" w:sz="4" w:space="0" w:color="auto"/>
              <w:bottom w:val="double" w:sz="4" w:space="0" w:color="auto"/>
              <w:right w:val="double" w:sz="4" w:space="0" w:color="auto"/>
            </w:tcBorders>
            <w:vAlign w:val="center"/>
          </w:tcPr>
          <w:p w14:paraId="6FF121A2" w14:textId="77777777" w:rsidR="00CB4C4E" w:rsidRPr="00525DB6" w:rsidRDefault="00CB4C4E" w:rsidP="0099574F">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Baja California</w:t>
            </w:r>
          </w:p>
        </w:tc>
        <w:tc>
          <w:tcPr>
            <w:tcW w:w="3704" w:type="pct"/>
            <w:tcBorders>
              <w:top w:val="double" w:sz="4" w:space="0" w:color="auto"/>
              <w:left w:val="double" w:sz="4" w:space="0" w:color="auto"/>
              <w:bottom w:val="double" w:sz="4" w:space="0" w:color="auto"/>
              <w:right w:val="double" w:sz="4" w:space="0" w:color="auto"/>
            </w:tcBorders>
            <w:vAlign w:val="center"/>
          </w:tcPr>
          <w:p w14:paraId="10A440E9" w14:textId="05DF8FEC" w:rsidR="00CB4C4E" w:rsidRPr="00525DB6" w:rsidRDefault="00CB4C4E">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Ensenada, Playas de Rosarito, Tijuana, Tecate</w:t>
            </w:r>
            <w:r w:rsidR="00C65B34">
              <w:rPr>
                <w:rFonts w:ascii="ITC Avant Garde" w:hAnsi="ITC Avant Garde"/>
                <w:sz w:val="18"/>
                <w:szCs w:val="18"/>
              </w:rPr>
              <w:t xml:space="preserve"> y</w:t>
            </w:r>
            <w:r w:rsidRPr="00525DB6">
              <w:rPr>
                <w:rFonts w:ascii="ITC Avant Garde" w:hAnsi="ITC Avant Garde"/>
                <w:sz w:val="18"/>
                <w:szCs w:val="18"/>
              </w:rPr>
              <w:t xml:space="preserve"> Mexicali.</w:t>
            </w:r>
          </w:p>
        </w:tc>
      </w:tr>
      <w:tr w:rsidR="00CB4C4E" w:rsidRPr="00525DB6" w14:paraId="25755AA5" w14:textId="77777777" w:rsidTr="00CB4C4E">
        <w:trPr>
          <w:trHeight w:val="501"/>
          <w:jc w:val="center"/>
        </w:trPr>
        <w:tc>
          <w:tcPr>
            <w:tcW w:w="1296" w:type="pct"/>
            <w:tcBorders>
              <w:top w:val="double" w:sz="4" w:space="0" w:color="auto"/>
              <w:left w:val="double" w:sz="4" w:space="0" w:color="auto"/>
              <w:bottom w:val="double" w:sz="4" w:space="0" w:color="auto"/>
              <w:right w:val="double" w:sz="4" w:space="0" w:color="auto"/>
            </w:tcBorders>
            <w:vAlign w:val="center"/>
          </w:tcPr>
          <w:p w14:paraId="5CC71B43" w14:textId="77777777" w:rsidR="00CB4C4E" w:rsidRPr="00525DB6" w:rsidRDefault="00CB4C4E" w:rsidP="0099574F">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Sonora</w:t>
            </w:r>
          </w:p>
        </w:tc>
        <w:tc>
          <w:tcPr>
            <w:tcW w:w="3704" w:type="pct"/>
            <w:tcBorders>
              <w:top w:val="double" w:sz="4" w:space="0" w:color="auto"/>
              <w:left w:val="double" w:sz="4" w:space="0" w:color="auto"/>
              <w:bottom w:val="double" w:sz="4" w:space="0" w:color="auto"/>
              <w:right w:val="double" w:sz="4" w:space="0" w:color="auto"/>
            </w:tcBorders>
            <w:vAlign w:val="center"/>
          </w:tcPr>
          <w:p w14:paraId="5D6DCA08" w14:textId="77777777" w:rsidR="00CB4C4E" w:rsidRPr="00525DB6" w:rsidRDefault="00CB4C4E" w:rsidP="0099574F">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San Luis Río Colorado.</w:t>
            </w:r>
          </w:p>
        </w:tc>
      </w:tr>
    </w:tbl>
    <w:p w14:paraId="24DD2CD4" w14:textId="77777777" w:rsidR="00191670" w:rsidRDefault="00191670" w:rsidP="0099574F">
      <w:pPr>
        <w:autoSpaceDE w:val="0"/>
        <w:autoSpaceDN w:val="0"/>
        <w:adjustRightInd w:val="0"/>
        <w:jc w:val="both"/>
        <w:rPr>
          <w:rFonts w:ascii="ITC Avant Garde" w:hAnsi="ITC Avant Garde"/>
          <w:bCs/>
          <w:sz w:val="22"/>
          <w:szCs w:val="22"/>
        </w:rPr>
      </w:pPr>
    </w:p>
    <w:p w14:paraId="68AA0EEF" w14:textId="77777777" w:rsidR="00D6761F" w:rsidRPr="00525DB6" w:rsidRDefault="00D6761F" w:rsidP="0099574F">
      <w:pPr>
        <w:autoSpaceDE w:val="0"/>
        <w:autoSpaceDN w:val="0"/>
        <w:adjustRightInd w:val="0"/>
        <w:jc w:val="both"/>
        <w:rPr>
          <w:rFonts w:ascii="ITC Avant Garde" w:hAnsi="ITC Avant Garde"/>
          <w:bCs/>
          <w:sz w:val="22"/>
          <w:szCs w:val="22"/>
        </w:rPr>
      </w:pPr>
    </w:p>
    <w:p w14:paraId="540D7AEF" w14:textId="66492755" w:rsidR="00191670" w:rsidRPr="00525DB6" w:rsidRDefault="00191670" w:rsidP="0099574F">
      <w:pPr>
        <w:autoSpaceDE w:val="0"/>
        <w:autoSpaceDN w:val="0"/>
        <w:adjustRightInd w:val="0"/>
        <w:jc w:val="both"/>
        <w:rPr>
          <w:rFonts w:ascii="ITC Avant Garde" w:hAnsi="ITC Avant Garde"/>
          <w:bCs/>
          <w:sz w:val="22"/>
          <w:szCs w:val="22"/>
        </w:rPr>
      </w:pPr>
      <w:r w:rsidRPr="00525DB6">
        <w:rPr>
          <w:rFonts w:ascii="ITC Avant Garde" w:hAnsi="ITC Avant Garde"/>
          <w:bCs/>
          <w:sz w:val="22"/>
          <w:szCs w:val="22"/>
        </w:rPr>
        <w:t xml:space="preserve">A fin de que el Instituto Federal de Telecomunicaciones expida el título de concesión señalado en el párrafo anterior, </w:t>
      </w:r>
      <w:proofErr w:type="spellStart"/>
      <w:r w:rsidR="00783216" w:rsidRPr="00525DB6">
        <w:rPr>
          <w:rFonts w:ascii="ITC Avant Garde" w:hAnsi="ITC Avant Garde"/>
          <w:bCs/>
          <w:color w:val="000000"/>
          <w:sz w:val="22"/>
          <w:szCs w:val="22"/>
          <w:lang w:val="es-ES" w:eastAsia="es-MX"/>
        </w:rPr>
        <w:t>Troncatel</w:t>
      </w:r>
      <w:proofErr w:type="spellEnd"/>
      <w:r w:rsidRPr="00525DB6">
        <w:rPr>
          <w:rFonts w:ascii="ITC Avant Garde" w:hAnsi="ITC Avant Garde"/>
          <w:bCs/>
          <w:color w:val="000000"/>
          <w:sz w:val="22"/>
          <w:szCs w:val="22"/>
          <w:lang w:val="es-ES" w:eastAsia="es-MX"/>
        </w:rPr>
        <w:t>, S.A. de C.V.</w:t>
      </w:r>
      <w:r w:rsidRPr="00525DB6">
        <w:rPr>
          <w:rFonts w:ascii="ITC Avant Garde" w:hAnsi="ITC Avant Garde"/>
          <w:bCs/>
          <w:sz w:val="22"/>
          <w:szCs w:val="22"/>
        </w:rPr>
        <w:t xml:space="preserve"> deberá aceptar expresamente y de manera previa, las nuevas condiciones que al efecto se le establezcan, de conformidad con lo dispuesto por los Resolutivos Cuarto y Quinto de la presente Resolución.</w:t>
      </w:r>
    </w:p>
    <w:p w14:paraId="24320C53" w14:textId="77777777" w:rsidR="00191670" w:rsidRPr="00525DB6" w:rsidRDefault="00191670" w:rsidP="0099574F">
      <w:pPr>
        <w:tabs>
          <w:tab w:val="num" w:pos="540"/>
        </w:tabs>
        <w:jc w:val="both"/>
        <w:rPr>
          <w:rFonts w:ascii="ITC Avant Garde" w:hAnsi="ITC Avant Garde"/>
          <w:bCs/>
          <w:color w:val="000000"/>
          <w:sz w:val="22"/>
          <w:szCs w:val="22"/>
          <w:lang w:val="es-ES" w:eastAsia="es-MX"/>
        </w:rPr>
      </w:pPr>
    </w:p>
    <w:p w14:paraId="236C56FD" w14:textId="73D7CC65" w:rsidR="00DA5CA5" w:rsidRDefault="00191670" w:rsidP="00CB4C4E">
      <w:pPr>
        <w:autoSpaceDE w:val="0"/>
        <w:autoSpaceDN w:val="0"/>
        <w:adjustRightInd w:val="0"/>
        <w:jc w:val="both"/>
        <w:rPr>
          <w:rFonts w:ascii="ITC Avant Garde" w:hAnsi="ITC Avant Garde"/>
          <w:bCs/>
          <w:sz w:val="22"/>
          <w:szCs w:val="22"/>
        </w:rPr>
      </w:pPr>
      <w:r w:rsidRPr="00525DB6">
        <w:rPr>
          <w:rFonts w:ascii="ITC Avant Garde" w:hAnsi="ITC Avant Garde"/>
          <w:b/>
          <w:bCs/>
          <w:sz w:val="22"/>
          <w:szCs w:val="22"/>
          <w:lang w:val="es-ES_tradnl"/>
        </w:rPr>
        <w:t>TERCERO.-</w:t>
      </w:r>
      <w:r w:rsidRPr="00525DB6">
        <w:rPr>
          <w:rFonts w:ascii="ITC Avant Garde" w:hAnsi="ITC Avant Garde"/>
          <w:bCs/>
          <w:lang w:val="es-ES_tradnl"/>
        </w:rPr>
        <w:t xml:space="preserve"> </w:t>
      </w:r>
      <w:r w:rsidRPr="00525DB6">
        <w:rPr>
          <w:rFonts w:ascii="ITC Avant Garde" w:hAnsi="ITC Avant Garde"/>
          <w:sz w:val="22"/>
          <w:szCs w:val="22"/>
        </w:rPr>
        <w:t xml:space="preserve">El título de concesión para uso comercial a que se refiere el Resolutivo Segundo, confiere a </w:t>
      </w:r>
      <w:proofErr w:type="spellStart"/>
      <w:r w:rsidR="00783216" w:rsidRPr="00525DB6">
        <w:rPr>
          <w:rFonts w:ascii="ITC Avant Garde" w:hAnsi="ITC Avant Garde"/>
          <w:bCs/>
          <w:color w:val="000000"/>
          <w:sz w:val="22"/>
          <w:szCs w:val="22"/>
          <w:lang w:val="es-ES"/>
        </w:rPr>
        <w:t>Troncatel</w:t>
      </w:r>
      <w:proofErr w:type="spellEnd"/>
      <w:r w:rsidRPr="00525DB6">
        <w:rPr>
          <w:rFonts w:ascii="ITC Avant Garde" w:hAnsi="ITC Avant Garde"/>
          <w:bCs/>
          <w:color w:val="000000"/>
          <w:sz w:val="22"/>
          <w:szCs w:val="22"/>
          <w:lang w:val="es-ES"/>
        </w:rPr>
        <w:t>, S.A. de C.V.</w:t>
      </w:r>
      <w:r w:rsidRPr="00525DB6">
        <w:rPr>
          <w:rFonts w:ascii="ITC Avant Garde" w:hAnsi="ITC Avant Garde"/>
          <w:sz w:val="22"/>
          <w:szCs w:val="22"/>
        </w:rPr>
        <w:t xml:space="preserve">, a partir de su inicio de vigencia, el derecho a prestar únicamente el servicio móvil de radiocomunicación especializada de flotillas </w:t>
      </w:r>
      <w:r w:rsidRPr="00525DB6">
        <w:rPr>
          <w:rFonts w:ascii="ITC Avant Garde" w:hAnsi="ITC Avant Garde"/>
          <w:bCs/>
          <w:color w:val="000000"/>
          <w:sz w:val="22"/>
          <w:szCs w:val="22"/>
        </w:rPr>
        <w:t xml:space="preserve">en </w:t>
      </w:r>
      <w:r w:rsidR="00B260F0" w:rsidRPr="00525DB6">
        <w:rPr>
          <w:rFonts w:ascii="ITC Avant Garde" w:hAnsi="ITC Avant Garde"/>
          <w:bCs/>
          <w:color w:val="000000"/>
          <w:sz w:val="22"/>
          <w:szCs w:val="22"/>
        </w:rPr>
        <w:t xml:space="preserve">los grupos </w:t>
      </w:r>
      <w:r w:rsidRPr="00525DB6">
        <w:rPr>
          <w:rFonts w:ascii="ITC Avant Garde" w:hAnsi="ITC Avant Garde"/>
          <w:bCs/>
          <w:color w:val="000000"/>
          <w:sz w:val="22"/>
          <w:szCs w:val="22"/>
        </w:rPr>
        <w:t xml:space="preserve">para tal efecto definidos, dentro del rango de frecuencias 410-430 MHz, </w:t>
      </w:r>
      <w:r w:rsidR="00CB4C4E" w:rsidRPr="00525DB6">
        <w:rPr>
          <w:rFonts w:ascii="ITC Avant Garde" w:hAnsi="ITC Avant Garde"/>
          <w:bCs/>
          <w:sz w:val="22"/>
          <w:szCs w:val="22"/>
        </w:rPr>
        <w:t xml:space="preserve">de conformidad con el siguiente esquema de asignación de </w:t>
      </w:r>
      <w:r w:rsidR="00B260F0" w:rsidRPr="00525DB6">
        <w:rPr>
          <w:rFonts w:ascii="ITC Avant Garde" w:hAnsi="ITC Avant Garde"/>
          <w:bCs/>
          <w:sz w:val="22"/>
          <w:szCs w:val="22"/>
        </w:rPr>
        <w:t>cobertura</w:t>
      </w:r>
      <w:r w:rsidR="00CB4C4E" w:rsidRPr="00525DB6">
        <w:rPr>
          <w:rFonts w:ascii="ITC Avant Garde" w:hAnsi="ITC Avant Garde"/>
          <w:bCs/>
          <w:sz w:val="22"/>
          <w:szCs w:val="22"/>
        </w:rPr>
        <w:t>:</w:t>
      </w:r>
    </w:p>
    <w:p w14:paraId="1DAA0344" w14:textId="77777777" w:rsidR="00D6761F" w:rsidRPr="00525DB6" w:rsidRDefault="00D6761F" w:rsidP="00CB4C4E">
      <w:pPr>
        <w:autoSpaceDE w:val="0"/>
        <w:autoSpaceDN w:val="0"/>
        <w:adjustRightInd w:val="0"/>
        <w:jc w:val="both"/>
        <w:rPr>
          <w:rFonts w:ascii="ITC Avant Garde" w:hAnsi="ITC Avant Garde"/>
          <w:bCs/>
          <w:sz w:val="22"/>
          <w:szCs w:val="22"/>
        </w:rPr>
      </w:pPr>
    </w:p>
    <w:p w14:paraId="7D5D2B8D" w14:textId="77777777" w:rsidR="00CB4C4E" w:rsidRPr="00525DB6" w:rsidRDefault="00CB4C4E" w:rsidP="00CB4C4E">
      <w:pPr>
        <w:autoSpaceDE w:val="0"/>
        <w:autoSpaceDN w:val="0"/>
        <w:adjustRightInd w:val="0"/>
        <w:jc w:val="both"/>
        <w:rPr>
          <w:rFonts w:ascii="ITC Avant Garde" w:hAnsi="ITC Avant Garde"/>
          <w:bCs/>
          <w:sz w:val="22"/>
          <w:szCs w:val="22"/>
        </w:rPr>
      </w:pPr>
    </w:p>
    <w:tbl>
      <w:tblPr>
        <w:tblStyle w:val="Tablaconcuadrcula"/>
        <w:tblpPr w:leftFromText="141" w:rightFromText="141" w:vertAnchor="text" w:tblpXSpec="center" w:tblpY="1"/>
        <w:tblOverlap w:val="never"/>
        <w:tblW w:w="3661" w:type="pct"/>
        <w:jc w:val="center"/>
        <w:tblLook w:val="04A0" w:firstRow="1" w:lastRow="0" w:firstColumn="1" w:lastColumn="0" w:noHBand="0" w:noVBand="1"/>
        <w:tblCaption w:val="Cobertura."/>
        <w:tblDescription w:val="Cobertura:&#10;Estado                                Municipios&#10;Baja California              Ensenada, Playas de Rosarito, Tijuana, Tecate y Mexicali.&#10;Sonora                             San Luis Río Colorado.&#10;"/>
      </w:tblPr>
      <w:tblGrid>
        <w:gridCol w:w="1348"/>
        <w:gridCol w:w="3853"/>
        <w:gridCol w:w="2118"/>
      </w:tblGrid>
      <w:tr w:rsidR="00462A79" w:rsidRPr="00525DB6" w14:paraId="40E817BA" w14:textId="77777777" w:rsidTr="00462A79">
        <w:trPr>
          <w:trHeight w:val="463"/>
          <w:tblHeader/>
          <w:jc w:val="center"/>
        </w:trPr>
        <w:tc>
          <w:tcPr>
            <w:tcW w:w="921"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6F5D5070" w14:textId="77777777" w:rsidR="00462A79" w:rsidRPr="00525DB6" w:rsidRDefault="00462A79" w:rsidP="00462A79">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Cobertura</w:t>
            </w:r>
          </w:p>
        </w:tc>
        <w:tc>
          <w:tcPr>
            <w:tcW w:w="2632"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49A550F" w14:textId="19C12997" w:rsidR="00462A79" w:rsidRPr="00525DB6" w:rsidRDefault="00462A79" w:rsidP="00462A79">
            <w:pPr>
              <w:jc w:val="center"/>
              <w:rPr>
                <w:rFonts w:ascii="ITC Avant Garde" w:eastAsia="Calibri" w:hAnsi="ITC Avant Garde"/>
                <w:b/>
                <w:bCs/>
                <w:color w:val="000000"/>
                <w:sz w:val="18"/>
                <w:szCs w:val="18"/>
                <w:lang w:val="es-ES" w:eastAsia="es-MX"/>
              </w:rPr>
            </w:pPr>
            <w:r w:rsidRPr="00462A79">
              <w:rPr>
                <w:rFonts w:ascii="ITC Avant Garde" w:eastAsia="Calibri" w:hAnsi="ITC Avant Garde"/>
                <w:b/>
                <w:bCs/>
                <w:color w:val="000000"/>
                <w:sz w:val="18"/>
                <w:szCs w:val="18"/>
                <w:lang w:val="es-ES" w:eastAsia="es-MX"/>
              </w:rPr>
              <w:t>Cobertura</w:t>
            </w:r>
          </w:p>
        </w:tc>
        <w:tc>
          <w:tcPr>
            <w:tcW w:w="1447" w:type="pct"/>
            <w:tcBorders>
              <w:top w:val="double" w:sz="4" w:space="0" w:color="auto"/>
              <w:left w:val="double" w:sz="4" w:space="0" w:color="auto"/>
              <w:right w:val="double" w:sz="4" w:space="0" w:color="auto"/>
            </w:tcBorders>
            <w:shd w:val="clear" w:color="auto" w:fill="D9D9D9" w:themeFill="background1" w:themeFillShade="D9"/>
            <w:vAlign w:val="center"/>
          </w:tcPr>
          <w:p w14:paraId="4FBDD6D9" w14:textId="77777777" w:rsidR="00462A79" w:rsidRPr="00525DB6" w:rsidRDefault="00462A79" w:rsidP="00462A79">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Grupos de frecuencia asignados en la banda de 400 MHz</w:t>
            </w:r>
          </w:p>
        </w:tc>
      </w:tr>
      <w:tr w:rsidR="00DA5CA5" w:rsidRPr="00525DB6" w14:paraId="67DD5027" w14:textId="77777777" w:rsidTr="00462A79">
        <w:trPr>
          <w:trHeight w:val="514"/>
          <w:jc w:val="center"/>
        </w:trPr>
        <w:tc>
          <w:tcPr>
            <w:tcW w:w="921"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7B6ABF22" w14:textId="77777777" w:rsidR="00DA5CA5" w:rsidRPr="00525DB6" w:rsidRDefault="00DA5CA5" w:rsidP="00462A79">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Estado</w:t>
            </w:r>
          </w:p>
        </w:tc>
        <w:tc>
          <w:tcPr>
            <w:tcW w:w="2632"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49337D94" w14:textId="77777777" w:rsidR="00DA5CA5" w:rsidRPr="00525DB6" w:rsidRDefault="00DA5CA5" w:rsidP="00462A79">
            <w:pPr>
              <w:jc w:val="center"/>
              <w:rPr>
                <w:rFonts w:ascii="ITC Avant Garde" w:eastAsia="Calibri" w:hAnsi="ITC Avant Garde"/>
                <w:b/>
                <w:bCs/>
                <w:color w:val="000000"/>
                <w:sz w:val="18"/>
                <w:szCs w:val="18"/>
                <w:lang w:val="es-ES" w:eastAsia="es-MX"/>
              </w:rPr>
            </w:pPr>
            <w:r w:rsidRPr="00525DB6">
              <w:rPr>
                <w:rFonts w:ascii="ITC Avant Garde" w:eastAsia="Calibri" w:hAnsi="ITC Avant Garde"/>
                <w:b/>
                <w:bCs/>
                <w:color w:val="000000"/>
                <w:sz w:val="18"/>
                <w:szCs w:val="18"/>
                <w:lang w:val="es-ES" w:eastAsia="es-MX"/>
              </w:rPr>
              <w:t>Municipios</w:t>
            </w:r>
          </w:p>
        </w:tc>
        <w:tc>
          <w:tcPr>
            <w:tcW w:w="1447" w:type="pct"/>
            <w:tcBorders>
              <w:left w:val="double" w:sz="4" w:space="0" w:color="auto"/>
              <w:bottom w:val="double" w:sz="4" w:space="0" w:color="auto"/>
              <w:right w:val="double" w:sz="4" w:space="0" w:color="auto"/>
            </w:tcBorders>
            <w:shd w:val="clear" w:color="auto" w:fill="D9D9D9" w:themeFill="background1" w:themeFillShade="D9"/>
            <w:vAlign w:val="center"/>
          </w:tcPr>
          <w:p w14:paraId="576564EA" w14:textId="0A167AE2" w:rsidR="00DA5CA5" w:rsidRPr="00525DB6" w:rsidRDefault="00DA5CA5" w:rsidP="00462A79">
            <w:pPr>
              <w:jc w:val="both"/>
              <w:rPr>
                <w:rFonts w:ascii="ITC Avant Garde" w:eastAsia="Calibri" w:hAnsi="ITC Avant Garde"/>
                <w:bCs/>
                <w:i/>
                <w:color w:val="000000"/>
                <w:sz w:val="18"/>
                <w:szCs w:val="18"/>
                <w:lang w:val="es-ES" w:eastAsia="es-MX"/>
              </w:rPr>
            </w:pPr>
            <w:r w:rsidRPr="00525DB6">
              <w:rPr>
                <w:rFonts w:ascii="ITC Avant Garde" w:eastAsia="Calibri" w:hAnsi="ITC Avant Garde"/>
                <w:b/>
                <w:bCs/>
                <w:color w:val="000000"/>
                <w:sz w:val="18"/>
                <w:szCs w:val="18"/>
                <w:lang w:val="es-ES" w:eastAsia="es-MX"/>
              </w:rPr>
              <w:t>Grupos de frecuencia asignados en la banda de 400 MHz</w:t>
            </w:r>
          </w:p>
        </w:tc>
      </w:tr>
      <w:tr w:rsidR="00DA5CA5" w:rsidRPr="00525DB6" w14:paraId="35F4DF1E" w14:textId="77777777" w:rsidTr="00462A79">
        <w:trPr>
          <w:trHeight w:val="1374"/>
          <w:jc w:val="center"/>
        </w:trPr>
        <w:tc>
          <w:tcPr>
            <w:tcW w:w="921" w:type="pct"/>
            <w:tcBorders>
              <w:top w:val="double" w:sz="4" w:space="0" w:color="auto"/>
              <w:left w:val="double" w:sz="4" w:space="0" w:color="auto"/>
              <w:bottom w:val="double" w:sz="4" w:space="0" w:color="auto"/>
              <w:right w:val="double" w:sz="4" w:space="0" w:color="auto"/>
            </w:tcBorders>
            <w:vAlign w:val="center"/>
          </w:tcPr>
          <w:p w14:paraId="5C61A6FF" w14:textId="77777777" w:rsidR="00DA5CA5" w:rsidRPr="00525DB6" w:rsidRDefault="00DA5CA5" w:rsidP="00462A79">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Baja California</w:t>
            </w:r>
          </w:p>
        </w:tc>
        <w:tc>
          <w:tcPr>
            <w:tcW w:w="2632" w:type="pct"/>
            <w:tcBorders>
              <w:top w:val="double" w:sz="4" w:space="0" w:color="auto"/>
              <w:left w:val="double" w:sz="4" w:space="0" w:color="auto"/>
              <w:bottom w:val="double" w:sz="4" w:space="0" w:color="auto"/>
              <w:right w:val="double" w:sz="4" w:space="0" w:color="auto"/>
            </w:tcBorders>
            <w:vAlign w:val="center"/>
          </w:tcPr>
          <w:p w14:paraId="29505CAE" w14:textId="7A3F255C" w:rsidR="00DA5CA5" w:rsidRPr="00525DB6" w:rsidRDefault="00DA5CA5" w:rsidP="00462A79">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Ensenada, Playas de Rosarito, Tijuana, Tecate</w:t>
            </w:r>
            <w:r>
              <w:rPr>
                <w:rFonts w:ascii="ITC Avant Garde" w:hAnsi="ITC Avant Garde"/>
                <w:sz w:val="18"/>
                <w:szCs w:val="18"/>
              </w:rPr>
              <w:t xml:space="preserve"> y</w:t>
            </w:r>
            <w:r w:rsidRPr="00525DB6">
              <w:rPr>
                <w:rFonts w:ascii="ITC Avant Garde" w:hAnsi="ITC Avant Garde"/>
                <w:sz w:val="18"/>
                <w:szCs w:val="18"/>
              </w:rPr>
              <w:t xml:space="preserve"> Mexicali.</w:t>
            </w:r>
          </w:p>
        </w:tc>
        <w:tc>
          <w:tcPr>
            <w:tcW w:w="1447" w:type="pct"/>
            <w:tcBorders>
              <w:top w:val="double" w:sz="4" w:space="0" w:color="auto"/>
              <w:left w:val="double" w:sz="4" w:space="0" w:color="auto"/>
              <w:right w:val="double" w:sz="4" w:space="0" w:color="auto"/>
            </w:tcBorders>
            <w:vAlign w:val="center"/>
          </w:tcPr>
          <w:p w14:paraId="0B004319" w14:textId="77777777" w:rsidR="00DA5CA5" w:rsidRPr="00525DB6" w:rsidRDefault="00DA5CA5" w:rsidP="00462A79">
            <w:pPr>
              <w:jc w:val="center"/>
              <w:rPr>
                <w:rFonts w:ascii="ITC Avant Garde" w:eastAsia="Calibri" w:hAnsi="ITC Avant Garde"/>
                <w:bCs/>
                <w:color w:val="000000"/>
                <w:sz w:val="18"/>
                <w:szCs w:val="18"/>
                <w:lang w:val="es-ES" w:eastAsia="es-MX"/>
              </w:rPr>
            </w:pPr>
            <w:r w:rsidRPr="00525DB6">
              <w:rPr>
                <w:rFonts w:ascii="ITC Avant Garde" w:hAnsi="ITC Avant Garde"/>
                <w:sz w:val="18"/>
                <w:szCs w:val="18"/>
              </w:rPr>
              <w:t>9, 10, 11 y 12</w:t>
            </w:r>
          </w:p>
          <w:p w14:paraId="241ADF4A" w14:textId="77777777" w:rsidR="00DA5CA5" w:rsidRPr="00525DB6" w:rsidRDefault="00DA5CA5" w:rsidP="00462A79">
            <w:pPr>
              <w:jc w:val="center"/>
              <w:rPr>
                <w:rFonts w:ascii="ITC Avant Garde" w:eastAsia="Calibri" w:hAnsi="ITC Avant Garde"/>
                <w:bCs/>
                <w:color w:val="000000"/>
                <w:sz w:val="18"/>
                <w:szCs w:val="18"/>
                <w:lang w:val="es-ES" w:eastAsia="es-MX"/>
              </w:rPr>
            </w:pPr>
          </w:p>
        </w:tc>
      </w:tr>
      <w:tr w:rsidR="00DA5CA5" w:rsidRPr="00525DB6" w14:paraId="0F019402" w14:textId="77777777" w:rsidTr="00462A79">
        <w:trPr>
          <w:trHeight w:val="501"/>
          <w:jc w:val="center"/>
        </w:trPr>
        <w:tc>
          <w:tcPr>
            <w:tcW w:w="921" w:type="pct"/>
            <w:tcBorders>
              <w:top w:val="double" w:sz="4" w:space="0" w:color="auto"/>
              <w:left w:val="double" w:sz="4" w:space="0" w:color="auto"/>
              <w:bottom w:val="double" w:sz="4" w:space="0" w:color="auto"/>
              <w:right w:val="double" w:sz="4" w:space="0" w:color="auto"/>
            </w:tcBorders>
            <w:vAlign w:val="center"/>
          </w:tcPr>
          <w:p w14:paraId="097ABE33" w14:textId="77777777" w:rsidR="00DA5CA5" w:rsidRPr="00525DB6" w:rsidRDefault="00DA5CA5" w:rsidP="00462A79">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lastRenderedPageBreak/>
              <w:t>Sonora</w:t>
            </w:r>
          </w:p>
        </w:tc>
        <w:tc>
          <w:tcPr>
            <w:tcW w:w="2632" w:type="pct"/>
            <w:tcBorders>
              <w:top w:val="double" w:sz="4" w:space="0" w:color="auto"/>
              <w:left w:val="double" w:sz="4" w:space="0" w:color="auto"/>
              <w:bottom w:val="double" w:sz="4" w:space="0" w:color="auto"/>
              <w:right w:val="double" w:sz="4" w:space="0" w:color="auto"/>
            </w:tcBorders>
            <w:vAlign w:val="center"/>
          </w:tcPr>
          <w:p w14:paraId="44DF5E74" w14:textId="77777777" w:rsidR="00DA5CA5" w:rsidRPr="00525DB6" w:rsidRDefault="00DA5CA5" w:rsidP="00462A79">
            <w:pPr>
              <w:jc w:val="both"/>
              <w:rPr>
                <w:rFonts w:ascii="ITC Avant Garde" w:eastAsia="Calibri" w:hAnsi="ITC Avant Garde"/>
                <w:bCs/>
                <w:color w:val="000000"/>
                <w:sz w:val="18"/>
                <w:szCs w:val="18"/>
                <w:lang w:val="es-ES" w:eastAsia="es-MX"/>
              </w:rPr>
            </w:pPr>
            <w:r w:rsidRPr="00525DB6">
              <w:rPr>
                <w:rFonts w:ascii="ITC Avant Garde" w:hAnsi="ITC Avant Garde"/>
                <w:sz w:val="18"/>
                <w:szCs w:val="18"/>
              </w:rPr>
              <w:t>San Luis Río Colorado.</w:t>
            </w:r>
          </w:p>
        </w:tc>
        <w:tc>
          <w:tcPr>
            <w:tcW w:w="1447" w:type="pct"/>
            <w:tcBorders>
              <w:left w:val="double" w:sz="4" w:space="0" w:color="auto"/>
              <w:bottom w:val="double" w:sz="4" w:space="0" w:color="auto"/>
              <w:right w:val="double" w:sz="4" w:space="0" w:color="auto"/>
            </w:tcBorders>
            <w:vAlign w:val="center"/>
          </w:tcPr>
          <w:p w14:paraId="048305E0" w14:textId="77777777" w:rsidR="00DA5CA5" w:rsidRPr="00462A79" w:rsidRDefault="00DA5CA5" w:rsidP="00462A79">
            <w:pPr>
              <w:jc w:val="center"/>
              <w:rPr>
                <w:rFonts w:ascii="ITC Avant Garde" w:hAnsi="ITC Avant Garde"/>
                <w:sz w:val="18"/>
                <w:szCs w:val="18"/>
              </w:rPr>
            </w:pPr>
            <w:r w:rsidRPr="00525DB6">
              <w:rPr>
                <w:rFonts w:ascii="ITC Avant Garde" w:hAnsi="ITC Avant Garde"/>
                <w:sz w:val="18"/>
                <w:szCs w:val="18"/>
              </w:rPr>
              <w:t>9, 10, 11 y 12</w:t>
            </w:r>
          </w:p>
          <w:p w14:paraId="48375D42" w14:textId="77777777" w:rsidR="00DA5CA5" w:rsidRPr="00462A79" w:rsidRDefault="00DA5CA5" w:rsidP="00462A79">
            <w:pPr>
              <w:jc w:val="center"/>
              <w:rPr>
                <w:rFonts w:ascii="ITC Avant Garde" w:hAnsi="ITC Avant Garde"/>
                <w:sz w:val="18"/>
                <w:szCs w:val="18"/>
              </w:rPr>
            </w:pPr>
          </w:p>
        </w:tc>
      </w:tr>
    </w:tbl>
    <w:p w14:paraId="22233958" w14:textId="3185061E" w:rsidR="00CB4C4E" w:rsidRDefault="00DA5CA5" w:rsidP="0099574F">
      <w:pPr>
        <w:tabs>
          <w:tab w:val="num" w:pos="540"/>
        </w:tabs>
        <w:jc w:val="both"/>
        <w:rPr>
          <w:rFonts w:ascii="ITC Avant Garde" w:hAnsi="ITC Avant Garde"/>
          <w:bCs/>
          <w:color w:val="000000"/>
          <w:sz w:val="22"/>
          <w:szCs w:val="22"/>
          <w:lang w:val="es-ES" w:eastAsia="es-MX"/>
        </w:rPr>
      </w:pPr>
      <w:r>
        <w:rPr>
          <w:rFonts w:ascii="ITC Avant Garde" w:hAnsi="ITC Avant Garde"/>
          <w:bCs/>
          <w:color w:val="000000"/>
          <w:sz w:val="22"/>
          <w:szCs w:val="22"/>
          <w:lang w:val="es-ES" w:eastAsia="es-MX"/>
        </w:rPr>
        <w:br w:type="textWrapping" w:clear="all"/>
      </w:r>
    </w:p>
    <w:p w14:paraId="1E4C1ABA" w14:textId="77777777" w:rsidR="00D6761F" w:rsidRPr="00525DB6" w:rsidRDefault="00D6761F" w:rsidP="0099574F">
      <w:pPr>
        <w:tabs>
          <w:tab w:val="num" w:pos="540"/>
        </w:tabs>
        <w:jc w:val="both"/>
        <w:rPr>
          <w:rFonts w:ascii="ITC Avant Garde" w:hAnsi="ITC Avant Garde"/>
          <w:bCs/>
          <w:color w:val="000000"/>
          <w:sz w:val="22"/>
          <w:szCs w:val="22"/>
          <w:lang w:val="es-ES" w:eastAsia="es-MX"/>
        </w:rPr>
      </w:pPr>
    </w:p>
    <w:p w14:paraId="163855D7" w14:textId="03B196C9" w:rsidR="00191670" w:rsidRPr="00525DB6" w:rsidRDefault="00191670" w:rsidP="00462A79">
      <w:pPr>
        <w:autoSpaceDE w:val="0"/>
        <w:autoSpaceDN w:val="0"/>
        <w:adjustRightInd w:val="0"/>
        <w:rPr>
          <w:rFonts w:ascii="ITC Avant Garde" w:hAnsi="ITC Avant Garde"/>
          <w:bCs/>
          <w:sz w:val="22"/>
          <w:szCs w:val="22"/>
          <w:lang w:val="es-ES_tradnl"/>
        </w:rPr>
      </w:pPr>
      <w:r w:rsidRPr="00525DB6">
        <w:rPr>
          <w:rFonts w:ascii="ITC Avant Garde" w:hAnsi="ITC Avant Garde"/>
          <w:b/>
          <w:bCs/>
          <w:sz w:val="22"/>
          <w:szCs w:val="22"/>
          <w:lang w:val="es-ES_tradnl"/>
        </w:rPr>
        <w:t xml:space="preserve">CUARTO.- </w:t>
      </w:r>
      <w:r w:rsidRPr="00525DB6">
        <w:rPr>
          <w:rFonts w:ascii="ITC Avant Garde" w:hAnsi="ITC Avant Garde"/>
          <w:bCs/>
          <w:sz w:val="22"/>
          <w:szCs w:val="22"/>
          <w:lang w:val="es-ES_tradnl"/>
        </w:rPr>
        <w:t xml:space="preserve">Se instruye a la Unidad de Concesiones y Servicios a hacer del conocimiento de </w:t>
      </w:r>
      <w:proofErr w:type="spellStart"/>
      <w:r w:rsidR="00783216" w:rsidRPr="00525DB6">
        <w:rPr>
          <w:rFonts w:ascii="ITC Avant Garde" w:hAnsi="ITC Avant Garde"/>
          <w:bCs/>
          <w:color w:val="000000"/>
          <w:sz w:val="22"/>
          <w:szCs w:val="22"/>
          <w:lang w:val="es-ES" w:eastAsia="es-MX"/>
        </w:rPr>
        <w:t>Troncatel</w:t>
      </w:r>
      <w:proofErr w:type="spellEnd"/>
      <w:r w:rsidRPr="00525DB6">
        <w:rPr>
          <w:rFonts w:ascii="ITC Avant Garde" w:hAnsi="ITC Avant Garde"/>
          <w:bCs/>
          <w:color w:val="000000"/>
          <w:sz w:val="22"/>
          <w:szCs w:val="22"/>
          <w:lang w:val="es-ES" w:eastAsia="es-MX"/>
        </w:rPr>
        <w:t>, S.A. de C.V.</w:t>
      </w:r>
      <w:r w:rsidRPr="00525DB6">
        <w:rPr>
          <w:rFonts w:ascii="ITC Avant Garde" w:hAnsi="ITC Avant Garde"/>
          <w:bCs/>
          <w:sz w:val="22"/>
          <w:szCs w:val="22"/>
          <w:lang w:val="es-ES_tradnl"/>
        </w:rPr>
        <w:t xml:space="preserve"> el contenido de la presente Resolución, así como las nuevas condiciones</w:t>
      </w:r>
      <w:r w:rsidR="003618DC">
        <w:rPr>
          <w:rFonts w:ascii="ITC Avant Garde" w:hAnsi="ITC Avant Garde"/>
          <w:bCs/>
          <w:sz w:val="22"/>
          <w:szCs w:val="22"/>
          <w:lang w:val="es-ES_tradnl"/>
        </w:rPr>
        <w:t>,</w:t>
      </w:r>
      <w:r w:rsidRPr="00525DB6">
        <w:rPr>
          <w:rFonts w:ascii="ITC Avant Garde" w:hAnsi="ITC Avant Garde"/>
          <w:bCs/>
          <w:sz w:val="22"/>
          <w:szCs w:val="22"/>
          <w:lang w:val="es-ES_tradnl"/>
        </w:rPr>
        <w:t xml:space="preserve"> </w:t>
      </w:r>
      <w:r w:rsidR="003618DC">
        <w:rPr>
          <w:rFonts w:ascii="ITC Avant Garde" w:hAnsi="ITC Avant Garde"/>
          <w:bCs/>
          <w:sz w:val="22"/>
          <w:szCs w:val="22"/>
          <w:lang w:val="es-ES_tradnl"/>
        </w:rPr>
        <w:t xml:space="preserve">mismas que se encuentran contenidas </w:t>
      </w:r>
      <w:r w:rsidRPr="00525DB6">
        <w:rPr>
          <w:rFonts w:ascii="ITC Avant Garde" w:hAnsi="ITC Avant Garde"/>
          <w:bCs/>
          <w:sz w:val="22"/>
          <w:szCs w:val="22"/>
          <w:lang w:val="es-ES_tradnl"/>
        </w:rPr>
        <w:t xml:space="preserve">en los proyectos de títulos de concesión </w:t>
      </w:r>
      <w:r w:rsidR="003618DC">
        <w:rPr>
          <w:rFonts w:ascii="ITC Avant Garde" w:hAnsi="ITC Avant Garde"/>
          <w:bCs/>
          <w:sz w:val="22"/>
          <w:szCs w:val="22"/>
          <w:lang w:val="es-ES_tradnl"/>
        </w:rPr>
        <w:t>los cuales</w:t>
      </w:r>
      <w:r w:rsidRPr="00525DB6">
        <w:rPr>
          <w:rFonts w:ascii="ITC Avant Garde" w:hAnsi="ITC Avant Garde"/>
          <w:bCs/>
          <w:sz w:val="22"/>
          <w:szCs w:val="22"/>
          <w:lang w:val="es-ES_tradnl"/>
        </w:rPr>
        <w:t xml:space="preserve"> forman parte integral de la presente Resolución, a efecto de recabar de dicha empresa, en un plazo no mayor a 15 (quince) días hábiles contados a partir de que surta efectos la notificación respectiva, su aceptación expresa e indubitable de las nuevas condiciones.</w:t>
      </w:r>
    </w:p>
    <w:p w14:paraId="19410294" w14:textId="697CFAC0" w:rsidR="00191670" w:rsidRPr="00525DB6" w:rsidRDefault="00191670" w:rsidP="0099574F">
      <w:pPr>
        <w:autoSpaceDE w:val="0"/>
        <w:autoSpaceDN w:val="0"/>
        <w:adjustRightInd w:val="0"/>
        <w:jc w:val="both"/>
        <w:rPr>
          <w:rFonts w:ascii="ITC Avant Garde" w:hAnsi="ITC Avant Garde"/>
          <w:bCs/>
          <w:sz w:val="22"/>
          <w:szCs w:val="22"/>
          <w:lang w:val="es-ES_tradnl"/>
        </w:rPr>
      </w:pPr>
      <w:r w:rsidRPr="00525DB6">
        <w:rPr>
          <w:rFonts w:ascii="ITC Avant Garde" w:hAnsi="ITC Avant Garde"/>
          <w:bCs/>
          <w:sz w:val="22"/>
          <w:szCs w:val="22"/>
          <w:lang w:val="es-ES_tradnl"/>
        </w:rPr>
        <w:t xml:space="preserve">En caso de que no se reciba por parte </w:t>
      </w:r>
      <w:proofErr w:type="spellStart"/>
      <w:r w:rsidR="00783216" w:rsidRPr="00525DB6">
        <w:rPr>
          <w:rFonts w:ascii="ITC Avant Garde" w:hAnsi="ITC Avant Garde"/>
          <w:bCs/>
          <w:color w:val="000000"/>
          <w:sz w:val="22"/>
          <w:szCs w:val="22"/>
          <w:lang w:val="es-ES" w:eastAsia="es-MX"/>
        </w:rPr>
        <w:t>Troncatel</w:t>
      </w:r>
      <w:proofErr w:type="spellEnd"/>
      <w:r w:rsidRPr="00525DB6">
        <w:rPr>
          <w:rFonts w:ascii="ITC Avant Garde" w:hAnsi="ITC Avant Garde"/>
          <w:bCs/>
          <w:color w:val="000000"/>
          <w:sz w:val="22"/>
          <w:szCs w:val="22"/>
          <w:lang w:val="es-ES" w:eastAsia="es-MX"/>
        </w:rPr>
        <w:t>, S.A. de C.V.</w:t>
      </w:r>
      <w:r w:rsidRPr="00525DB6">
        <w:rPr>
          <w:rFonts w:ascii="ITC Avant Garde" w:hAnsi="ITC Avant Garde"/>
          <w:bCs/>
          <w:sz w:val="22"/>
          <w:szCs w:val="22"/>
          <w:lang w:val="es-ES_tradnl"/>
        </w:rPr>
        <w:t xml:space="preserve"> la aceptación referida dentro del plazo establecido para tales efectos, la presente Resolución quedará sin efectos y, en consecuencia, se tendrá por negada la prórroga de vigencia solicitada respecto de las concesiones de mérito.</w:t>
      </w:r>
    </w:p>
    <w:p w14:paraId="6E0CB384" w14:textId="77777777" w:rsidR="00191670" w:rsidRPr="00525DB6" w:rsidRDefault="00191670" w:rsidP="0099574F">
      <w:pPr>
        <w:jc w:val="both"/>
        <w:rPr>
          <w:rFonts w:ascii="ITC Avant Garde" w:hAnsi="ITC Avant Garde"/>
          <w:bCs/>
          <w:sz w:val="22"/>
          <w:szCs w:val="22"/>
          <w:lang w:val="es-ES_tradnl"/>
        </w:rPr>
      </w:pPr>
    </w:p>
    <w:p w14:paraId="5C1847E8" w14:textId="691D9229" w:rsidR="00525DB6" w:rsidRPr="00063033" w:rsidRDefault="00191670" w:rsidP="00525DB6">
      <w:pPr>
        <w:jc w:val="both"/>
        <w:rPr>
          <w:rFonts w:ascii="ITC Avant Garde" w:hAnsi="ITC Avant Garde"/>
          <w:bCs/>
          <w:sz w:val="22"/>
          <w:szCs w:val="22"/>
          <w:lang w:val="es-ES_tradnl"/>
        </w:rPr>
      </w:pPr>
      <w:r w:rsidRPr="00525DB6">
        <w:rPr>
          <w:rFonts w:ascii="ITC Avant Garde" w:hAnsi="ITC Avant Garde"/>
          <w:b/>
          <w:bCs/>
          <w:sz w:val="22"/>
          <w:szCs w:val="22"/>
          <w:lang w:val="es-ES_tradnl"/>
        </w:rPr>
        <w:t>QUINTO.-</w:t>
      </w:r>
      <w:r w:rsidRPr="00525DB6">
        <w:rPr>
          <w:rFonts w:ascii="ITC Avant Garde" w:hAnsi="ITC Avant Garde"/>
          <w:bCs/>
          <w:sz w:val="22"/>
          <w:szCs w:val="22"/>
          <w:lang w:val="es-ES_tradnl"/>
        </w:rPr>
        <w:t xml:space="preserve"> </w:t>
      </w:r>
      <w:proofErr w:type="spellStart"/>
      <w:r w:rsidR="00525DB6">
        <w:rPr>
          <w:rFonts w:ascii="ITC Avant Garde" w:hAnsi="ITC Avant Garde"/>
          <w:bCs/>
          <w:sz w:val="22"/>
          <w:szCs w:val="22"/>
          <w:lang w:val="es-ES_tradnl"/>
        </w:rPr>
        <w:t>Troncatel</w:t>
      </w:r>
      <w:proofErr w:type="spellEnd"/>
      <w:r w:rsidR="00525DB6">
        <w:rPr>
          <w:rFonts w:ascii="ITC Avant Garde" w:hAnsi="ITC Avant Garde"/>
          <w:bCs/>
          <w:sz w:val="22"/>
          <w:szCs w:val="22"/>
          <w:lang w:val="es-ES_tradnl"/>
        </w:rPr>
        <w:t>, S.A. de C.V., deberá presentar al Instituto Federal de Telecomunicaciones el comprobante de pago del aprovechamiento</w:t>
      </w:r>
      <w:r w:rsidR="00C65B34">
        <w:rPr>
          <w:rFonts w:ascii="ITC Avant Garde" w:hAnsi="ITC Avant Garde"/>
          <w:bCs/>
          <w:sz w:val="22"/>
          <w:szCs w:val="22"/>
          <w:lang w:val="es-ES_tradnl"/>
        </w:rPr>
        <w:t xml:space="preserve"> por concepto de contraprestación</w:t>
      </w:r>
      <w:r w:rsidR="00525DB6">
        <w:rPr>
          <w:rFonts w:ascii="ITC Avant Garde" w:hAnsi="ITC Avant Garde"/>
          <w:bCs/>
          <w:sz w:val="22"/>
          <w:szCs w:val="22"/>
          <w:lang w:val="es-ES_tradnl"/>
        </w:rPr>
        <w:t xml:space="preserve"> autorizado por la Secretaría de Hacienda y Crédito Público por un monto de </w:t>
      </w:r>
      <w:r w:rsidR="00525DB6" w:rsidRPr="00525DB6">
        <w:rPr>
          <w:rFonts w:ascii="ITC Avant Garde" w:hAnsi="ITC Avant Garde"/>
          <w:bCs/>
          <w:color w:val="000000"/>
          <w:sz w:val="22"/>
          <w:szCs w:val="22"/>
          <w:lang w:eastAsia="es-MX"/>
        </w:rPr>
        <w:t>$8, 482,794.00 (Ocho millones cuatrocientos ochenta y dos mil setecientos noventa y cuatro pesos 00/100 M.N.)</w:t>
      </w:r>
      <w:r w:rsidR="00525DB6">
        <w:rPr>
          <w:rFonts w:ascii="ITC Avant Garde" w:hAnsi="ITC Avant Garde"/>
          <w:bCs/>
          <w:color w:val="000000"/>
          <w:sz w:val="22"/>
          <w:szCs w:val="22"/>
          <w:lang w:eastAsia="es-MX"/>
        </w:rPr>
        <w:t xml:space="preserve">, dentro del plazo de </w:t>
      </w:r>
      <w:r w:rsidR="00525DB6">
        <w:rPr>
          <w:rFonts w:ascii="ITC Avant Garde" w:hAnsi="ITC Avant Garde"/>
          <w:bCs/>
          <w:sz w:val="22"/>
          <w:szCs w:val="22"/>
          <w:lang w:val="es-ES_tradnl"/>
        </w:rPr>
        <w:t xml:space="preserve">30 (treinta) días hábiles siguientes a la fecha en que hubiera presentado la aceptación señalada en el Resolutivo Cuarto de la presente Resolución. </w:t>
      </w:r>
    </w:p>
    <w:p w14:paraId="2A8B7C01" w14:textId="77777777" w:rsidR="00525DB6" w:rsidRPr="00063033" w:rsidRDefault="00525DB6" w:rsidP="00525DB6">
      <w:pPr>
        <w:jc w:val="both"/>
        <w:rPr>
          <w:rFonts w:ascii="ITC Avant Garde" w:hAnsi="ITC Avant Garde"/>
          <w:bCs/>
          <w:sz w:val="22"/>
          <w:szCs w:val="22"/>
          <w:lang w:val="es-ES_tradnl"/>
        </w:rPr>
      </w:pPr>
    </w:p>
    <w:p w14:paraId="4420FB58" w14:textId="77777777" w:rsidR="00525DB6" w:rsidRDefault="00525DB6" w:rsidP="00525DB6">
      <w:pPr>
        <w:jc w:val="both"/>
        <w:rPr>
          <w:rFonts w:ascii="ITC Avant Garde" w:hAnsi="ITC Avant Garde"/>
          <w:bCs/>
          <w:sz w:val="22"/>
          <w:szCs w:val="22"/>
          <w:lang w:val="es-ES_tradnl"/>
        </w:rPr>
      </w:pPr>
      <w:r>
        <w:rPr>
          <w:rFonts w:ascii="ITC Avant Garde" w:hAnsi="ITC Avant Garde"/>
          <w:bCs/>
          <w:sz w:val="22"/>
          <w:szCs w:val="22"/>
          <w:lang w:val="es-ES_tradnl"/>
        </w:rPr>
        <w:t xml:space="preserve">El monto señalado en el presente Resolutivo deberá ser actualizado al momento del pago, tomando en cuenta el último Índice Nacional de Precios al Consumidor publicado por el Banco de México. </w:t>
      </w:r>
    </w:p>
    <w:p w14:paraId="405735A9" w14:textId="77777777" w:rsidR="00525DB6" w:rsidRPr="00063033" w:rsidRDefault="00525DB6" w:rsidP="00525DB6">
      <w:pPr>
        <w:jc w:val="both"/>
        <w:rPr>
          <w:rFonts w:ascii="ITC Avant Garde" w:hAnsi="ITC Avant Garde"/>
          <w:bCs/>
          <w:sz w:val="22"/>
          <w:szCs w:val="22"/>
          <w:lang w:val="es-ES_tradnl"/>
        </w:rPr>
      </w:pPr>
    </w:p>
    <w:p w14:paraId="158E8D06" w14:textId="4EF255AB" w:rsidR="00B62BE3" w:rsidRDefault="00191670" w:rsidP="0099574F">
      <w:pPr>
        <w:jc w:val="both"/>
        <w:rPr>
          <w:rFonts w:ascii="ITC Avant Garde" w:hAnsi="ITC Avant Garde"/>
          <w:bCs/>
          <w:color w:val="000000"/>
          <w:sz w:val="22"/>
          <w:szCs w:val="22"/>
          <w:lang w:eastAsia="es-MX"/>
        </w:rPr>
      </w:pPr>
      <w:r w:rsidRPr="00525DB6">
        <w:rPr>
          <w:rFonts w:ascii="ITC Avant Garde" w:hAnsi="ITC Avant Garde"/>
          <w:b/>
          <w:bCs/>
          <w:sz w:val="22"/>
          <w:szCs w:val="22"/>
          <w:lang w:val="es-ES_tradnl"/>
        </w:rPr>
        <w:t xml:space="preserve">SEXTO.- </w:t>
      </w:r>
      <w:r w:rsidR="00B62BE3">
        <w:rPr>
          <w:rFonts w:ascii="ITC Avant Garde" w:hAnsi="ITC Avant Garde"/>
          <w:bCs/>
          <w:sz w:val="22"/>
          <w:szCs w:val="22"/>
          <w:lang w:val="es-ES_tradnl"/>
        </w:rPr>
        <w:t xml:space="preserve">En caso de que no se reciba por parte de </w:t>
      </w:r>
      <w:proofErr w:type="spellStart"/>
      <w:r w:rsidR="00442FB6" w:rsidRPr="00525DB6">
        <w:rPr>
          <w:rFonts w:ascii="ITC Avant Garde" w:hAnsi="ITC Avant Garde"/>
          <w:bCs/>
          <w:color w:val="000000"/>
          <w:sz w:val="22"/>
          <w:szCs w:val="22"/>
          <w:lang w:val="es-ES" w:eastAsia="es-MX"/>
        </w:rPr>
        <w:t>Troncatel</w:t>
      </w:r>
      <w:proofErr w:type="spellEnd"/>
      <w:r w:rsidRPr="00525DB6">
        <w:rPr>
          <w:rFonts w:ascii="ITC Avant Garde" w:hAnsi="ITC Avant Garde"/>
          <w:bCs/>
          <w:color w:val="000000"/>
          <w:sz w:val="22"/>
          <w:szCs w:val="22"/>
          <w:lang w:val="es-ES" w:eastAsia="es-MX"/>
        </w:rPr>
        <w:t>, S.A. de C.V.</w:t>
      </w:r>
      <w:r w:rsidR="00B62BE3">
        <w:rPr>
          <w:rFonts w:ascii="ITC Avant Garde" w:hAnsi="ITC Avant Garde"/>
          <w:bCs/>
          <w:color w:val="000000"/>
          <w:sz w:val="22"/>
          <w:szCs w:val="22"/>
          <w:lang w:val="es-ES" w:eastAsia="es-MX"/>
        </w:rPr>
        <w:t xml:space="preserve"> el comprobante de pago del aprovechamiento por concepto de contraprestación señalado en el Resolutivo Quinto</w:t>
      </w:r>
      <w:r w:rsidRPr="00525DB6">
        <w:rPr>
          <w:rFonts w:ascii="ITC Avant Garde" w:hAnsi="ITC Avant Garde"/>
          <w:bCs/>
          <w:color w:val="000000"/>
          <w:sz w:val="22"/>
          <w:szCs w:val="22"/>
          <w:lang w:eastAsia="es-MX"/>
        </w:rPr>
        <w:t xml:space="preserve">, </w:t>
      </w:r>
      <w:r w:rsidR="00B62BE3">
        <w:rPr>
          <w:rFonts w:ascii="ITC Avant Garde" w:hAnsi="ITC Avant Garde"/>
          <w:bCs/>
          <w:color w:val="000000"/>
          <w:sz w:val="22"/>
          <w:szCs w:val="22"/>
          <w:lang w:eastAsia="es-MX"/>
        </w:rPr>
        <w:t xml:space="preserve">dentro del plazo establecido para tales efectos, la presente Resolución quedará sin efectos y, en consecuencia, se tendrá por negada la prórroga de vigencia solicitada respecto de las concesiones de mérito. </w:t>
      </w:r>
    </w:p>
    <w:p w14:paraId="53F47021" w14:textId="77777777" w:rsidR="00B62BE3" w:rsidRDefault="00B62BE3" w:rsidP="0099574F">
      <w:pPr>
        <w:jc w:val="both"/>
        <w:rPr>
          <w:rFonts w:ascii="ITC Avant Garde" w:hAnsi="ITC Avant Garde"/>
          <w:bCs/>
          <w:color w:val="000000"/>
          <w:sz w:val="22"/>
          <w:szCs w:val="22"/>
          <w:lang w:eastAsia="es-MX"/>
        </w:rPr>
      </w:pPr>
    </w:p>
    <w:p w14:paraId="5978ED63" w14:textId="0E05685C" w:rsidR="00191670" w:rsidRPr="00525DB6" w:rsidRDefault="00B62BE3" w:rsidP="0099574F">
      <w:pPr>
        <w:jc w:val="both"/>
        <w:rPr>
          <w:rFonts w:ascii="ITC Avant Garde" w:hAnsi="ITC Avant Garde"/>
          <w:bCs/>
          <w:sz w:val="22"/>
          <w:szCs w:val="22"/>
          <w:lang w:val="es-ES_tradnl"/>
        </w:rPr>
      </w:pPr>
      <w:r>
        <w:rPr>
          <w:rFonts w:ascii="ITC Avant Garde" w:hAnsi="ITC Avant Garde"/>
          <w:bCs/>
          <w:color w:val="000000"/>
          <w:sz w:val="22"/>
          <w:szCs w:val="22"/>
          <w:lang w:eastAsia="es-MX"/>
        </w:rPr>
        <w:t xml:space="preserve">En dicho caso, </w:t>
      </w:r>
      <w:r w:rsidR="00191670" w:rsidRPr="00525DB6">
        <w:rPr>
          <w:rFonts w:ascii="ITC Avant Garde" w:hAnsi="ITC Avant Garde"/>
          <w:bCs/>
          <w:color w:val="000000"/>
          <w:sz w:val="22"/>
          <w:szCs w:val="22"/>
          <w:lang w:eastAsia="es-MX"/>
        </w:rPr>
        <w:t>las bandas de frecuencias que le fueron asignadas revertirán a favor de la Nación, sin perjuicio de que el Instituto Federal de Telecomunicaciones pueda ejercer las atribuciones de verificación, supervisión y, en su caso, sanción que correspondan.</w:t>
      </w:r>
    </w:p>
    <w:p w14:paraId="0F37C24A" w14:textId="77777777" w:rsidR="00191670" w:rsidRPr="00525DB6" w:rsidRDefault="00191670" w:rsidP="0099574F">
      <w:pPr>
        <w:jc w:val="both"/>
        <w:rPr>
          <w:rFonts w:ascii="ITC Avant Garde" w:hAnsi="ITC Avant Garde"/>
          <w:bCs/>
          <w:sz w:val="22"/>
          <w:szCs w:val="22"/>
          <w:lang w:val="es-ES_tradnl"/>
        </w:rPr>
      </w:pPr>
    </w:p>
    <w:p w14:paraId="55A55021" w14:textId="77777777" w:rsidR="00191670" w:rsidRPr="00525DB6" w:rsidRDefault="00191670" w:rsidP="0099574F">
      <w:pPr>
        <w:jc w:val="both"/>
        <w:rPr>
          <w:rFonts w:ascii="ITC Avant Garde" w:hAnsi="ITC Avant Garde"/>
          <w:bCs/>
          <w:sz w:val="22"/>
          <w:szCs w:val="22"/>
          <w:lang w:val="es-ES_tradnl"/>
        </w:rPr>
      </w:pPr>
      <w:r w:rsidRPr="00525DB6">
        <w:rPr>
          <w:rFonts w:ascii="ITC Avant Garde" w:hAnsi="ITC Avant Garde"/>
          <w:b/>
          <w:bCs/>
          <w:sz w:val="22"/>
          <w:szCs w:val="22"/>
          <w:lang w:val="es-ES_tradnl"/>
        </w:rPr>
        <w:t>SÉPTIMO.-</w:t>
      </w:r>
      <w:r w:rsidRPr="00525DB6">
        <w:rPr>
          <w:rFonts w:ascii="ITC Avant Garde" w:hAnsi="ITC Avant Garde"/>
          <w:bCs/>
          <w:sz w:val="22"/>
          <w:szCs w:val="22"/>
          <w:lang w:val="es-ES_tradnl"/>
        </w:rPr>
        <w:t xml:space="preserve"> Una vez satisfecho lo establecido en los Resolutivos Cuarto y Quinto anteriores, el Comisionado Presidente del Instituto Federal de Telecomunicaciones, con base en las facultades que le confiere el artículo 14 fracción X del Estatuto Orgánico, suscribirá los títulos de concesión que se otorguen con motivo de la presente Resolución.</w:t>
      </w:r>
    </w:p>
    <w:p w14:paraId="41FFD5FC" w14:textId="77777777" w:rsidR="00191670" w:rsidRPr="00525DB6" w:rsidRDefault="00191670" w:rsidP="0099574F">
      <w:pPr>
        <w:jc w:val="both"/>
        <w:rPr>
          <w:rFonts w:ascii="ITC Avant Garde" w:hAnsi="ITC Avant Garde"/>
          <w:bCs/>
          <w:sz w:val="22"/>
          <w:szCs w:val="22"/>
          <w:lang w:val="es-ES_tradnl"/>
        </w:rPr>
      </w:pPr>
    </w:p>
    <w:p w14:paraId="1ABB66DC" w14:textId="00815469" w:rsidR="00191670" w:rsidRPr="00525DB6" w:rsidRDefault="00191670" w:rsidP="0099574F">
      <w:pPr>
        <w:autoSpaceDE w:val="0"/>
        <w:autoSpaceDN w:val="0"/>
        <w:adjustRightInd w:val="0"/>
        <w:jc w:val="both"/>
        <w:rPr>
          <w:rFonts w:ascii="ITC Avant Garde" w:hAnsi="ITC Avant Garde"/>
          <w:bCs/>
          <w:sz w:val="22"/>
          <w:szCs w:val="22"/>
          <w:lang w:val="es-ES_tradnl"/>
        </w:rPr>
      </w:pPr>
      <w:r w:rsidRPr="00525DB6">
        <w:rPr>
          <w:rFonts w:ascii="ITC Avant Garde" w:hAnsi="ITC Avant Garde"/>
          <w:b/>
          <w:bCs/>
          <w:sz w:val="22"/>
          <w:szCs w:val="22"/>
          <w:lang w:val="es-ES_tradnl"/>
        </w:rPr>
        <w:t>OCTAVO.-</w:t>
      </w:r>
      <w:r w:rsidRPr="00525DB6">
        <w:rPr>
          <w:rFonts w:ascii="ITC Avant Garde" w:hAnsi="ITC Avant Garde"/>
          <w:bCs/>
          <w:sz w:val="22"/>
          <w:szCs w:val="22"/>
          <w:lang w:val="es-ES_tradnl"/>
        </w:rPr>
        <w:t xml:space="preserve"> </w:t>
      </w:r>
      <w:r w:rsidR="00E72BCF">
        <w:rPr>
          <w:rFonts w:ascii="ITC Avant Garde" w:hAnsi="ITC Avant Garde"/>
          <w:bCs/>
          <w:sz w:val="22"/>
          <w:szCs w:val="22"/>
          <w:lang w:val="es-ES_tradnl"/>
        </w:rPr>
        <w:t>Como consecuencia de lo señalado en el Resolutivo que antecede, s</w:t>
      </w:r>
      <w:r w:rsidRPr="00525DB6">
        <w:rPr>
          <w:rFonts w:ascii="ITC Avant Garde" w:hAnsi="ITC Avant Garde"/>
          <w:bCs/>
          <w:sz w:val="22"/>
          <w:szCs w:val="22"/>
          <w:lang w:val="es-ES_tradnl"/>
        </w:rPr>
        <w:t xml:space="preserve">e instruye a la Unidad de Concesiones y Servicios a notificar a </w:t>
      </w:r>
      <w:proofErr w:type="spellStart"/>
      <w:r w:rsidR="00442FB6" w:rsidRPr="00525DB6">
        <w:rPr>
          <w:rFonts w:ascii="ITC Avant Garde" w:hAnsi="ITC Avant Garde"/>
          <w:bCs/>
          <w:color w:val="000000"/>
          <w:sz w:val="22"/>
          <w:szCs w:val="22"/>
          <w:lang w:val="es-ES" w:eastAsia="es-MX"/>
        </w:rPr>
        <w:t>Troncatel</w:t>
      </w:r>
      <w:proofErr w:type="spellEnd"/>
      <w:r w:rsidRPr="00525DB6">
        <w:rPr>
          <w:rFonts w:ascii="ITC Avant Garde" w:hAnsi="ITC Avant Garde"/>
          <w:bCs/>
          <w:color w:val="000000"/>
          <w:sz w:val="22"/>
          <w:szCs w:val="22"/>
          <w:lang w:val="es-ES" w:eastAsia="es-MX"/>
        </w:rPr>
        <w:t>, S.A. de C.V.</w:t>
      </w:r>
      <w:r w:rsidRPr="00525DB6">
        <w:rPr>
          <w:rFonts w:ascii="ITC Avant Garde" w:hAnsi="ITC Avant Garde"/>
          <w:bCs/>
          <w:sz w:val="22"/>
          <w:szCs w:val="22"/>
          <w:lang w:val="es-ES_tradnl"/>
        </w:rPr>
        <w:t xml:space="preserve">, el título de concesión única para uso comercial, y el título de concesión </w:t>
      </w:r>
      <w:r w:rsidRPr="00525DB6">
        <w:rPr>
          <w:rFonts w:ascii="ITC Avant Garde" w:hAnsi="ITC Avant Garde"/>
          <w:bCs/>
          <w:color w:val="000000"/>
          <w:sz w:val="22"/>
          <w:szCs w:val="22"/>
          <w:lang w:eastAsia="es-MX"/>
        </w:rPr>
        <w:t xml:space="preserve">para usar, aprovechar y explotar bandas </w:t>
      </w:r>
      <w:r w:rsidRPr="00525DB6">
        <w:rPr>
          <w:rFonts w:ascii="ITC Avant Garde" w:hAnsi="ITC Avant Garde"/>
          <w:bCs/>
          <w:color w:val="000000"/>
          <w:sz w:val="22"/>
          <w:szCs w:val="22"/>
          <w:lang w:eastAsia="es-MX"/>
        </w:rPr>
        <w:lastRenderedPageBreak/>
        <w:t xml:space="preserve">de frecuencias del espectro radioeléctrico </w:t>
      </w:r>
      <w:r w:rsidRPr="00525DB6">
        <w:rPr>
          <w:rFonts w:ascii="ITC Avant Garde" w:hAnsi="ITC Avant Garde"/>
          <w:bCs/>
          <w:sz w:val="22"/>
          <w:szCs w:val="22"/>
          <w:lang w:val="es-ES_tradnl"/>
        </w:rPr>
        <w:t>para uso comercial, ambos referidos en la presente Resolución</w:t>
      </w:r>
      <w:r w:rsidR="00525DB6">
        <w:rPr>
          <w:rFonts w:ascii="ITC Avant Garde" w:hAnsi="ITC Avant Garde"/>
          <w:bCs/>
          <w:sz w:val="22"/>
          <w:szCs w:val="22"/>
          <w:lang w:val="es-ES_tradnl"/>
        </w:rPr>
        <w:t>.</w:t>
      </w:r>
    </w:p>
    <w:p w14:paraId="2265B6ED" w14:textId="77777777" w:rsidR="00191670" w:rsidRPr="00525DB6" w:rsidRDefault="00191670" w:rsidP="0099574F">
      <w:pPr>
        <w:jc w:val="both"/>
        <w:rPr>
          <w:rFonts w:ascii="ITC Avant Garde" w:hAnsi="ITC Avant Garde"/>
          <w:bCs/>
          <w:sz w:val="22"/>
          <w:szCs w:val="22"/>
          <w:lang w:val="es-ES_tradnl"/>
        </w:rPr>
      </w:pPr>
    </w:p>
    <w:p w14:paraId="0B99C592" w14:textId="43DE289C" w:rsidR="00191670" w:rsidRPr="00525DB6" w:rsidRDefault="00191670" w:rsidP="0099574F">
      <w:pPr>
        <w:autoSpaceDE w:val="0"/>
        <w:autoSpaceDN w:val="0"/>
        <w:adjustRightInd w:val="0"/>
        <w:jc w:val="both"/>
        <w:rPr>
          <w:rFonts w:ascii="ITC Avant Garde" w:hAnsi="ITC Avant Garde"/>
          <w:bCs/>
          <w:color w:val="000000"/>
          <w:sz w:val="22"/>
          <w:szCs w:val="22"/>
          <w:lang w:val="es-ES" w:eastAsia="es-MX"/>
        </w:rPr>
      </w:pPr>
      <w:r w:rsidRPr="00525DB6">
        <w:rPr>
          <w:rFonts w:ascii="ITC Avant Garde" w:hAnsi="ITC Avant Garde"/>
          <w:b/>
          <w:bCs/>
          <w:sz w:val="22"/>
          <w:szCs w:val="22"/>
          <w:lang w:val="es-ES_tradnl"/>
        </w:rPr>
        <w:t>NOVENO.-</w:t>
      </w:r>
      <w:r w:rsidRPr="00525DB6">
        <w:rPr>
          <w:rFonts w:ascii="ITC Avant Garde" w:hAnsi="ITC Avant Garde"/>
          <w:bCs/>
          <w:sz w:val="22"/>
          <w:szCs w:val="22"/>
          <w:lang w:val="es-ES_tradnl"/>
        </w:rPr>
        <w:t xml:space="preserve"> </w:t>
      </w:r>
      <w:proofErr w:type="spellStart"/>
      <w:r w:rsidR="00442FB6" w:rsidRPr="00525DB6">
        <w:rPr>
          <w:rFonts w:ascii="ITC Avant Garde" w:hAnsi="ITC Avant Garde"/>
          <w:bCs/>
          <w:color w:val="000000"/>
          <w:sz w:val="22"/>
          <w:szCs w:val="22"/>
          <w:lang w:val="es-ES" w:eastAsia="es-MX"/>
        </w:rPr>
        <w:t>Troncatel</w:t>
      </w:r>
      <w:proofErr w:type="spellEnd"/>
      <w:r w:rsidRPr="00525DB6">
        <w:rPr>
          <w:rFonts w:ascii="ITC Avant Garde" w:hAnsi="ITC Avant Garde"/>
          <w:bCs/>
          <w:color w:val="000000"/>
          <w:sz w:val="22"/>
          <w:szCs w:val="22"/>
          <w:lang w:val="es-ES" w:eastAsia="es-MX"/>
        </w:rPr>
        <w:t xml:space="preserve">, S.A. de C.V. </w:t>
      </w:r>
      <w:r w:rsidRPr="00525DB6">
        <w:rPr>
          <w:rFonts w:ascii="ITC Avant Garde" w:hAnsi="ITC Avant Garde"/>
          <w:bCs/>
          <w:color w:val="000000"/>
          <w:sz w:val="22"/>
          <w:szCs w:val="22"/>
          <w:lang w:eastAsia="es-MX"/>
        </w:rPr>
        <w:t>en cumplimiento a lo establecido en el último párrafo del artículo 112 de la Ley Federal de Telecomunicaciones y Radiodifusión, en un plazo no mayor de noventa días hábiles contados a partir de la fecha del otorgamiento de las concesiones a que se refiere la presente Resolución, deberá presentar ante el Instituto Federal de Telecomunicaciones, copia certificada del instrumento donde conste que se llevaron a cabo las modificaciones correspondientes a sus estatutos sociales.</w:t>
      </w:r>
    </w:p>
    <w:p w14:paraId="253D33E7" w14:textId="77777777" w:rsidR="00191670" w:rsidRPr="00525DB6" w:rsidRDefault="00191670" w:rsidP="0099574F">
      <w:pPr>
        <w:jc w:val="both"/>
        <w:rPr>
          <w:rFonts w:ascii="ITC Avant Garde" w:hAnsi="ITC Avant Garde"/>
          <w:bCs/>
          <w:sz w:val="22"/>
          <w:szCs w:val="22"/>
          <w:lang w:val="es-ES_tradnl"/>
        </w:rPr>
      </w:pPr>
    </w:p>
    <w:p w14:paraId="3A2AB0BA" w14:textId="5AC9DF0D" w:rsidR="00114132" w:rsidRDefault="00191670" w:rsidP="00ED7A6D">
      <w:pPr>
        <w:autoSpaceDE w:val="0"/>
        <w:autoSpaceDN w:val="0"/>
        <w:adjustRightInd w:val="0"/>
        <w:jc w:val="both"/>
        <w:rPr>
          <w:rFonts w:ascii="ITC Avant Garde" w:eastAsia="Calibri" w:hAnsi="ITC Avant Garde"/>
          <w:b/>
          <w:bCs/>
          <w:color w:val="000000"/>
          <w:sz w:val="22"/>
          <w:szCs w:val="22"/>
          <w:lang w:eastAsia="es-MX"/>
        </w:rPr>
      </w:pPr>
      <w:r w:rsidRPr="00525DB6">
        <w:rPr>
          <w:rFonts w:ascii="ITC Avant Garde" w:hAnsi="ITC Avant Garde"/>
          <w:b/>
          <w:bCs/>
          <w:sz w:val="22"/>
          <w:szCs w:val="22"/>
          <w:lang w:val="es-ES_tradnl"/>
        </w:rPr>
        <w:t>DÉCIMO.-</w:t>
      </w:r>
      <w:r w:rsidRPr="00525DB6">
        <w:rPr>
          <w:rFonts w:ascii="ITC Avant Garde" w:hAnsi="ITC Avant Garde"/>
          <w:bCs/>
          <w:sz w:val="22"/>
          <w:szCs w:val="22"/>
          <w:lang w:val="es-ES_tradnl"/>
        </w:rPr>
        <w:t xml:space="preserve"> Inscríbanse en el Registro Público de Concesiones el título de concesión única para uso comercial, así como el título de concesión para usar, aprovechar y explotar bandas de frecuencias del espectro radioeléctrico </w:t>
      </w:r>
      <w:r w:rsidR="00442FB6" w:rsidRPr="00525DB6">
        <w:rPr>
          <w:rFonts w:ascii="ITC Avant Garde" w:hAnsi="ITC Avant Garde"/>
          <w:bCs/>
          <w:sz w:val="22"/>
          <w:szCs w:val="22"/>
          <w:lang w:val="es-ES_tradnl"/>
        </w:rPr>
        <w:t>p</w:t>
      </w:r>
      <w:r w:rsidRPr="00525DB6">
        <w:rPr>
          <w:rFonts w:ascii="ITC Avant Garde" w:hAnsi="ITC Avant Garde"/>
          <w:bCs/>
          <w:sz w:val="22"/>
          <w:szCs w:val="22"/>
          <w:lang w:val="es-ES_tradnl"/>
        </w:rPr>
        <w:t>ara uso comercial a que se refiere la presente Resolución, una vez que sean debidamente notificados</w:t>
      </w:r>
      <w:r w:rsidR="000C19D9">
        <w:rPr>
          <w:rFonts w:ascii="ITC Avant Garde" w:hAnsi="ITC Avant Garde"/>
          <w:bCs/>
          <w:sz w:val="22"/>
          <w:szCs w:val="22"/>
          <w:lang w:val="es-ES_tradnl"/>
        </w:rPr>
        <w:t>, en su caso,</w:t>
      </w:r>
      <w:r w:rsidRPr="00525DB6">
        <w:rPr>
          <w:rFonts w:ascii="ITC Avant Garde" w:hAnsi="ITC Avant Garde"/>
          <w:bCs/>
          <w:sz w:val="22"/>
          <w:szCs w:val="22"/>
          <w:lang w:val="es-ES_tradnl"/>
        </w:rPr>
        <w:t xml:space="preserve"> al interesado. </w:t>
      </w:r>
    </w:p>
    <w:p w14:paraId="3D0283F3" w14:textId="77777777" w:rsidR="00C505C1" w:rsidRPr="00C505C1" w:rsidRDefault="00C505C1" w:rsidP="00C505C1">
      <w:pPr>
        <w:jc w:val="both"/>
        <w:rPr>
          <w:rFonts w:ascii="ITC Avant Garde" w:hAnsi="ITC Avant Garde"/>
          <w:sz w:val="14"/>
        </w:rPr>
      </w:pPr>
      <w:r w:rsidRPr="00C505C1">
        <w:rPr>
          <w:rFonts w:ascii="ITC Avant Garde" w:hAnsi="ITC Avant Garde"/>
          <w:sz w:val="14"/>
        </w:rPr>
        <w:t>La presente Resolución fue aprobada por el Pleno del Instituto Federal de Telecomunicaciones en su II Sesión Ordinaria celebrada el 27 de enero de 2016, en lo general por unanimidad de votos de los Comisionados presentes Gabriel Oswaldo Contreras Saldívar, Luis Fernando Borjón Figueroa, Ernesto Estrada González, Adriana Sofía Labardini Inzunza, María Elena Estavillo Flores, Mario Germán Fromow Rangel y Adolfo Cuevas Teja.</w:t>
      </w:r>
    </w:p>
    <w:p w14:paraId="49BF0B14" w14:textId="77777777" w:rsidR="00C505C1" w:rsidRPr="00C505C1" w:rsidRDefault="00C505C1" w:rsidP="00C505C1">
      <w:pPr>
        <w:jc w:val="both"/>
        <w:rPr>
          <w:rFonts w:ascii="ITC Avant Garde" w:hAnsi="ITC Avant Garde"/>
          <w:sz w:val="14"/>
        </w:rPr>
      </w:pPr>
      <w:r w:rsidRPr="00C505C1">
        <w:rPr>
          <w:rFonts w:ascii="ITC Avant Garde" w:hAnsi="ITC Avant Garde"/>
          <w:sz w:val="14"/>
        </w:rPr>
        <w:t xml:space="preserve">El Comisionado Adolfo Cuevas Teja manifestó voto en contra de la vigencia retroactiva de la concesión única, así como de la actualización del monto al momento del pago. </w:t>
      </w:r>
    </w:p>
    <w:p w14:paraId="189A2B41" w14:textId="4B6C9292" w:rsidR="007256CF" w:rsidRPr="00C87FE2" w:rsidRDefault="00C505C1" w:rsidP="00C87FE2">
      <w:pPr>
        <w:jc w:val="both"/>
        <w:rPr>
          <w:rFonts w:ascii="ITC Avant Garde" w:hAnsi="ITC Avant Garde"/>
          <w:sz w:val="14"/>
        </w:rPr>
      </w:pPr>
      <w:r w:rsidRPr="00C505C1">
        <w:rPr>
          <w:rFonts w:ascii="ITC Avant Garde" w:hAnsi="ITC Avant Garde"/>
          <w:sz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P/IFT/270116/18.</w:t>
      </w:r>
      <w:bookmarkStart w:id="0" w:name="_GoBack"/>
      <w:bookmarkEnd w:id="0"/>
    </w:p>
    <w:sectPr w:rsidR="007256CF" w:rsidRPr="00C87FE2" w:rsidSect="008F2E8B">
      <w:footerReference w:type="even" r:id="rId8"/>
      <w:footerReference w:type="default" r:id="rId9"/>
      <w:pgSz w:w="12240" w:h="15840" w:code="1"/>
      <w:pgMar w:top="1985" w:right="1080" w:bottom="1276" w:left="1134" w:header="720" w:footer="3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6308F" w14:textId="77777777" w:rsidR="00B75585" w:rsidRDefault="00B75585">
      <w:r>
        <w:separator/>
      </w:r>
    </w:p>
  </w:endnote>
  <w:endnote w:type="continuationSeparator" w:id="0">
    <w:p w14:paraId="48532D79" w14:textId="77777777" w:rsidR="00B75585" w:rsidRDefault="00B75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ITC Avant Garde">
    <w:panose1 w:val="020B04020202030203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TC Avant Garde Book">
    <w:altName w:val="Century Gothic"/>
    <w:panose1 w:val="020B0402020203020304"/>
    <w:charset w:val="00"/>
    <w:family w:val="auto"/>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49485" w14:textId="77777777" w:rsidR="001E4494" w:rsidRDefault="001E4494" w:rsidP="00813B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F2E8B">
      <w:rPr>
        <w:rStyle w:val="Nmerodepgina"/>
        <w:noProof/>
      </w:rPr>
      <w:t>14</w:t>
    </w:r>
    <w:r>
      <w:rPr>
        <w:rStyle w:val="Nmerodepgina"/>
      </w:rPr>
      <w:fldChar w:fldCharType="end"/>
    </w:r>
  </w:p>
  <w:p w14:paraId="4F4298BE" w14:textId="77777777" w:rsidR="001E4494" w:rsidRDefault="001E4494" w:rsidP="0051125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B9DE9" w14:textId="5BC7C278" w:rsidR="001E4494" w:rsidRDefault="001E4494" w:rsidP="00A779B2">
    <w:pPr>
      <w:pStyle w:val="Piedepgina"/>
      <w:ind w:right="360"/>
      <w:jc w:val="right"/>
      <w:rPr>
        <w:rStyle w:val="Nmerodepgina"/>
        <w:rFonts w:ascii="ITC Avant Garde" w:hAnsi="ITC Avant Garde"/>
        <w:sz w:val="20"/>
        <w:szCs w:val="16"/>
      </w:rPr>
    </w:pPr>
    <w:r w:rsidRPr="00A779B2">
      <w:rPr>
        <w:rStyle w:val="Nmerodepgina"/>
        <w:rFonts w:ascii="ITC Avant Garde" w:hAnsi="ITC Avant Garde"/>
        <w:sz w:val="20"/>
        <w:szCs w:val="16"/>
      </w:rPr>
      <w:fldChar w:fldCharType="begin"/>
    </w:r>
    <w:r w:rsidRPr="00A779B2">
      <w:rPr>
        <w:rStyle w:val="Nmerodepgina"/>
        <w:rFonts w:ascii="ITC Avant Garde" w:hAnsi="ITC Avant Garde"/>
        <w:sz w:val="20"/>
        <w:szCs w:val="16"/>
      </w:rPr>
      <w:instrText xml:space="preserve"> PAGE </w:instrText>
    </w:r>
    <w:r w:rsidRPr="00A779B2">
      <w:rPr>
        <w:rStyle w:val="Nmerodepgina"/>
        <w:rFonts w:ascii="ITC Avant Garde" w:hAnsi="ITC Avant Garde"/>
        <w:sz w:val="20"/>
        <w:szCs w:val="16"/>
      </w:rPr>
      <w:fldChar w:fldCharType="separate"/>
    </w:r>
    <w:r w:rsidR="00C87FE2">
      <w:rPr>
        <w:rStyle w:val="Nmerodepgina"/>
        <w:rFonts w:ascii="ITC Avant Garde" w:hAnsi="ITC Avant Garde"/>
        <w:noProof/>
        <w:sz w:val="20"/>
        <w:szCs w:val="16"/>
      </w:rPr>
      <w:t>21</w:t>
    </w:r>
    <w:r w:rsidRPr="00A779B2">
      <w:rPr>
        <w:rStyle w:val="Nmerodepgina"/>
        <w:rFonts w:ascii="ITC Avant Garde" w:hAnsi="ITC Avant Garde"/>
        <w:sz w:val="20"/>
        <w:szCs w:val="16"/>
      </w:rPr>
      <w:fldChar w:fldCharType="end"/>
    </w:r>
  </w:p>
  <w:p w14:paraId="197C50EF" w14:textId="77777777" w:rsidR="001E4494" w:rsidRPr="00A779B2" w:rsidRDefault="001E4494" w:rsidP="00A779B2">
    <w:pPr>
      <w:pStyle w:val="Piedepgina"/>
      <w:ind w:right="360"/>
      <w:jc w:val="right"/>
      <w:rPr>
        <w:rFonts w:ascii="ITC Avant Garde" w:hAnsi="ITC Avant Garde"/>
        <w:sz w:val="20"/>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92A54" w14:textId="77777777" w:rsidR="00B75585" w:rsidRDefault="00B75585">
      <w:r>
        <w:separator/>
      </w:r>
    </w:p>
  </w:footnote>
  <w:footnote w:type="continuationSeparator" w:id="0">
    <w:p w14:paraId="62373263" w14:textId="77777777" w:rsidR="00B75585" w:rsidRDefault="00B75585">
      <w:r>
        <w:continuationSeparator/>
      </w:r>
    </w:p>
  </w:footnote>
  <w:footnote w:id="1">
    <w:p w14:paraId="2A411794" w14:textId="77777777" w:rsidR="001E4494" w:rsidRPr="00063033" w:rsidRDefault="001E4494" w:rsidP="00965DCC">
      <w:pPr>
        <w:pStyle w:val="Textonotapie"/>
        <w:rPr>
          <w:rFonts w:ascii="ITC Avant Garde" w:hAnsi="ITC Avant Garde"/>
          <w:sz w:val="16"/>
          <w:szCs w:val="16"/>
        </w:rPr>
      </w:pPr>
      <w:r w:rsidRPr="00063033">
        <w:rPr>
          <w:rStyle w:val="Refdenotaalpie"/>
          <w:rFonts w:ascii="ITC Avant Garde"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cs="Arial"/>
          <w:sz w:val="16"/>
          <w:szCs w:val="16"/>
          <w:shd w:val="clear" w:color="auto" w:fill="FFFFFF"/>
        </w:rPr>
        <w:t>http://www.ift.org.mx/sites/default/files/p_ift_ext_260315_70.pdf</w:t>
      </w:r>
      <w:r w:rsidRPr="00063033">
        <w:rPr>
          <w:rFonts w:ascii="ITC Avant Garde" w:hAnsi="ITC Avant Garde"/>
          <w:sz w:val="16"/>
          <w:szCs w:val="16"/>
        </w:rPr>
        <w:t xml:space="preserve"> </w:t>
      </w:r>
    </w:p>
  </w:footnote>
  <w:footnote w:id="2">
    <w:p w14:paraId="644C1D32" w14:textId="77777777" w:rsidR="001E4494" w:rsidRPr="00935393" w:rsidRDefault="001E4494" w:rsidP="004527C9">
      <w:pPr>
        <w:pStyle w:val="Textonotapie"/>
        <w:jc w:val="both"/>
        <w:rPr>
          <w:rFonts w:ascii="ITC Avant Garde" w:hAnsi="ITC Avant Garde"/>
          <w:sz w:val="16"/>
          <w:szCs w:val="16"/>
        </w:rPr>
      </w:pPr>
      <w:r w:rsidRPr="00935393">
        <w:rPr>
          <w:rStyle w:val="Refdenotaalpie"/>
          <w:rFonts w:ascii="ITC Avant Garde" w:hAnsi="ITC Avant Garde"/>
          <w:sz w:val="16"/>
          <w:szCs w:val="16"/>
        </w:rPr>
        <w:footnoteRef/>
      </w:r>
      <w:r w:rsidRPr="00935393">
        <w:rPr>
          <w:rFonts w:ascii="ITC Avant Garde" w:hAnsi="ITC Avant Garde"/>
          <w:sz w:val="16"/>
          <w:szCs w:val="16"/>
        </w:rPr>
        <w:t xml:space="preserve"> A partir del 16 de abril de 2008 su denominación es Instituto Nacional de Estadística y Geografía.</w:t>
      </w:r>
    </w:p>
  </w:footnote>
  <w:footnote w:id="3">
    <w:p w14:paraId="1E325412" w14:textId="77777777" w:rsidR="001E4494" w:rsidRPr="00063033" w:rsidRDefault="001E4494" w:rsidP="00965DCC">
      <w:pPr>
        <w:rPr>
          <w:rFonts w:ascii="ITC Avant Garde" w:hAnsi="ITC Avant Garde"/>
          <w:sz w:val="16"/>
          <w:szCs w:val="16"/>
        </w:rPr>
      </w:pPr>
      <w:r w:rsidRPr="00063033">
        <w:rPr>
          <w:rStyle w:val="Refdenotaalpie"/>
          <w:rFonts w:ascii="ITC Avant Garde" w:eastAsiaTheme="minorHAnsi"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sz w:val="16"/>
          <w:szCs w:val="16"/>
        </w:rPr>
        <w:t>http://www.inegi.org.mx/Sistemas/multiarchivos/doc/702825003884/DZM20101.pdf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93C877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97010A"/>
    <w:multiLevelType w:val="hybridMultilevel"/>
    <w:tmpl w:val="28AA706A"/>
    <w:lvl w:ilvl="0" w:tplc="080A0001">
      <w:start w:val="1"/>
      <w:numFmt w:val="bullet"/>
      <w:lvlText w:val=""/>
      <w:lvlJc w:val="left"/>
      <w:pPr>
        <w:ind w:left="1995" w:hanging="360"/>
      </w:pPr>
      <w:rPr>
        <w:rFonts w:ascii="Symbol" w:hAnsi="Symbol" w:hint="default"/>
      </w:rPr>
    </w:lvl>
    <w:lvl w:ilvl="1" w:tplc="080A0003" w:tentative="1">
      <w:start w:val="1"/>
      <w:numFmt w:val="bullet"/>
      <w:lvlText w:val="o"/>
      <w:lvlJc w:val="left"/>
      <w:pPr>
        <w:ind w:left="2715" w:hanging="360"/>
      </w:pPr>
      <w:rPr>
        <w:rFonts w:ascii="Courier New" w:hAnsi="Courier New" w:cs="Courier New" w:hint="default"/>
      </w:rPr>
    </w:lvl>
    <w:lvl w:ilvl="2" w:tplc="080A0005" w:tentative="1">
      <w:start w:val="1"/>
      <w:numFmt w:val="bullet"/>
      <w:lvlText w:val=""/>
      <w:lvlJc w:val="left"/>
      <w:pPr>
        <w:ind w:left="3435" w:hanging="360"/>
      </w:pPr>
      <w:rPr>
        <w:rFonts w:ascii="Wingdings" w:hAnsi="Wingdings" w:hint="default"/>
      </w:rPr>
    </w:lvl>
    <w:lvl w:ilvl="3" w:tplc="080A0001" w:tentative="1">
      <w:start w:val="1"/>
      <w:numFmt w:val="bullet"/>
      <w:lvlText w:val=""/>
      <w:lvlJc w:val="left"/>
      <w:pPr>
        <w:ind w:left="4155" w:hanging="360"/>
      </w:pPr>
      <w:rPr>
        <w:rFonts w:ascii="Symbol" w:hAnsi="Symbol" w:hint="default"/>
      </w:rPr>
    </w:lvl>
    <w:lvl w:ilvl="4" w:tplc="080A0003" w:tentative="1">
      <w:start w:val="1"/>
      <w:numFmt w:val="bullet"/>
      <w:lvlText w:val="o"/>
      <w:lvlJc w:val="left"/>
      <w:pPr>
        <w:ind w:left="4875" w:hanging="360"/>
      </w:pPr>
      <w:rPr>
        <w:rFonts w:ascii="Courier New" w:hAnsi="Courier New" w:cs="Courier New" w:hint="default"/>
      </w:rPr>
    </w:lvl>
    <w:lvl w:ilvl="5" w:tplc="080A0005" w:tentative="1">
      <w:start w:val="1"/>
      <w:numFmt w:val="bullet"/>
      <w:lvlText w:val=""/>
      <w:lvlJc w:val="left"/>
      <w:pPr>
        <w:ind w:left="5595" w:hanging="360"/>
      </w:pPr>
      <w:rPr>
        <w:rFonts w:ascii="Wingdings" w:hAnsi="Wingdings" w:hint="default"/>
      </w:rPr>
    </w:lvl>
    <w:lvl w:ilvl="6" w:tplc="080A0001" w:tentative="1">
      <w:start w:val="1"/>
      <w:numFmt w:val="bullet"/>
      <w:lvlText w:val=""/>
      <w:lvlJc w:val="left"/>
      <w:pPr>
        <w:ind w:left="6315" w:hanging="360"/>
      </w:pPr>
      <w:rPr>
        <w:rFonts w:ascii="Symbol" w:hAnsi="Symbol" w:hint="default"/>
      </w:rPr>
    </w:lvl>
    <w:lvl w:ilvl="7" w:tplc="080A0003" w:tentative="1">
      <w:start w:val="1"/>
      <w:numFmt w:val="bullet"/>
      <w:lvlText w:val="o"/>
      <w:lvlJc w:val="left"/>
      <w:pPr>
        <w:ind w:left="7035" w:hanging="360"/>
      </w:pPr>
      <w:rPr>
        <w:rFonts w:ascii="Courier New" w:hAnsi="Courier New" w:cs="Courier New" w:hint="default"/>
      </w:rPr>
    </w:lvl>
    <w:lvl w:ilvl="8" w:tplc="080A0005" w:tentative="1">
      <w:start w:val="1"/>
      <w:numFmt w:val="bullet"/>
      <w:lvlText w:val=""/>
      <w:lvlJc w:val="left"/>
      <w:pPr>
        <w:ind w:left="7755" w:hanging="360"/>
      </w:pPr>
      <w:rPr>
        <w:rFonts w:ascii="Wingdings" w:hAnsi="Wingdings" w:hint="default"/>
      </w:rPr>
    </w:lvl>
  </w:abstractNum>
  <w:abstractNum w:abstractNumId="2" w15:restartNumberingAfterBreak="0">
    <w:nsid w:val="03AB7235"/>
    <w:multiLevelType w:val="hybridMultilevel"/>
    <w:tmpl w:val="9A1EE312"/>
    <w:lvl w:ilvl="0" w:tplc="DE561F62">
      <w:start w:val="1"/>
      <w:numFmt w:val="upperRoman"/>
      <w:lvlText w:val="%1."/>
      <w:lvlJc w:val="left"/>
      <w:pPr>
        <w:tabs>
          <w:tab w:val="num" w:pos="1080"/>
        </w:tabs>
        <w:ind w:left="1080" w:hanging="72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8A69C8"/>
    <w:multiLevelType w:val="hybridMultilevel"/>
    <w:tmpl w:val="A2B0C330"/>
    <w:lvl w:ilvl="0" w:tplc="E7DEF506">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 w15:restartNumberingAfterBreak="0">
    <w:nsid w:val="0816556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0D4410"/>
    <w:multiLevelType w:val="hybridMultilevel"/>
    <w:tmpl w:val="5C84ADC2"/>
    <w:lvl w:ilvl="0" w:tplc="080A0013">
      <w:start w:val="1"/>
      <w:numFmt w:val="upperRoman"/>
      <w:lvlText w:val="%1."/>
      <w:lvlJc w:val="right"/>
      <w:pPr>
        <w:ind w:left="720" w:hanging="360"/>
      </w:pPr>
    </w:lvl>
    <w:lvl w:ilvl="1" w:tplc="028892F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2726FD"/>
    <w:multiLevelType w:val="hybridMultilevel"/>
    <w:tmpl w:val="FB2C7792"/>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13FF5F54"/>
    <w:multiLevelType w:val="hybridMultilevel"/>
    <w:tmpl w:val="A83A5A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5422B21"/>
    <w:multiLevelType w:val="singleLevel"/>
    <w:tmpl w:val="0C0A0013"/>
    <w:lvl w:ilvl="0">
      <w:start w:val="1"/>
      <w:numFmt w:val="upperRoman"/>
      <w:lvlText w:val="%1."/>
      <w:lvlJc w:val="left"/>
      <w:pPr>
        <w:tabs>
          <w:tab w:val="num" w:pos="720"/>
        </w:tabs>
        <w:ind w:left="720" w:hanging="720"/>
      </w:pPr>
    </w:lvl>
  </w:abstractNum>
  <w:abstractNum w:abstractNumId="9" w15:restartNumberingAfterBreak="0">
    <w:nsid w:val="17A12A4D"/>
    <w:multiLevelType w:val="multilevel"/>
    <w:tmpl w:val="B3F8D5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E611628"/>
    <w:multiLevelType w:val="hybridMultilevel"/>
    <w:tmpl w:val="85DCBF5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1" w15:restartNumberingAfterBreak="0">
    <w:nsid w:val="2502736B"/>
    <w:multiLevelType w:val="multilevel"/>
    <w:tmpl w:val="E7CAF44A"/>
    <w:lvl w:ilvl="0">
      <w:start w:val="1"/>
      <w:numFmt w:val="decimal"/>
      <w:lvlText w:val="%1."/>
      <w:lvlJc w:val="left"/>
      <w:pPr>
        <w:ind w:left="1494"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12" w15:restartNumberingAfterBreak="0">
    <w:nsid w:val="25630E39"/>
    <w:multiLevelType w:val="hybridMultilevel"/>
    <w:tmpl w:val="82BCCFEE"/>
    <w:lvl w:ilvl="0" w:tplc="1F624F82">
      <w:start w:val="1"/>
      <w:numFmt w:val="upperRoman"/>
      <w:lvlText w:val="%1."/>
      <w:lvlJc w:val="righ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0CD58A2"/>
    <w:multiLevelType w:val="hybridMultilevel"/>
    <w:tmpl w:val="017895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0ED36B0"/>
    <w:multiLevelType w:val="hybridMultilevel"/>
    <w:tmpl w:val="F8F20A8C"/>
    <w:lvl w:ilvl="0" w:tplc="E2E2748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155B5D"/>
    <w:multiLevelType w:val="hybridMultilevel"/>
    <w:tmpl w:val="2DE641D4"/>
    <w:lvl w:ilvl="0" w:tplc="809C54A2">
      <w:start w:val="3"/>
      <w:numFmt w:val="upperRoman"/>
      <w:lvlText w:val="%1."/>
      <w:lvlJc w:val="right"/>
      <w:pPr>
        <w:tabs>
          <w:tab w:val="num" w:pos="540"/>
        </w:tabs>
        <w:ind w:left="54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41F4552"/>
    <w:multiLevelType w:val="hybridMultilevel"/>
    <w:tmpl w:val="90464280"/>
    <w:lvl w:ilvl="0" w:tplc="F70E727C">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7" w15:restartNumberingAfterBreak="0">
    <w:nsid w:val="352468D5"/>
    <w:multiLevelType w:val="hybridMultilevel"/>
    <w:tmpl w:val="E67A8E1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8" w15:restartNumberingAfterBreak="0">
    <w:nsid w:val="38C0560B"/>
    <w:multiLevelType w:val="hybridMultilevel"/>
    <w:tmpl w:val="7C7E4EA4"/>
    <w:lvl w:ilvl="0" w:tplc="4DB21D4E">
      <w:start w:val="1"/>
      <w:numFmt w:val="lowerRoman"/>
      <w:lvlText w:val="%1)"/>
      <w:lvlJc w:val="left"/>
      <w:pPr>
        <w:ind w:left="1146" w:hanging="72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9" w15:restartNumberingAfterBreak="0">
    <w:nsid w:val="39C572BE"/>
    <w:multiLevelType w:val="hybridMultilevel"/>
    <w:tmpl w:val="842061BA"/>
    <w:lvl w:ilvl="0" w:tplc="E51049EE">
      <w:start w:val="1"/>
      <w:numFmt w:val="upperRoman"/>
      <w:lvlText w:val="%1."/>
      <w:lvlJc w:val="left"/>
      <w:pPr>
        <w:tabs>
          <w:tab w:val="num" w:pos="180"/>
        </w:tabs>
        <w:ind w:left="180" w:firstLine="108"/>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A063B65"/>
    <w:multiLevelType w:val="hybridMultilevel"/>
    <w:tmpl w:val="90349022"/>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DB87BA0"/>
    <w:multiLevelType w:val="hybridMultilevel"/>
    <w:tmpl w:val="545829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1A0B32"/>
    <w:multiLevelType w:val="hybridMultilevel"/>
    <w:tmpl w:val="A2841922"/>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477055DD"/>
    <w:multiLevelType w:val="hybridMultilevel"/>
    <w:tmpl w:val="A2CE4A52"/>
    <w:lvl w:ilvl="0" w:tplc="080A0017">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24" w15:restartNumberingAfterBreak="0">
    <w:nsid w:val="4D8D556F"/>
    <w:multiLevelType w:val="hybridMultilevel"/>
    <w:tmpl w:val="DB3AF5CC"/>
    <w:lvl w:ilvl="0" w:tplc="87F8D3C2">
      <w:start w:val="1"/>
      <w:numFmt w:val="lowerLetter"/>
      <w:lvlText w:val="%1)"/>
      <w:lvlJc w:val="left"/>
      <w:pPr>
        <w:tabs>
          <w:tab w:val="num" w:pos="1440"/>
        </w:tabs>
        <w:ind w:left="1440" w:hanging="360"/>
      </w:pPr>
      <w:rPr>
        <w:rFonts w:ascii="Arial" w:hAnsi="Arial"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F1529E0"/>
    <w:multiLevelType w:val="hybridMultilevel"/>
    <w:tmpl w:val="8116B48E"/>
    <w:lvl w:ilvl="0" w:tplc="5ED221E2">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4F2161FC"/>
    <w:multiLevelType w:val="multilevel"/>
    <w:tmpl w:val="B2948C1E"/>
    <w:lvl w:ilvl="0">
      <w:start w:val="1"/>
      <w:numFmt w:val="decimal"/>
      <w:lvlText w:val="%1."/>
      <w:lvlJc w:val="left"/>
      <w:pPr>
        <w:ind w:left="1494"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27" w15:restartNumberingAfterBreak="0">
    <w:nsid w:val="4F3B4F2A"/>
    <w:multiLevelType w:val="hybridMultilevel"/>
    <w:tmpl w:val="7E8AD34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8" w15:restartNumberingAfterBreak="0">
    <w:nsid w:val="578012DA"/>
    <w:multiLevelType w:val="multilevel"/>
    <w:tmpl w:val="2DE641D4"/>
    <w:lvl w:ilvl="0">
      <w:start w:val="3"/>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7CD229A"/>
    <w:multiLevelType w:val="hybridMultilevel"/>
    <w:tmpl w:val="1D92D6CE"/>
    <w:lvl w:ilvl="0" w:tplc="87F8D3C2">
      <w:start w:val="1"/>
      <w:numFmt w:val="lowerLetter"/>
      <w:lvlText w:val="%1)"/>
      <w:lvlJc w:val="left"/>
      <w:pPr>
        <w:tabs>
          <w:tab w:val="num" w:pos="1440"/>
        </w:tabs>
        <w:ind w:left="1440" w:hanging="360"/>
      </w:pPr>
      <w:rPr>
        <w:rFonts w:ascii="Arial" w:hAnsi="Arial"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9833FBB"/>
    <w:multiLevelType w:val="hybridMultilevel"/>
    <w:tmpl w:val="765E4F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ACF0BEE"/>
    <w:multiLevelType w:val="hybridMultilevel"/>
    <w:tmpl w:val="B2C26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003293A"/>
    <w:multiLevelType w:val="hybridMultilevel"/>
    <w:tmpl w:val="8FAEB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120637B"/>
    <w:multiLevelType w:val="hybridMultilevel"/>
    <w:tmpl w:val="759A3A7C"/>
    <w:lvl w:ilvl="0" w:tplc="125CA09A">
      <w:start w:val="1"/>
      <w:numFmt w:val="upperRoman"/>
      <w:lvlText w:val="%1. "/>
      <w:lvlJc w:val="left"/>
      <w:pPr>
        <w:tabs>
          <w:tab w:val="num" w:pos="567"/>
        </w:tabs>
        <w:ind w:left="567" w:hanging="567"/>
      </w:pPr>
      <w:rPr>
        <w:rFonts w:ascii="Arial" w:hAnsi="Arial" w:hint="default"/>
        <w:b/>
        <w:i w:val="0"/>
        <w:sz w:val="22"/>
        <w:szCs w:val="22"/>
        <w:u w:val="none"/>
      </w:rPr>
    </w:lvl>
    <w:lvl w:ilvl="1" w:tplc="0C0A000F">
      <w:start w:val="1"/>
      <w:numFmt w:val="decimal"/>
      <w:lvlText w:val="%2."/>
      <w:lvlJc w:val="left"/>
      <w:pPr>
        <w:tabs>
          <w:tab w:val="num" w:pos="1440"/>
        </w:tabs>
        <w:ind w:left="1440" w:hanging="360"/>
      </w:pPr>
      <w:rPr>
        <w:rFonts w:hint="default"/>
        <w:b/>
        <w:i w:val="0"/>
        <w:sz w:val="22"/>
        <w:szCs w:val="22"/>
        <w:u w:val="none"/>
      </w:rPr>
    </w:lvl>
    <w:lvl w:ilvl="2" w:tplc="D0AA99A8">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1F42395"/>
    <w:multiLevelType w:val="hybridMultilevel"/>
    <w:tmpl w:val="8B664042"/>
    <w:lvl w:ilvl="0" w:tplc="21844522">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5" w15:restartNumberingAfterBreak="0">
    <w:nsid w:val="626214A4"/>
    <w:multiLevelType w:val="hybridMultilevel"/>
    <w:tmpl w:val="1CC0757C"/>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36" w15:restartNumberingAfterBreak="0">
    <w:nsid w:val="63C24DBD"/>
    <w:multiLevelType w:val="hybridMultilevel"/>
    <w:tmpl w:val="3020B3B0"/>
    <w:lvl w:ilvl="0" w:tplc="C37ACD6C">
      <w:start w:val="2"/>
      <w:numFmt w:val="upperRoman"/>
      <w:lvlText w:val="%1."/>
      <w:lvlJc w:val="left"/>
      <w:pPr>
        <w:tabs>
          <w:tab w:val="num" w:pos="1080"/>
        </w:tabs>
        <w:ind w:left="1080" w:hanging="720"/>
      </w:pPr>
      <w:rPr>
        <w:rFonts w:hint="default"/>
        <w:b/>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53D2084"/>
    <w:multiLevelType w:val="hybridMultilevel"/>
    <w:tmpl w:val="280252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5733D9E"/>
    <w:multiLevelType w:val="hybridMultilevel"/>
    <w:tmpl w:val="7BFC10E4"/>
    <w:lvl w:ilvl="0" w:tplc="0148A8C8">
      <w:start w:val="1"/>
      <w:numFmt w:val="lowerRoman"/>
      <w:lvlText w:val="%1."/>
      <w:lvlJc w:val="left"/>
      <w:pPr>
        <w:ind w:left="1995" w:hanging="720"/>
      </w:pPr>
      <w:rPr>
        <w:rFonts w:hint="default"/>
      </w:rPr>
    </w:lvl>
    <w:lvl w:ilvl="1" w:tplc="080A0019" w:tentative="1">
      <w:start w:val="1"/>
      <w:numFmt w:val="lowerLetter"/>
      <w:lvlText w:val="%2."/>
      <w:lvlJc w:val="left"/>
      <w:pPr>
        <w:ind w:left="2355" w:hanging="360"/>
      </w:pPr>
    </w:lvl>
    <w:lvl w:ilvl="2" w:tplc="080A001B" w:tentative="1">
      <w:start w:val="1"/>
      <w:numFmt w:val="lowerRoman"/>
      <w:lvlText w:val="%3."/>
      <w:lvlJc w:val="right"/>
      <w:pPr>
        <w:ind w:left="3075" w:hanging="180"/>
      </w:pPr>
    </w:lvl>
    <w:lvl w:ilvl="3" w:tplc="080A000F" w:tentative="1">
      <w:start w:val="1"/>
      <w:numFmt w:val="decimal"/>
      <w:lvlText w:val="%4."/>
      <w:lvlJc w:val="left"/>
      <w:pPr>
        <w:ind w:left="3795" w:hanging="360"/>
      </w:pPr>
    </w:lvl>
    <w:lvl w:ilvl="4" w:tplc="080A0019" w:tentative="1">
      <w:start w:val="1"/>
      <w:numFmt w:val="lowerLetter"/>
      <w:lvlText w:val="%5."/>
      <w:lvlJc w:val="left"/>
      <w:pPr>
        <w:ind w:left="4515" w:hanging="360"/>
      </w:pPr>
    </w:lvl>
    <w:lvl w:ilvl="5" w:tplc="080A001B" w:tentative="1">
      <w:start w:val="1"/>
      <w:numFmt w:val="lowerRoman"/>
      <w:lvlText w:val="%6."/>
      <w:lvlJc w:val="right"/>
      <w:pPr>
        <w:ind w:left="5235" w:hanging="180"/>
      </w:pPr>
    </w:lvl>
    <w:lvl w:ilvl="6" w:tplc="080A000F" w:tentative="1">
      <w:start w:val="1"/>
      <w:numFmt w:val="decimal"/>
      <w:lvlText w:val="%7."/>
      <w:lvlJc w:val="left"/>
      <w:pPr>
        <w:ind w:left="5955" w:hanging="360"/>
      </w:pPr>
    </w:lvl>
    <w:lvl w:ilvl="7" w:tplc="080A0019" w:tentative="1">
      <w:start w:val="1"/>
      <w:numFmt w:val="lowerLetter"/>
      <w:lvlText w:val="%8."/>
      <w:lvlJc w:val="left"/>
      <w:pPr>
        <w:ind w:left="6675" w:hanging="360"/>
      </w:pPr>
    </w:lvl>
    <w:lvl w:ilvl="8" w:tplc="080A001B" w:tentative="1">
      <w:start w:val="1"/>
      <w:numFmt w:val="lowerRoman"/>
      <w:lvlText w:val="%9."/>
      <w:lvlJc w:val="right"/>
      <w:pPr>
        <w:ind w:left="7395" w:hanging="180"/>
      </w:pPr>
    </w:lvl>
  </w:abstractNum>
  <w:abstractNum w:abstractNumId="39" w15:restartNumberingAfterBreak="0">
    <w:nsid w:val="68FD0F60"/>
    <w:multiLevelType w:val="hybridMultilevel"/>
    <w:tmpl w:val="22E036C8"/>
    <w:lvl w:ilvl="0" w:tplc="8ABCBB16">
      <w:start w:val="1"/>
      <w:numFmt w:val="decimal"/>
      <w:lvlText w:val="%1)"/>
      <w:lvlJc w:val="left"/>
      <w:pPr>
        <w:tabs>
          <w:tab w:val="num" w:pos="2340"/>
        </w:tabs>
        <w:ind w:left="23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69BC1CDA"/>
    <w:multiLevelType w:val="hybridMultilevel"/>
    <w:tmpl w:val="1898C906"/>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41" w15:restartNumberingAfterBreak="0">
    <w:nsid w:val="69C73B3E"/>
    <w:multiLevelType w:val="hybridMultilevel"/>
    <w:tmpl w:val="CD7CA656"/>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2" w15:restartNumberingAfterBreak="0">
    <w:nsid w:val="70B118E0"/>
    <w:multiLevelType w:val="hybridMultilevel"/>
    <w:tmpl w:val="D312E282"/>
    <w:lvl w:ilvl="0" w:tplc="8ABE3078">
      <w:start w:val="4"/>
      <w:numFmt w:val="upperRoman"/>
      <w:lvlText w:val="%1."/>
      <w:lvlJc w:val="left"/>
      <w:pPr>
        <w:ind w:left="1004" w:hanging="72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3" w15:restartNumberingAfterBreak="0">
    <w:nsid w:val="73AC5559"/>
    <w:multiLevelType w:val="hybridMultilevel"/>
    <w:tmpl w:val="925C7B18"/>
    <w:lvl w:ilvl="0" w:tplc="A9E66AD0">
      <w:start w:val="1"/>
      <w:numFmt w:val="upperRoman"/>
      <w:lvlText w:val="%1."/>
      <w:lvlJc w:val="left"/>
      <w:pPr>
        <w:tabs>
          <w:tab w:val="num" w:pos="1080"/>
        </w:tabs>
        <w:ind w:left="1080" w:hanging="720"/>
      </w:pPr>
      <w:rPr>
        <w:rFonts w:hint="default"/>
        <w:b/>
      </w:rPr>
    </w:lvl>
    <w:lvl w:ilvl="1" w:tplc="BC76A95C">
      <w:start w:val="1"/>
      <w:numFmt w:val="lowerLetter"/>
      <w:lvlText w:val="%2)"/>
      <w:lvlJc w:val="left"/>
      <w:pPr>
        <w:tabs>
          <w:tab w:val="num" w:pos="1440"/>
        </w:tabs>
        <w:ind w:left="1440" w:hanging="360"/>
      </w:pPr>
      <w:rPr>
        <w:rFonts w:hint="default"/>
        <w:b w:val="0"/>
        <w:i w:val="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15:restartNumberingAfterBreak="0">
    <w:nsid w:val="74650DD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E71BBC"/>
    <w:multiLevelType w:val="multilevel"/>
    <w:tmpl w:val="EE5CCF4A"/>
    <w:lvl w:ilvl="0">
      <w:start w:val="2"/>
      <w:numFmt w:val="decimal"/>
      <w:lvlText w:val="%1."/>
      <w:lvlJc w:val="left"/>
      <w:pPr>
        <w:ind w:left="1494" w:hanging="360"/>
      </w:pPr>
      <w:rPr>
        <w:rFonts w:hint="default"/>
      </w:rPr>
    </w:lvl>
    <w:lvl w:ilvl="1">
      <w:start w:val="4"/>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46" w15:restartNumberingAfterBreak="0">
    <w:nsid w:val="791F673A"/>
    <w:multiLevelType w:val="hybridMultilevel"/>
    <w:tmpl w:val="B55E4666"/>
    <w:lvl w:ilvl="0" w:tplc="D20491FA">
      <w:start w:val="3"/>
      <w:numFmt w:val="upperRoman"/>
      <w:lvlText w:val="%1."/>
      <w:lvlJc w:val="right"/>
      <w:pPr>
        <w:tabs>
          <w:tab w:val="num" w:pos="180"/>
        </w:tabs>
        <w:ind w:left="180" w:hanging="18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15:restartNumberingAfterBreak="0">
    <w:nsid w:val="7FAF4309"/>
    <w:multiLevelType w:val="hybridMultilevel"/>
    <w:tmpl w:val="AFF607E8"/>
    <w:lvl w:ilvl="0" w:tplc="250A6870">
      <w:start w:val="1"/>
      <w:numFmt w:val="lowerLetter"/>
      <w:lvlText w:val="%1)"/>
      <w:lvlJc w:val="left"/>
      <w:pPr>
        <w:ind w:left="927" w:hanging="360"/>
      </w:pPr>
      <w:rPr>
        <w:rFonts w:hint="default"/>
        <w:b/>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33"/>
  </w:num>
  <w:num w:numId="2">
    <w:abstractNumId w:val="19"/>
  </w:num>
  <w:num w:numId="3">
    <w:abstractNumId w:val="35"/>
  </w:num>
  <w:num w:numId="4">
    <w:abstractNumId w:val="15"/>
  </w:num>
  <w:num w:numId="5">
    <w:abstractNumId w:val="9"/>
  </w:num>
  <w:num w:numId="6">
    <w:abstractNumId w:val="28"/>
  </w:num>
  <w:num w:numId="7">
    <w:abstractNumId w:val="46"/>
  </w:num>
  <w:num w:numId="8">
    <w:abstractNumId w:val="8"/>
  </w:num>
  <w:num w:numId="9">
    <w:abstractNumId w:val="22"/>
  </w:num>
  <w:num w:numId="10">
    <w:abstractNumId w:val="2"/>
  </w:num>
  <w:num w:numId="11">
    <w:abstractNumId w:val="36"/>
  </w:num>
  <w:num w:numId="12">
    <w:abstractNumId w:val="21"/>
  </w:num>
  <w:num w:numId="13">
    <w:abstractNumId w:val="39"/>
  </w:num>
  <w:num w:numId="14">
    <w:abstractNumId w:val="40"/>
  </w:num>
  <w:num w:numId="15">
    <w:abstractNumId w:val="27"/>
  </w:num>
  <w:num w:numId="16">
    <w:abstractNumId w:val="13"/>
  </w:num>
  <w:num w:numId="17">
    <w:abstractNumId w:val="20"/>
  </w:num>
  <w:num w:numId="18">
    <w:abstractNumId w:val="24"/>
  </w:num>
  <w:num w:numId="19">
    <w:abstractNumId w:val="30"/>
  </w:num>
  <w:num w:numId="20">
    <w:abstractNumId w:val="12"/>
  </w:num>
  <w:num w:numId="21">
    <w:abstractNumId w:val="32"/>
  </w:num>
  <w:num w:numId="22">
    <w:abstractNumId w:val="43"/>
  </w:num>
  <w:num w:numId="23">
    <w:abstractNumId w:val="25"/>
  </w:num>
  <w:num w:numId="24">
    <w:abstractNumId w:val="18"/>
  </w:num>
  <w:num w:numId="25">
    <w:abstractNumId w:val="23"/>
  </w:num>
  <w:num w:numId="26">
    <w:abstractNumId w:val="29"/>
  </w:num>
  <w:num w:numId="27">
    <w:abstractNumId w:val="26"/>
  </w:num>
  <w:num w:numId="28">
    <w:abstractNumId w:val="17"/>
  </w:num>
  <w:num w:numId="29">
    <w:abstractNumId w:val="11"/>
  </w:num>
  <w:num w:numId="30">
    <w:abstractNumId w:val="10"/>
  </w:num>
  <w:num w:numId="31">
    <w:abstractNumId w:val="0"/>
  </w:num>
  <w:num w:numId="32">
    <w:abstractNumId w:val="45"/>
  </w:num>
  <w:num w:numId="33">
    <w:abstractNumId w:val="37"/>
  </w:num>
  <w:num w:numId="34">
    <w:abstractNumId w:val="47"/>
  </w:num>
  <w:num w:numId="35">
    <w:abstractNumId w:val="41"/>
  </w:num>
  <w:num w:numId="36">
    <w:abstractNumId w:val="6"/>
  </w:num>
  <w:num w:numId="37">
    <w:abstractNumId w:val="7"/>
  </w:num>
  <w:num w:numId="38">
    <w:abstractNumId w:val="5"/>
  </w:num>
  <w:num w:numId="39">
    <w:abstractNumId w:val="44"/>
  </w:num>
  <w:num w:numId="40">
    <w:abstractNumId w:val="4"/>
  </w:num>
  <w:num w:numId="41">
    <w:abstractNumId w:val="31"/>
  </w:num>
  <w:num w:numId="42">
    <w:abstractNumId w:val="34"/>
  </w:num>
  <w:num w:numId="43">
    <w:abstractNumId w:val="1"/>
  </w:num>
  <w:num w:numId="44">
    <w:abstractNumId w:val="38"/>
  </w:num>
  <w:num w:numId="45">
    <w:abstractNumId w:val="14"/>
  </w:num>
  <w:num w:numId="46">
    <w:abstractNumId w:val="3"/>
  </w:num>
  <w:num w:numId="47">
    <w:abstractNumId w:val="42"/>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8C"/>
    <w:rsid w:val="00001C95"/>
    <w:rsid w:val="000033B8"/>
    <w:rsid w:val="00003EB9"/>
    <w:rsid w:val="000048C9"/>
    <w:rsid w:val="0000559A"/>
    <w:rsid w:val="00005E0C"/>
    <w:rsid w:val="000065C2"/>
    <w:rsid w:val="00007248"/>
    <w:rsid w:val="00007DF4"/>
    <w:rsid w:val="000111B4"/>
    <w:rsid w:val="000113D2"/>
    <w:rsid w:val="0001222C"/>
    <w:rsid w:val="00013794"/>
    <w:rsid w:val="000143A9"/>
    <w:rsid w:val="00015945"/>
    <w:rsid w:val="00017616"/>
    <w:rsid w:val="00017697"/>
    <w:rsid w:val="00017947"/>
    <w:rsid w:val="00017AF6"/>
    <w:rsid w:val="00020A9A"/>
    <w:rsid w:val="00023FF1"/>
    <w:rsid w:val="0002515B"/>
    <w:rsid w:val="000305DA"/>
    <w:rsid w:val="00033159"/>
    <w:rsid w:val="00033D40"/>
    <w:rsid w:val="00035329"/>
    <w:rsid w:val="0003610C"/>
    <w:rsid w:val="00036C36"/>
    <w:rsid w:val="00036C77"/>
    <w:rsid w:val="000413BB"/>
    <w:rsid w:val="0004227D"/>
    <w:rsid w:val="00042361"/>
    <w:rsid w:val="000429B4"/>
    <w:rsid w:val="00042A89"/>
    <w:rsid w:val="0004312C"/>
    <w:rsid w:val="00043BDC"/>
    <w:rsid w:val="00044052"/>
    <w:rsid w:val="000442B9"/>
    <w:rsid w:val="0004438F"/>
    <w:rsid w:val="00044697"/>
    <w:rsid w:val="000447E9"/>
    <w:rsid w:val="00046465"/>
    <w:rsid w:val="00046582"/>
    <w:rsid w:val="00047CBA"/>
    <w:rsid w:val="0005079D"/>
    <w:rsid w:val="00050BDC"/>
    <w:rsid w:val="00053E8F"/>
    <w:rsid w:val="000552F4"/>
    <w:rsid w:val="00055913"/>
    <w:rsid w:val="00055A44"/>
    <w:rsid w:val="000606FD"/>
    <w:rsid w:val="00062CC3"/>
    <w:rsid w:val="00065A5B"/>
    <w:rsid w:val="000660A9"/>
    <w:rsid w:val="00066724"/>
    <w:rsid w:val="000701AA"/>
    <w:rsid w:val="000707B0"/>
    <w:rsid w:val="00071208"/>
    <w:rsid w:val="00072206"/>
    <w:rsid w:val="00073385"/>
    <w:rsid w:val="00074C33"/>
    <w:rsid w:val="00075942"/>
    <w:rsid w:val="00076950"/>
    <w:rsid w:val="000778C1"/>
    <w:rsid w:val="00081446"/>
    <w:rsid w:val="00081503"/>
    <w:rsid w:val="000823F5"/>
    <w:rsid w:val="000830C8"/>
    <w:rsid w:val="00083E3D"/>
    <w:rsid w:val="00084357"/>
    <w:rsid w:val="000854C3"/>
    <w:rsid w:val="00085958"/>
    <w:rsid w:val="00085D21"/>
    <w:rsid w:val="00087AE5"/>
    <w:rsid w:val="00090D1F"/>
    <w:rsid w:val="00091A86"/>
    <w:rsid w:val="000936D0"/>
    <w:rsid w:val="00094E98"/>
    <w:rsid w:val="000962A0"/>
    <w:rsid w:val="00096AAA"/>
    <w:rsid w:val="00096F68"/>
    <w:rsid w:val="000973A1"/>
    <w:rsid w:val="000A0EBD"/>
    <w:rsid w:val="000A2E19"/>
    <w:rsid w:val="000A3AB4"/>
    <w:rsid w:val="000A596A"/>
    <w:rsid w:val="000A61F0"/>
    <w:rsid w:val="000A7B76"/>
    <w:rsid w:val="000B0759"/>
    <w:rsid w:val="000B1587"/>
    <w:rsid w:val="000B1BD3"/>
    <w:rsid w:val="000B28A0"/>
    <w:rsid w:val="000B596F"/>
    <w:rsid w:val="000B6E98"/>
    <w:rsid w:val="000B77D3"/>
    <w:rsid w:val="000C0472"/>
    <w:rsid w:val="000C0C3C"/>
    <w:rsid w:val="000C1710"/>
    <w:rsid w:val="000C19D9"/>
    <w:rsid w:val="000C45D1"/>
    <w:rsid w:val="000C7242"/>
    <w:rsid w:val="000C759B"/>
    <w:rsid w:val="000D0064"/>
    <w:rsid w:val="000D04FE"/>
    <w:rsid w:val="000D0816"/>
    <w:rsid w:val="000D1164"/>
    <w:rsid w:val="000D3AE9"/>
    <w:rsid w:val="000D5E1D"/>
    <w:rsid w:val="000D60A1"/>
    <w:rsid w:val="000D6EC6"/>
    <w:rsid w:val="000E08A6"/>
    <w:rsid w:val="000E1584"/>
    <w:rsid w:val="000E577E"/>
    <w:rsid w:val="000E61CC"/>
    <w:rsid w:val="000E6F0B"/>
    <w:rsid w:val="000E719A"/>
    <w:rsid w:val="000E7AAF"/>
    <w:rsid w:val="000F08B6"/>
    <w:rsid w:val="000F0D9E"/>
    <w:rsid w:val="000F1F34"/>
    <w:rsid w:val="000F2367"/>
    <w:rsid w:val="000F3211"/>
    <w:rsid w:val="000F339A"/>
    <w:rsid w:val="000F3DF3"/>
    <w:rsid w:val="000F4832"/>
    <w:rsid w:val="000F4D5D"/>
    <w:rsid w:val="000F6D5B"/>
    <w:rsid w:val="000F6E7D"/>
    <w:rsid w:val="00100357"/>
    <w:rsid w:val="00100675"/>
    <w:rsid w:val="001017E1"/>
    <w:rsid w:val="00101F94"/>
    <w:rsid w:val="001021AE"/>
    <w:rsid w:val="00102B29"/>
    <w:rsid w:val="00103F46"/>
    <w:rsid w:val="00104586"/>
    <w:rsid w:val="00104D92"/>
    <w:rsid w:val="00106DCD"/>
    <w:rsid w:val="00107032"/>
    <w:rsid w:val="0010756C"/>
    <w:rsid w:val="00110BF0"/>
    <w:rsid w:val="00111255"/>
    <w:rsid w:val="001115F3"/>
    <w:rsid w:val="00112BC9"/>
    <w:rsid w:val="001132E3"/>
    <w:rsid w:val="00113B5F"/>
    <w:rsid w:val="0011404C"/>
    <w:rsid w:val="00114132"/>
    <w:rsid w:val="0011466E"/>
    <w:rsid w:val="001148F1"/>
    <w:rsid w:val="001152B5"/>
    <w:rsid w:val="0011655E"/>
    <w:rsid w:val="00116EFB"/>
    <w:rsid w:val="0012107C"/>
    <w:rsid w:val="001241F5"/>
    <w:rsid w:val="001251E2"/>
    <w:rsid w:val="0012791B"/>
    <w:rsid w:val="00127A31"/>
    <w:rsid w:val="00130D2D"/>
    <w:rsid w:val="00131135"/>
    <w:rsid w:val="00133914"/>
    <w:rsid w:val="001339C8"/>
    <w:rsid w:val="00135033"/>
    <w:rsid w:val="0013574B"/>
    <w:rsid w:val="001426FB"/>
    <w:rsid w:val="00142F32"/>
    <w:rsid w:val="0014715F"/>
    <w:rsid w:val="001500B0"/>
    <w:rsid w:val="00151FD5"/>
    <w:rsid w:val="001523F0"/>
    <w:rsid w:val="00152894"/>
    <w:rsid w:val="001552FC"/>
    <w:rsid w:val="00155681"/>
    <w:rsid w:val="00155963"/>
    <w:rsid w:val="00156062"/>
    <w:rsid w:val="0015695E"/>
    <w:rsid w:val="00157131"/>
    <w:rsid w:val="00161A14"/>
    <w:rsid w:val="00162268"/>
    <w:rsid w:val="00162D5C"/>
    <w:rsid w:val="001630BE"/>
    <w:rsid w:val="001652DA"/>
    <w:rsid w:val="00171DEA"/>
    <w:rsid w:val="00172162"/>
    <w:rsid w:val="00174889"/>
    <w:rsid w:val="001765CD"/>
    <w:rsid w:val="00177354"/>
    <w:rsid w:val="00177588"/>
    <w:rsid w:val="001819FB"/>
    <w:rsid w:val="0018248E"/>
    <w:rsid w:val="001845AB"/>
    <w:rsid w:val="0018506F"/>
    <w:rsid w:val="00186B53"/>
    <w:rsid w:val="00187028"/>
    <w:rsid w:val="00187B60"/>
    <w:rsid w:val="00191670"/>
    <w:rsid w:val="00192149"/>
    <w:rsid w:val="00193ACD"/>
    <w:rsid w:val="00193F2E"/>
    <w:rsid w:val="0019438B"/>
    <w:rsid w:val="00194FB9"/>
    <w:rsid w:val="0019617A"/>
    <w:rsid w:val="001969FA"/>
    <w:rsid w:val="00196E21"/>
    <w:rsid w:val="0019724F"/>
    <w:rsid w:val="001A01B1"/>
    <w:rsid w:val="001A04F2"/>
    <w:rsid w:val="001A09E1"/>
    <w:rsid w:val="001A10F4"/>
    <w:rsid w:val="001A4328"/>
    <w:rsid w:val="001A60E0"/>
    <w:rsid w:val="001A6905"/>
    <w:rsid w:val="001A75EE"/>
    <w:rsid w:val="001A76AC"/>
    <w:rsid w:val="001B1509"/>
    <w:rsid w:val="001B2030"/>
    <w:rsid w:val="001B26CA"/>
    <w:rsid w:val="001B351C"/>
    <w:rsid w:val="001B3594"/>
    <w:rsid w:val="001B3BCA"/>
    <w:rsid w:val="001B3CDC"/>
    <w:rsid w:val="001B45E1"/>
    <w:rsid w:val="001B4D9A"/>
    <w:rsid w:val="001B5D11"/>
    <w:rsid w:val="001B62F4"/>
    <w:rsid w:val="001B6765"/>
    <w:rsid w:val="001B687C"/>
    <w:rsid w:val="001B78A6"/>
    <w:rsid w:val="001B7C34"/>
    <w:rsid w:val="001C04B7"/>
    <w:rsid w:val="001C0C5C"/>
    <w:rsid w:val="001C0D89"/>
    <w:rsid w:val="001C12AF"/>
    <w:rsid w:val="001C1377"/>
    <w:rsid w:val="001C3587"/>
    <w:rsid w:val="001C3897"/>
    <w:rsid w:val="001C3E04"/>
    <w:rsid w:val="001C4DE1"/>
    <w:rsid w:val="001C500A"/>
    <w:rsid w:val="001C5591"/>
    <w:rsid w:val="001C5C10"/>
    <w:rsid w:val="001C613C"/>
    <w:rsid w:val="001C6E52"/>
    <w:rsid w:val="001C7AE9"/>
    <w:rsid w:val="001D001E"/>
    <w:rsid w:val="001D088D"/>
    <w:rsid w:val="001D1009"/>
    <w:rsid w:val="001D12BA"/>
    <w:rsid w:val="001D1353"/>
    <w:rsid w:val="001D1C87"/>
    <w:rsid w:val="001D2F3C"/>
    <w:rsid w:val="001D34E8"/>
    <w:rsid w:val="001D37F4"/>
    <w:rsid w:val="001D4B69"/>
    <w:rsid w:val="001D4CFA"/>
    <w:rsid w:val="001D57FA"/>
    <w:rsid w:val="001D5BBE"/>
    <w:rsid w:val="001D7082"/>
    <w:rsid w:val="001D725E"/>
    <w:rsid w:val="001E1360"/>
    <w:rsid w:val="001E1510"/>
    <w:rsid w:val="001E20D0"/>
    <w:rsid w:val="001E2587"/>
    <w:rsid w:val="001E4494"/>
    <w:rsid w:val="001E6D56"/>
    <w:rsid w:val="001E7D57"/>
    <w:rsid w:val="001E7F2B"/>
    <w:rsid w:val="001F0956"/>
    <w:rsid w:val="001F13A2"/>
    <w:rsid w:val="001F13D0"/>
    <w:rsid w:val="001F1DD7"/>
    <w:rsid w:val="001F2002"/>
    <w:rsid w:val="001F27DA"/>
    <w:rsid w:val="001F3658"/>
    <w:rsid w:val="001F39A3"/>
    <w:rsid w:val="001F41B6"/>
    <w:rsid w:val="001F4632"/>
    <w:rsid w:val="001F4998"/>
    <w:rsid w:val="001F52EC"/>
    <w:rsid w:val="001F60A7"/>
    <w:rsid w:val="00200204"/>
    <w:rsid w:val="00203742"/>
    <w:rsid w:val="00203806"/>
    <w:rsid w:val="00203BB4"/>
    <w:rsid w:val="00203DB8"/>
    <w:rsid w:val="0020462B"/>
    <w:rsid w:val="002047C3"/>
    <w:rsid w:val="00204DCF"/>
    <w:rsid w:val="002060DD"/>
    <w:rsid w:val="00207ACE"/>
    <w:rsid w:val="002111DA"/>
    <w:rsid w:val="0021224F"/>
    <w:rsid w:val="00212D4D"/>
    <w:rsid w:val="00212DD2"/>
    <w:rsid w:val="00214691"/>
    <w:rsid w:val="00214D78"/>
    <w:rsid w:val="00216575"/>
    <w:rsid w:val="002223CC"/>
    <w:rsid w:val="00224799"/>
    <w:rsid w:val="002257A2"/>
    <w:rsid w:val="00226585"/>
    <w:rsid w:val="00226AF8"/>
    <w:rsid w:val="002311DE"/>
    <w:rsid w:val="00231CFB"/>
    <w:rsid w:val="00232985"/>
    <w:rsid w:val="0023312B"/>
    <w:rsid w:val="00233C19"/>
    <w:rsid w:val="00235264"/>
    <w:rsid w:val="002364B7"/>
    <w:rsid w:val="00236679"/>
    <w:rsid w:val="00237B92"/>
    <w:rsid w:val="002402E7"/>
    <w:rsid w:val="002404EF"/>
    <w:rsid w:val="00240660"/>
    <w:rsid w:val="00243DFF"/>
    <w:rsid w:val="00244A46"/>
    <w:rsid w:val="00244E93"/>
    <w:rsid w:val="00244F45"/>
    <w:rsid w:val="002456F8"/>
    <w:rsid w:val="0024791E"/>
    <w:rsid w:val="002518A4"/>
    <w:rsid w:val="002533B6"/>
    <w:rsid w:val="002549BD"/>
    <w:rsid w:val="00254E38"/>
    <w:rsid w:val="00255412"/>
    <w:rsid w:val="0025771D"/>
    <w:rsid w:val="002579C4"/>
    <w:rsid w:val="0026256F"/>
    <w:rsid w:val="00262D64"/>
    <w:rsid w:val="00264038"/>
    <w:rsid w:val="0026427C"/>
    <w:rsid w:val="0026473F"/>
    <w:rsid w:val="002650A6"/>
    <w:rsid w:val="00265F46"/>
    <w:rsid w:val="00267EB7"/>
    <w:rsid w:val="00270897"/>
    <w:rsid w:val="00273234"/>
    <w:rsid w:val="00273746"/>
    <w:rsid w:val="00273A76"/>
    <w:rsid w:val="00273B9F"/>
    <w:rsid w:val="002753F3"/>
    <w:rsid w:val="00275E66"/>
    <w:rsid w:val="00276062"/>
    <w:rsid w:val="002767B7"/>
    <w:rsid w:val="00280C51"/>
    <w:rsid w:val="002812E6"/>
    <w:rsid w:val="00283486"/>
    <w:rsid w:val="00286B93"/>
    <w:rsid w:val="002903E3"/>
    <w:rsid w:val="00291F4C"/>
    <w:rsid w:val="0029502E"/>
    <w:rsid w:val="002956EC"/>
    <w:rsid w:val="002967B3"/>
    <w:rsid w:val="00297BCC"/>
    <w:rsid w:val="002A04CA"/>
    <w:rsid w:val="002A1A69"/>
    <w:rsid w:val="002A1E0B"/>
    <w:rsid w:val="002A29BE"/>
    <w:rsid w:val="002A2C60"/>
    <w:rsid w:val="002A3570"/>
    <w:rsid w:val="002A49BD"/>
    <w:rsid w:val="002A4B39"/>
    <w:rsid w:val="002A50C9"/>
    <w:rsid w:val="002A5A76"/>
    <w:rsid w:val="002A676A"/>
    <w:rsid w:val="002A77DB"/>
    <w:rsid w:val="002B0225"/>
    <w:rsid w:val="002B0864"/>
    <w:rsid w:val="002B1A19"/>
    <w:rsid w:val="002B2006"/>
    <w:rsid w:val="002B2673"/>
    <w:rsid w:val="002B3824"/>
    <w:rsid w:val="002B3A46"/>
    <w:rsid w:val="002B4A39"/>
    <w:rsid w:val="002B566D"/>
    <w:rsid w:val="002B5A87"/>
    <w:rsid w:val="002B7AC1"/>
    <w:rsid w:val="002B7F0E"/>
    <w:rsid w:val="002C2711"/>
    <w:rsid w:val="002C32B7"/>
    <w:rsid w:val="002C442B"/>
    <w:rsid w:val="002C4A11"/>
    <w:rsid w:val="002C4C2A"/>
    <w:rsid w:val="002C4C64"/>
    <w:rsid w:val="002D0075"/>
    <w:rsid w:val="002D00D4"/>
    <w:rsid w:val="002D0AF5"/>
    <w:rsid w:val="002D22C4"/>
    <w:rsid w:val="002D28A2"/>
    <w:rsid w:val="002D3260"/>
    <w:rsid w:val="002D3FEC"/>
    <w:rsid w:val="002D4DFE"/>
    <w:rsid w:val="002D52C2"/>
    <w:rsid w:val="002D5FD0"/>
    <w:rsid w:val="002D60B8"/>
    <w:rsid w:val="002E0AB0"/>
    <w:rsid w:val="002E0FDF"/>
    <w:rsid w:val="002E15B4"/>
    <w:rsid w:val="002E2DEC"/>
    <w:rsid w:val="002E31E9"/>
    <w:rsid w:val="002E4063"/>
    <w:rsid w:val="002E5555"/>
    <w:rsid w:val="002E59B5"/>
    <w:rsid w:val="002E62CB"/>
    <w:rsid w:val="002E6835"/>
    <w:rsid w:val="002F01BE"/>
    <w:rsid w:val="002F0602"/>
    <w:rsid w:val="002F120B"/>
    <w:rsid w:val="002F1771"/>
    <w:rsid w:val="002F261D"/>
    <w:rsid w:val="002F4C73"/>
    <w:rsid w:val="002F5B2F"/>
    <w:rsid w:val="002F5E66"/>
    <w:rsid w:val="002F65B4"/>
    <w:rsid w:val="002F775F"/>
    <w:rsid w:val="00301FAF"/>
    <w:rsid w:val="0030254B"/>
    <w:rsid w:val="00304155"/>
    <w:rsid w:val="00305294"/>
    <w:rsid w:val="00305992"/>
    <w:rsid w:val="00305D50"/>
    <w:rsid w:val="003069C5"/>
    <w:rsid w:val="003079D0"/>
    <w:rsid w:val="003105CF"/>
    <w:rsid w:val="00310F81"/>
    <w:rsid w:val="00311A17"/>
    <w:rsid w:val="00311B59"/>
    <w:rsid w:val="0031253F"/>
    <w:rsid w:val="00315599"/>
    <w:rsid w:val="00315A2D"/>
    <w:rsid w:val="003216F1"/>
    <w:rsid w:val="00322844"/>
    <w:rsid w:val="0032420A"/>
    <w:rsid w:val="00325416"/>
    <w:rsid w:val="00325543"/>
    <w:rsid w:val="00325975"/>
    <w:rsid w:val="00326196"/>
    <w:rsid w:val="00331BB9"/>
    <w:rsid w:val="00333283"/>
    <w:rsid w:val="003336E9"/>
    <w:rsid w:val="0033384A"/>
    <w:rsid w:val="00334103"/>
    <w:rsid w:val="00337332"/>
    <w:rsid w:val="00337E9B"/>
    <w:rsid w:val="003426E2"/>
    <w:rsid w:val="00342857"/>
    <w:rsid w:val="0034378E"/>
    <w:rsid w:val="00343F92"/>
    <w:rsid w:val="0034455D"/>
    <w:rsid w:val="00344573"/>
    <w:rsid w:val="00344B2D"/>
    <w:rsid w:val="00344FDD"/>
    <w:rsid w:val="00345125"/>
    <w:rsid w:val="003462CA"/>
    <w:rsid w:val="00350039"/>
    <w:rsid w:val="00350860"/>
    <w:rsid w:val="00352041"/>
    <w:rsid w:val="00352DF3"/>
    <w:rsid w:val="003533FC"/>
    <w:rsid w:val="0035340C"/>
    <w:rsid w:val="00354C4D"/>
    <w:rsid w:val="00357A9A"/>
    <w:rsid w:val="0036124B"/>
    <w:rsid w:val="0036129A"/>
    <w:rsid w:val="00361768"/>
    <w:rsid w:val="003618DC"/>
    <w:rsid w:val="00367FC9"/>
    <w:rsid w:val="00370EB0"/>
    <w:rsid w:val="00370F53"/>
    <w:rsid w:val="00371E5D"/>
    <w:rsid w:val="003725A8"/>
    <w:rsid w:val="0037461D"/>
    <w:rsid w:val="00375A70"/>
    <w:rsid w:val="00376651"/>
    <w:rsid w:val="00376BAC"/>
    <w:rsid w:val="003807AC"/>
    <w:rsid w:val="00381308"/>
    <w:rsid w:val="003822A6"/>
    <w:rsid w:val="00385705"/>
    <w:rsid w:val="00385D4E"/>
    <w:rsid w:val="00385DBA"/>
    <w:rsid w:val="003860F3"/>
    <w:rsid w:val="00386F85"/>
    <w:rsid w:val="00387D24"/>
    <w:rsid w:val="0039083C"/>
    <w:rsid w:val="003909FD"/>
    <w:rsid w:val="003916F7"/>
    <w:rsid w:val="00391F7F"/>
    <w:rsid w:val="00392438"/>
    <w:rsid w:val="003926A9"/>
    <w:rsid w:val="003928B9"/>
    <w:rsid w:val="00393232"/>
    <w:rsid w:val="003940A5"/>
    <w:rsid w:val="003943A8"/>
    <w:rsid w:val="00395A2E"/>
    <w:rsid w:val="00396192"/>
    <w:rsid w:val="003968C1"/>
    <w:rsid w:val="00397565"/>
    <w:rsid w:val="00397DAD"/>
    <w:rsid w:val="003A1612"/>
    <w:rsid w:val="003A196F"/>
    <w:rsid w:val="003A476D"/>
    <w:rsid w:val="003A567E"/>
    <w:rsid w:val="003A6C90"/>
    <w:rsid w:val="003A7C21"/>
    <w:rsid w:val="003B010C"/>
    <w:rsid w:val="003B28B2"/>
    <w:rsid w:val="003B2F28"/>
    <w:rsid w:val="003B3AF9"/>
    <w:rsid w:val="003B430B"/>
    <w:rsid w:val="003B4B58"/>
    <w:rsid w:val="003B5AEE"/>
    <w:rsid w:val="003B70AE"/>
    <w:rsid w:val="003B72F1"/>
    <w:rsid w:val="003C09B3"/>
    <w:rsid w:val="003C19BD"/>
    <w:rsid w:val="003C1AED"/>
    <w:rsid w:val="003C28B7"/>
    <w:rsid w:val="003C28BD"/>
    <w:rsid w:val="003C4CC0"/>
    <w:rsid w:val="003C7B77"/>
    <w:rsid w:val="003D0901"/>
    <w:rsid w:val="003D166C"/>
    <w:rsid w:val="003D1A36"/>
    <w:rsid w:val="003D3F30"/>
    <w:rsid w:val="003D408D"/>
    <w:rsid w:val="003D4476"/>
    <w:rsid w:val="003D66D7"/>
    <w:rsid w:val="003D729F"/>
    <w:rsid w:val="003D744E"/>
    <w:rsid w:val="003D77E5"/>
    <w:rsid w:val="003E0CFF"/>
    <w:rsid w:val="003E16D2"/>
    <w:rsid w:val="003E176F"/>
    <w:rsid w:val="003E183F"/>
    <w:rsid w:val="003E202B"/>
    <w:rsid w:val="003E33E8"/>
    <w:rsid w:val="003E3988"/>
    <w:rsid w:val="003E4FEC"/>
    <w:rsid w:val="003F1C0D"/>
    <w:rsid w:val="003F24FC"/>
    <w:rsid w:val="003F37E8"/>
    <w:rsid w:val="003F44BD"/>
    <w:rsid w:val="003F497B"/>
    <w:rsid w:val="003F6036"/>
    <w:rsid w:val="003F7CE2"/>
    <w:rsid w:val="00400AAD"/>
    <w:rsid w:val="00402087"/>
    <w:rsid w:val="00402DAC"/>
    <w:rsid w:val="0040385E"/>
    <w:rsid w:val="00403E60"/>
    <w:rsid w:val="004043D0"/>
    <w:rsid w:val="004050BD"/>
    <w:rsid w:val="00405AA0"/>
    <w:rsid w:val="00406B28"/>
    <w:rsid w:val="00407D8E"/>
    <w:rsid w:val="004111EF"/>
    <w:rsid w:val="0041373A"/>
    <w:rsid w:val="00414161"/>
    <w:rsid w:val="00414189"/>
    <w:rsid w:val="00415083"/>
    <w:rsid w:val="00415ED0"/>
    <w:rsid w:val="00416F98"/>
    <w:rsid w:val="00417B47"/>
    <w:rsid w:val="00421115"/>
    <w:rsid w:val="00422C7A"/>
    <w:rsid w:val="004254B1"/>
    <w:rsid w:val="00425509"/>
    <w:rsid w:val="0042636A"/>
    <w:rsid w:val="00426DDA"/>
    <w:rsid w:val="00431DE3"/>
    <w:rsid w:val="00433338"/>
    <w:rsid w:val="004335CE"/>
    <w:rsid w:val="004340A2"/>
    <w:rsid w:val="00435E40"/>
    <w:rsid w:val="00436233"/>
    <w:rsid w:val="00436307"/>
    <w:rsid w:val="00437A4A"/>
    <w:rsid w:val="004406AC"/>
    <w:rsid w:val="00442FB6"/>
    <w:rsid w:val="0044599B"/>
    <w:rsid w:val="00446202"/>
    <w:rsid w:val="00447996"/>
    <w:rsid w:val="00447B36"/>
    <w:rsid w:val="004513B9"/>
    <w:rsid w:val="00451510"/>
    <w:rsid w:val="0045190C"/>
    <w:rsid w:val="00451A53"/>
    <w:rsid w:val="004527C9"/>
    <w:rsid w:val="00452AF7"/>
    <w:rsid w:val="00456081"/>
    <w:rsid w:val="004564DF"/>
    <w:rsid w:val="00457237"/>
    <w:rsid w:val="004578A5"/>
    <w:rsid w:val="00461715"/>
    <w:rsid w:val="004621D9"/>
    <w:rsid w:val="004629CC"/>
    <w:rsid w:val="00462A79"/>
    <w:rsid w:val="00464BB1"/>
    <w:rsid w:val="00464F8C"/>
    <w:rsid w:val="00465755"/>
    <w:rsid w:val="004659FD"/>
    <w:rsid w:val="00465FFF"/>
    <w:rsid w:val="00466DA0"/>
    <w:rsid w:val="00471735"/>
    <w:rsid w:val="004725A3"/>
    <w:rsid w:val="00472C8D"/>
    <w:rsid w:val="004731F3"/>
    <w:rsid w:val="0047401D"/>
    <w:rsid w:val="004743AE"/>
    <w:rsid w:val="00474F3D"/>
    <w:rsid w:val="00476B03"/>
    <w:rsid w:val="00477215"/>
    <w:rsid w:val="0047721E"/>
    <w:rsid w:val="00477438"/>
    <w:rsid w:val="004802D8"/>
    <w:rsid w:val="00480E5B"/>
    <w:rsid w:val="00482350"/>
    <w:rsid w:val="00482BF1"/>
    <w:rsid w:val="00483357"/>
    <w:rsid w:val="00484574"/>
    <w:rsid w:val="00485120"/>
    <w:rsid w:val="004853DF"/>
    <w:rsid w:val="00486B25"/>
    <w:rsid w:val="00486C75"/>
    <w:rsid w:val="004873A0"/>
    <w:rsid w:val="004879EE"/>
    <w:rsid w:val="00491AF0"/>
    <w:rsid w:val="00491F39"/>
    <w:rsid w:val="0049347E"/>
    <w:rsid w:val="00495A1F"/>
    <w:rsid w:val="0049730F"/>
    <w:rsid w:val="004A226E"/>
    <w:rsid w:val="004A295D"/>
    <w:rsid w:val="004A3606"/>
    <w:rsid w:val="004A5501"/>
    <w:rsid w:val="004A55C8"/>
    <w:rsid w:val="004A57DE"/>
    <w:rsid w:val="004A6B33"/>
    <w:rsid w:val="004B01EC"/>
    <w:rsid w:val="004B2113"/>
    <w:rsid w:val="004B251C"/>
    <w:rsid w:val="004B29E5"/>
    <w:rsid w:val="004B551D"/>
    <w:rsid w:val="004B648A"/>
    <w:rsid w:val="004B7A86"/>
    <w:rsid w:val="004C0E72"/>
    <w:rsid w:val="004C1FD5"/>
    <w:rsid w:val="004C2B9C"/>
    <w:rsid w:val="004C3681"/>
    <w:rsid w:val="004C37B2"/>
    <w:rsid w:val="004C3E1D"/>
    <w:rsid w:val="004C41F0"/>
    <w:rsid w:val="004C4C37"/>
    <w:rsid w:val="004C4D3E"/>
    <w:rsid w:val="004C532B"/>
    <w:rsid w:val="004C554E"/>
    <w:rsid w:val="004C68E7"/>
    <w:rsid w:val="004C6E8F"/>
    <w:rsid w:val="004C7D2A"/>
    <w:rsid w:val="004C7F12"/>
    <w:rsid w:val="004D3265"/>
    <w:rsid w:val="004D4FA1"/>
    <w:rsid w:val="004D5872"/>
    <w:rsid w:val="004D6388"/>
    <w:rsid w:val="004D7726"/>
    <w:rsid w:val="004E068D"/>
    <w:rsid w:val="004E2260"/>
    <w:rsid w:val="004E25DF"/>
    <w:rsid w:val="004E37F7"/>
    <w:rsid w:val="004E43D1"/>
    <w:rsid w:val="004E4765"/>
    <w:rsid w:val="004E4E4F"/>
    <w:rsid w:val="004E5576"/>
    <w:rsid w:val="004E591D"/>
    <w:rsid w:val="004E7C5B"/>
    <w:rsid w:val="004F00CE"/>
    <w:rsid w:val="004F05CB"/>
    <w:rsid w:val="004F2BA6"/>
    <w:rsid w:val="004F2C0C"/>
    <w:rsid w:val="004F34B4"/>
    <w:rsid w:val="004F6BBB"/>
    <w:rsid w:val="004F71DA"/>
    <w:rsid w:val="004F76D2"/>
    <w:rsid w:val="004F7DED"/>
    <w:rsid w:val="0050145C"/>
    <w:rsid w:val="00501C05"/>
    <w:rsid w:val="00502224"/>
    <w:rsid w:val="00502AC4"/>
    <w:rsid w:val="0050314A"/>
    <w:rsid w:val="00505F60"/>
    <w:rsid w:val="005062B1"/>
    <w:rsid w:val="005070A2"/>
    <w:rsid w:val="00507517"/>
    <w:rsid w:val="00510415"/>
    <w:rsid w:val="00510EBB"/>
    <w:rsid w:val="005111D7"/>
    <w:rsid w:val="00511255"/>
    <w:rsid w:val="005123DF"/>
    <w:rsid w:val="005125C3"/>
    <w:rsid w:val="005127E3"/>
    <w:rsid w:val="00513039"/>
    <w:rsid w:val="005131CB"/>
    <w:rsid w:val="005140E9"/>
    <w:rsid w:val="00514AFC"/>
    <w:rsid w:val="00515990"/>
    <w:rsid w:val="005202C2"/>
    <w:rsid w:val="00520D65"/>
    <w:rsid w:val="00520F20"/>
    <w:rsid w:val="0052105A"/>
    <w:rsid w:val="00522459"/>
    <w:rsid w:val="00522969"/>
    <w:rsid w:val="005236D9"/>
    <w:rsid w:val="00524400"/>
    <w:rsid w:val="00525484"/>
    <w:rsid w:val="00525494"/>
    <w:rsid w:val="00525996"/>
    <w:rsid w:val="00525DB6"/>
    <w:rsid w:val="00526A06"/>
    <w:rsid w:val="0052773B"/>
    <w:rsid w:val="00527C14"/>
    <w:rsid w:val="00527F32"/>
    <w:rsid w:val="00530F69"/>
    <w:rsid w:val="0053113C"/>
    <w:rsid w:val="00531857"/>
    <w:rsid w:val="00531BC3"/>
    <w:rsid w:val="00532071"/>
    <w:rsid w:val="00534142"/>
    <w:rsid w:val="00534510"/>
    <w:rsid w:val="00536885"/>
    <w:rsid w:val="00536A5F"/>
    <w:rsid w:val="005376E5"/>
    <w:rsid w:val="00540FA6"/>
    <w:rsid w:val="005414A5"/>
    <w:rsid w:val="0054240E"/>
    <w:rsid w:val="00543558"/>
    <w:rsid w:val="00544B7D"/>
    <w:rsid w:val="00546626"/>
    <w:rsid w:val="00547E24"/>
    <w:rsid w:val="00550D0E"/>
    <w:rsid w:val="00550F4B"/>
    <w:rsid w:val="00552052"/>
    <w:rsid w:val="00552E2F"/>
    <w:rsid w:val="00552E84"/>
    <w:rsid w:val="0055415D"/>
    <w:rsid w:val="0055471C"/>
    <w:rsid w:val="005551C0"/>
    <w:rsid w:val="005563B7"/>
    <w:rsid w:val="00556517"/>
    <w:rsid w:val="005602BA"/>
    <w:rsid w:val="00560814"/>
    <w:rsid w:val="00560F37"/>
    <w:rsid w:val="00562F73"/>
    <w:rsid w:val="00563028"/>
    <w:rsid w:val="0056304B"/>
    <w:rsid w:val="005632A5"/>
    <w:rsid w:val="00563789"/>
    <w:rsid w:val="00564049"/>
    <w:rsid w:val="005646AF"/>
    <w:rsid w:val="00565E26"/>
    <w:rsid w:val="005669A6"/>
    <w:rsid w:val="00566AA2"/>
    <w:rsid w:val="00566B19"/>
    <w:rsid w:val="005671F9"/>
    <w:rsid w:val="0056766D"/>
    <w:rsid w:val="00571119"/>
    <w:rsid w:val="005720A9"/>
    <w:rsid w:val="00574252"/>
    <w:rsid w:val="00574EB9"/>
    <w:rsid w:val="00575017"/>
    <w:rsid w:val="00576625"/>
    <w:rsid w:val="0058108A"/>
    <w:rsid w:val="005822E5"/>
    <w:rsid w:val="00582DBF"/>
    <w:rsid w:val="00583E8C"/>
    <w:rsid w:val="0058575E"/>
    <w:rsid w:val="00585B15"/>
    <w:rsid w:val="0058772E"/>
    <w:rsid w:val="00587FCA"/>
    <w:rsid w:val="0059078A"/>
    <w:rsid w:val="00592277"/>
    <w:rsid w:val="00592EAD"/>
    <w:rsid w:val="005932CA"/>
    <w:rsid w:val="005936E7"/>
    <w:rsid w:val="00595D4F"/>
    <w:rsid w:val="00596FD5"/>
    <w:rsid w:val="0059754D"/>
    <w:rsid w:val="00597682"/>
    <w:rsid w:val="00597CF9"/>
    <w:rsid w:val="005A1155"/>
    <w:rsid w:val="005A1181"/>
    <w:rsid w:val="005A24FB"/>
    <w:rsid w:val="005A27C9"/>
    <w:rsid w:val="005A3409"/>
    <w:rsid w:val="005A34A6"/>
    <w:rsid w:val="005A34CD"/>
    <w:rsid w:val="005A3598"/>
    <w:rsid w:val="005A35CC"/>
    <w:rsid w:val="005A40DE"/>
    <w:rsid w:val="005A5860"/>
    <w:rsid w:val="005A7609"/>
    <w:rsid w:val="005A7B91"/>
    <w:rsid w:val="005B1193"/>
    <w:rsid w:val="005B124D"/>
    <w:rsid w:val="005B1545"/>
    <w:rsid w:val="005B1615"/>
    <w:rsid w:val="005B1A2A"/>
    <w:rsid w:val="005B4389"/>
    <w:rsid w:val="005B43B5"/>
    <w:rsid w:val="005B4792"/>
    <w:rsid w:val="005B4F76"/>
    <w:rsid w:val="005B5256"/>
    <w:rsid w:val="005B5F1B"/>
    <w:rsid w:val="005B6453"/>
    <w:rsid w:val="005B653A"/>
    <w:rsid w:val="005C0AFD"/>
    <w:rsid w:val="005C1301"/>
    <w:rsid w:val="005C2150"/>
    <w:rsid w:val="005C2F2D"/>
    <w:rsid w:val="005C4A5A"/>
    <w:rsid w:val="005C4AB4"/>
    <w:rsid w:val="005C544E"/>
    <w:rsid w:val="005C5A31"/>
    <w:rsid w:val="005C601D"/>
    <w:rsid w:val="005C6F84"/>
    <w:rsid w:val="005C7104"/>
    <w:rsid w:val="005C7795"/>
    <w:rsid w:val="005C7F6D"/>
    <w:rsid w:val="005D1C9A"/>
    <w:rsid w:val="005D5A8D"/>
    <w:rsid w:val="005D7A2A"/>
    <w:rsid w:val="005E05B1"/>
    <w:rsid w:val="005E0F4C"/>
    <w:rsid w:val="005E1E0C"/>
    <w:rsid w:val="005E2281"/>
    <w:rsid w:val="005E2E83"/>
    <w:rsid w:val="005E6D45"/>
    <w:rsid w:val="005F0189"/>
    <w:rsid w:val="005F163B"/>
    <w:rsid w:val="005F1955"/>
    <w:rsid w:val="005F2D56"/>
    <w:rsid w:val="005F3EA5"/>
    <w:rsid w:val="005F4709"/>
    <w:rsid w:val="005F4E09"/>
    <w:rsid w:val="005F4E16"/>
    <w:rsid w:val="005F7EB2"/>
    <w:rsid w:val="00602313"/>
    <w:rsid w:val="00602704"/>
    <w:rsid w:val="00602A1F"/>
    <w:rsid w:val="00602D05"/>
    <w:rsid w:val="00604EA6"/>
    <w:rsid w:val="006070B6"/>
    <w:rsid w:val="00607BCC"/>
    <w:rsid w:val="0061264C"/>
    <w:rsid w:val="00613C34"/>
    <w:rsid w:val="0061412E"/>
    <w:rsid w:val="00616D89"/>
    <w:rsid w:val="00621FE1"/>
    <w:rsid w:val="0062269A"/>
    <w:rsid w:val="00622826"/>
    <w:rsid w:val="00622B87"/>
    <w:rsid w:val="00622F73"/>
    <w:rsid w:val="00623745"/>
    <w:rsid w:val="0062377B"/>
    <w:rsid w:val="00623D14"/>
    <w:rsid w:val="0062479C"/>
    <w:rsid w:val="00625EB9"/>
    <w:rsid w:val="006268C5"/>
    <w:rsid w:val="00627FFE"/>
    <w:rsid w:val="00631019"/>
    <w:rsid w:val="006328E8"/>
    <w:rsid w:val="00632EAB"/>
    <w:rsid w:val="0063566F"/>
    <w:rsid w:val="00635A1E"/>
    <w:rsid w:val="00635BEF"/>
    <w:rsid w:val="006360B5"/>
    <w:rsid w:val="00636CFB"/>
    <w:rsid w:val="00637296"/>
    <w:rsid w:val="00637C60"/>
    <w:rsid w:val="00640748"/>
    <w:rsid w:val="00642BA3"/>
    <w:rsid w:val="00644715"/>
    <w:rsid w:val="00644AA3"/>
    <w:rsid w:val="00645E93"/>
    <w:rsid w:val="00646876"/>
    <w:rsid w:val="006469F1"/>
    <w:rsid w:val="0064762D"/>
    <w:rsid w:val="006479B0"/>
    <w:rsid w:val="00647C19"/>
    <w:rsid w:val="00647E1E"/>
    <w:rsid w:val="00650806"/>
    <w:rsid w:val="00651CD1"/>
    <w:rsid w:val="00652765"/>
    <w:rsid w:val="006531FA"/>
    <w:rsid w:val="00655F1D"/>
    <w:rsid w:val="00656EE1"/>
    <w:rsid w:val="00657147"/>
    <w:rsid w:val="00657D7B"/>
    <w:rsid w:val="0066047F"/>
    <w:rsid w:val="006615EF"/>
    <w:rsid w:val="00661FE5"/>
    <w:rsid w:val="00663D02"/>
    <w:rsid w:val="00663FEA"/>
    <w:rsid w:val="0066523F"/>
    <w:rsid w:val="006710E0"/>
    <w:rsid w:val="006713CB"/>
    <w:rsid w:val="006721AA"/>
    <w:rsid w:val="00672470"/>
    <w:rsid w:val="00672B9E"/>
    <w:rsid w:val="00673850"/>
    <w:rsid w:val="00673C54"/>
    <w:rsid w:val="006779A6"/>
    <w:rsid w:val="00677A9C"/>
    <w:rsid w:val="00677E0F"/>
    <w:rsid w:val="00681319"/>
    <w:rsid w:val="00683569"/>
    <w:rsid w:val="00683BFC"/>
    <w:rsid w:val="006840D2"/>
    <w:rsid w:val="0068665B"/>
    <w:rsid w:val="00686BBA"/>
    <w:rsid w:val="0068795B"/>
    <w:rsid w:val="00692A13"/>
    <w:rsid w:val="0069307C"/>
    <w:rsid w:val="00696746"/>
    <w:rsid w:val="006A1084"/>
    <w:rsid w:val="006A358A"/>
    <w:rsid w:val="006A4292"/>
    <w:rsid w:val="006A4389"/>
    <w:rsid w:val="006A43ED"/>
    <w:rsid w:val="006A457E"/>
    <w:rsid w:val="006A6CD3"/>
    <w:rsid w:val="006B1886"/>
    <w:rsid w:val="006B1C80"/>
    <w:rsid w:val="006B2398"/>
    <w:rsid w:val="006B23F8"/>
    <w:rsid w:val="006B2DAF"/>
    <w:rsid w:val="006B3404"/>
    <w:rsid w:val="006B3547"/>
    <w:rsid w:val="006B7B9A"/>
    <w:rsid w:val="006C0FCB"/>
    <w:rsid w:val="006C3129"/>
    <w:rsid w:val="006C6D16"/>
    <w:rsid w:val="006C72DB"/>
    <w:rsid w:val="006C7DB0"/>
    <w:rsid w:val="006D221F"/>
    <w:rsid w:val="006D22A8"/>
    <w:rsid w:val="006D367C"/>
    <w:rsid w:val="006D440C"/>
    <w:rsid w:val="006D5133"/>
    <w:rsid w:val="006D5CC0"/>
    <w:rsid w:val="006D64BD"/>
    <w:rsid w:val="006D71DF"/>
    <w:rsid w:val="006D7599"/>
    <w:rsid w:val="006D7861"/>
    <w:rsid w:val="006E05DF"/>
    <w:rsid w:val="006E11C5"/>
    <w:rsid w:val="006E1844"/>
    <w:rsid w:val="006E1DC0"/>
    <w:rsid w:val="006E1F23"/>
    <w:rsid w:val="006E27A8"/>
    <w:rsid w:val="006E313C"/>
    <w:rsid w:val="006E38AB"/>
    <w:rsid w:val="006E47BB"/>
    <w:rsid w:val="006E4BF8"/>
    <w:rsid w:val="006E5253"/>
    <w:rsid w:val="006E5D30"/>
    <w:rsid w:val="006E5FDD"/>
    <w:rsid w:val="006E6DCB"/>
    <w:rsid w:val="006E7160"/>
    <w:rsid w:val="006F08AF"/>
    <w:rsid w:val="006F13A5"/>
    <w:rsid w:val="006F1648"/>
    <w:rsid w:val="006F25CF"/>
    <w:rsid w:val="006F3E99"/>
    <w:rsid w:val="006F3EEC"/>
    <w:rsid w:val="006F514A"/>
    <w:rsid w:val="006F5620"/>
    <w:rsid w:val="006F625D"/>
    <w:rsid w:val="006F64A3"/>
    <w:rsid w:val="006F672D"/>
    <w:rsid w:val="006F7E84"/>
    <w:rsid w:val="0070106A"/>
    <w:rsid w:val="0070205A"/>
    <w:rsid w:val="007029A3"/>
    <w:rsid w:val="0070327A"/>
    <w:rsid w:val="00705416"/>
    <w:rsid w:val="007078B7"/>
    <w:rsid w:val="00712B9E"/>
    <w:rsid w:val="00712F2D"/>
    <w:rsid w:val="007231B0"/>
    <w:rsid w:val="007232DD"/>
    <w:rsid w:val="007235D2"/>
    <w:rsid w:val="0072368F"/>
    <w:rsid w:val="00724352"/>
    <w:rsid w:val="007243FD"/>
    <w:rsid w:val="007256CF"/>
    <w:rsid w:val="00725791"/>
    <w:rsid w:val="00725DEA"/>
    <w:rsid w:val="0072680E"/>
    <w:rsid w:val="007269F9"/>
    <w:rsid w:val="00726AC5"/>
    <w:rsid w:val="00726BE4"/>
    <w:rsid w:val="00726C3A"/>
    <w:rsid w:val="00727382"/>
    <w:rsid w:val="007309B1"/>
    <w:rsid w:val="00731E83"/>
    <w:rsid w:val="007325E3"/>
    <w:rsid w:val="007331A1"/>
    <w:rsid w:val="00733428"/>
    <w:rsid w:val="00733B2C"/>
    <w:rsid w:val="00735A2E"/>
    <w:rsid w:val="00737028"/>
    <w:rsid w:val="0073796F"/>
    <w:rsid w:val="007379BB"/>
    <w:rsid w:val="00744152"/>
    <w:rsid w:val="00744816"/>
    <w:rsid w:val="00744B48"/>
    <w:rsid w:val="0074664E"/>
    <w:rsid w:val="00746D14"/>
    <w:rsid w:val="00747B7C"/>
    <w:rsid w:val="0075082A"/>
    <w:rsid w:val="007509F4"/>
    <w:rsid w:val="00752078"/>
    <w:rsid w:val="007525A7"/>
    <w:rsid w:val="00755AC6"/>
    <w:rsid w:val="0075629E"/>
    <w:rsid w:val="0075780D"/>
    <w:rsid w:val="00757B7C"/>
    <w:rsid w:val="00757F8B"/>
    <w:rsid w:val="00760D33"/>
    <w:rsid w:val="00761003"/>
    <w:rsid w:val="00761CAD"/>
    <w:rsid w:val="007621F1"/>
    <w:rsid w:val="00762AFA"/>
    <w:rsid w:val="00762D76"/>
    <w:rsid w:val="00762E4D"/>
    <w:rsid w:val="00765510"/>
    <w:rsid w:val="00765640"/>
    <w:rsid w:val="00765C80"/>
    <w:rsid w:val="00766AAD"/>
    <w:rsid w:val="00767278"/>
    <w:rsid w:val="0076764B"/>
    <w:rsid w:val="00772736"/>
    <w:rsid w:val="0077486A"/>
    <w:rsid w:val="00774C4A"/>
    <w:rsid w:val="00774F1E"/>
    <w:rsid w:val="0077710D"/>
    <w:rsid w:val="007778AF"/>
    <w:rsid w:val="00777E6E"/>
    <w:rsid w:val="007805E9"/>
    <w:rsid w:val="007829EE"/>
    <w:rsid w:val="00782A0D"/>
    <w:rsid w:val="00783216"/>
    <w:rsid w:val="007839E6"/>
    <w:rsid w:val="00784B6F"/>
    <w:rsid w:val="00784F96"/>
    <w:rsid w:val="0078536B"/>
    <w:rsid w:val="00786ACF"/>
    <w:rsid w:val="007870C8"/>
    <w:rsid w:val="00787188"/>
    <w:rsid w:val="00792B8B"/>
    <w:rsid w:val="007937BB"/>
    <w:rsid w:val="00793B29"/>
    <w:rsid w:val="00793F85"/>
    <w:rsid w:val="0079413E"/>
    <w:rsid w:val="00795C11"/>
    <w:rsid w:val="00795E79"/>
    <w:rsid w:val="00795F0A"/>
    <w:rsid w:val="00796D67"/>
    <w:rsid w:val="007A0C8C"/>
    <w:rsid w:val="007A1316"/>
    <w:rsid w:val="007A2645"/>
    <w:rsid w:val="007A287A"/>
    <w:rsid w:val="007A2D4D"/>
    <w:rsid w:val="007A3920"/>
    <w:rsid w:val="007A543F"/>
    <w:rsid w:val="007A59A8"/>
    <w:rsid w:val="007A5C90"/>
    <w:rsid w:val="007A648B"/>
    <w:rsid w:val="007A7338"/>
    <w:rsid w:val="007A7357"/>
    <w:rsid w:val="007B1114"/>
    <w:rsid w:val="007B3257"/>
    <w:rsid w:val="007B4628"/>
    <w:rsid w:val="007B5A89"/>
    <w:rsid w:val="007B60F0"/>
    <w:rsid w:val="007B6282"/>
    <w:rsid w:val="007B67AA"/>
    <w:rsid w:val="007B6914"/>
    <w:rsid w:val="007C00F0"/>
    <w:rsid w:val="007C0959"/>
    <w:rsid w:val="007C1189"/>
    <w:rsid w:val="007C1A67"/>
    <w:rsid w:val="007C1B3D"/>
    <w:rsid w:val="007C21CE"/>
    <w:rsid w:val="007C2A72"/>
    <w:rsid w:val="007C335A"/>
    <w:rsid w:val="007C7B4E"/>
    <w:rsid w:val="007D04D3"/>
    <w:rsid w:val="007D0B36"/>
    <w:rsid w:val="007D0F7F"/>
    <w:rsid w:val="007D118D"/>
    <w:rsid w:val="007D29B7"/>
    <w:rsid w:val="007D2F51"/>
    <w:rsid w:val="007D38A2"/>
    <w:rsid w:val="007D3FEC"/>
    <w:rsid w:val="007D5273"/>
    <w:rsid w:val="007D5FA7"/>
    <w:rsid w:val="007D66A3"/>
    <w:rsid w:val="007D724A"/>
    <w:rsid w:val="007D7C43"/>
    <w:rsid w:val="007E0306"/>
    <w:rsid w:val="007E06EB"/>
    <w:rsid w:val="007E5708"/>
    <w:rsid w:val="007E71C4"/>
    <w:rsid w:val="007E766A"/>
    <w:rsid w:val="007E7D56"/>
    <w:rsid w:val="007F0D8E"/>
    <w:rsid w:val="007F12B1"/>
    <w:rsid w:val="007F17F0"/>
    <w:rsid w:val="007F2D22"/>
    <w:rsid w:val="007F3AAB"/>
    <w:rsid w:val="007F3C9D"/>
    <w:rsid w:val="007F7137"/>
    <w:rsid w:val="007F7232"/>
    <w:rsid w:val="007F7EF1"/>
    <w:rsid w:val="008009BE"/>
    <w:rsid w:val="00800F59"/>
    <w:rsid w:val="00801376"/>
    <w:rsid w:val="008020C9"/>
    <w:rsid w:val="00802B93"/>
    <w:rsid w:val="00804063"/>
    <w:rsid w:val="008076B6"/>
    <w:rsid w:val="00807C91"/>
    <w:rsid w:val="00811FC7"/>
    <w:rsid w:val="00812774"/>
    <w:rsid w:val="00812E18"/>
    <w:rsid w:val="00813B50"/>
    <w:rsid w:val="008149D2"/>
    <w:rsid w:val="008162F3"/>
    <w:rsid w:val="00817BEB"/>
    <w:rsid w:val="008204BE"/>
    <w:rsid w:val="008205DB"/>
    <w:rsid w:val="00820BC2"/>
    <w:rsid w:val="00821711"/>
    <w:rsid w:val="008225D4"/>
    <w:rsid w:val="00822839"/>
    <w:rsid w:val="0082353F"/>
    <w:rsid w:val="0082360B"/>
    <w:rsid w:val="00824F71"/>
    <w:rsid w:val="00825B98"/>
    <w:rsid w:val="008260AF"/>
    <w:rsid w:val="00830A50"/>
    <w:rsid w:val="00832117"/>
    <w:rsid w:val="00834412"/>
    <w:rsid w:val="00834561"/>
    <w:rsid w:val="00834C14"/>
    <w:rsid w:val="00834CAB"/>
    <w:rsid w:val="0083660D"/>
    <w:rsid w:val="0083663F"/>
    <w:rsid w:val="008370DC"/>
    <w:rsid w:val="00840175"/>
    <w:rsid w:val="008404AD"/>
    <w:rsid w:val="00842B9A"/>
    <w:rsid w:val="0084331B"/>
    <w:rsid w:val="008439D7"/>
    <w:rsid w:val="00845568"/>
    <w:rsid w:val="008502DE"/>
    <w:rsid w:val="00850B5A"/>
    <w:rsid w:val="00850D3C"/>
    <w:rsid w:val="00851EF6"/>
    <w:rsid w:val="00852AF3"/>
    <w:rsid w:val="00852DD7"/>
    <w:rsid w:val="0085478A"/>
    <w:rsid w:val="00856019"/>
    <w:rsid w:val="008568BB"/>
    <w:rsid w:val="008568E5"/>
    <w:rsid w:val="00860394"/>
    <w:rsid w:val="008609A9"/>
    <w:rsid w:val="00861BE4"/>
    <w:rsid w:val="00863EA1"/>
    <w:rsid w:val="00864711"/>
    <w:rsid w:val="0086564C"/>
    <w:rsid w:val="00866087"/>
    <w:rsid w:val="0086612F"/>
    <w:rsid w:val="00870BEA"/>
    <w:rsid w:val="00870C25"/>
    <w:rsid w:val="00872DF4"/>
    <w:rsid w:val="00872F23"/>
    <w:rsid w:val="008733F5"/>
    <w:rsid w:val="00874294"/>
    <w:rsid w:val="00874C9E"/>
    <w:rsid w:val="00875CAC"/>
    <w:rsid w:val="00877CB3"/>
    <w:rsid w:val="00883895"/>
    <w:rsid w:val="00884041"/>
    <w:rsid w:val="008852CF"/>
    <w:rsid w:val="00886669"/>
    <w:rsid w:val="00886B93"/>
    <w:rsid w:val="00887BDB"/>
    <w:rsid w:val="00887F14"/>
    <w:rsid w:val="008913B1"/>
    <w:rsid w:val="00893088"/>
    <w:rsid w:val="00893434"/>
    <w:rsid w:val="00893A27"/>
    <w:rsid w:val="00895496"/>
    <w:rsid w:val="00896F94"/>
    <w:rsid w:val="00897506"/>
    <w:rsid w:val="00897DE4"/>
    <w:rsid w:val="008A0491"/>
    <w:rsid w:val="008A1457"/>
    <w:rsid w:val="008A2623"/>
    <w:rsid w:val="008A2B64"/>
    <w:rsid w:val="008A4657"/>
    <w:rsid w:val="008A5943"/>
    <w:rsid w:val="008A5ED1"/>
    <w:rsid w:val="008A65E1"/>
    <w:rsid w:val="008A6BD5"/>
    <w:rsid w:val="008B08CC"/>
    <w:rsid w:val="008B0CE6"/>
    <w:rsid w:val="008B1532"/>
    <w:rsid w:val="008B1F40"/>
    <w:rsid w:val="008B2317"/>
    <w:rsid w:val="008B4253"/>
    <w:rsid w:val="008C0B01"/>
    <w:rsid w:val="008C10BB"/>
    <w:rsid w:val="008C271F"/>
    <w:rsid w:val="008C2825"/>
    <w:rsid w:val="008C3467"/>
    <w:rsid w:val="008C3D9E"/>
    <w:rsid w:val="008C4E98"/>
    <w:rsid w:val="008C56F1"/>
    <w:rsid w:val="008C6800"/>
    <w:rsid w:val="008C738D"/>
    <w:rsid w:val="008D0402"/>
    <w:rsid w:val="008D0D3F"/>
    <w:rsid w:val="008D1091"/>
    <w:rsid w:val="008D3C4B"/>
    <w:rsid w:val="008D40C8"/>
    <w:rsid w:val="008D5DA6"/>
    <w:rsid w:val="008D61D6"/>
    <w:rsid w:val="008E01E1"/>
    <w:rsid w:val="008E0FC6"/>
    <w:rsid w:val="008E10D7"/>
    <w:rsid w:val="008E149B"/>
    <w:rsid w:val="008E2849"/>
    <w:rsid w:val="008E4AF8"/>
    <w:rsid w:val="008E4B72"/>
    <w:rsid w:val="008E59A8"/>
    <w:rsid w:val="008E5BC0"/>
    <w:rsid w:val="008E6908"/>
    <w:rsid w:val="008E6CE8"/>
    <w:rsid w:val="008E7242"/>
    <w:rsid w:val="008E73DC"/>
    <w:rsid w:val="008E79D0"/>
    <w:rsid w:val="008F0F3D"/>
    <w:rsid w:val="008F1AAB"/>
    <w:rsid w:val="008F2095"/>
    <w:rsid w:val="008F2E8B"/>
    <w:rsid w:val="008F3F52"/>
    <w:rsid w:val="008F4475"/>
    <w:rsid w:val="008F4C23"/>
    <w:rsid w:val="008F55C2"/>
    <w:rsid w:val="008F5A40"/>
    <w:rsid w:val="008F6876"/>
    <w:rsid w:val="008F68CE"/>
    <w:rsid w:val="008F7A12"/>
    <w:rsid w:val="008F7D01"/>
    <w:rsid w:val="009004EA"/>
    <w:rsid w:val="00901A49"/>
    <w:rsid w:val="00901AEE"/>
    <w:rsid w:val="009023E6"/>
    <w:rsid w:val="00904204"/>
    <w:rsid w:val="009062EE"/>
    <w:rsid w:val="00906521"/>
    <w:rsid w:val="00907CAC"/>
    <w:rsid w:val="009101E9"/>
    <w:rsid w:val="0091054D"/>
    <w:rsid w:val="00911FA2"/>
    <w:rsid w:val="00913C22"/>
    <w:rsid w:val="0091400E"/>
    <w:rsid w:val="009147F0"/>
    <w:rsid w:val="0091492F"/>
    <w:rsid w:val="00914A93"/>
    <w:rsid w:val="00915F07"/>
    <w:rsid w:val="00916A84"/>
    <w:rsid w:val="00916D46"/>
    <w:rsid w:val="00916E18"/>
    <w:rsid w:val="00917047"/>
    <w:rsid w:val="00920C28"/>
    <w:rsid w:val="0092103C"/>
    <w:rsid w:val="00921F3E"/>
    <w:rsid w:val="00922204"/>
    <w:rsid w:val="00922C15"/>
    <w:rsid w:val="00922E7D"/>
    <w:rsid w:val="00923FFF"/>
    <w:rsid w:val="00925456"/>
    <w:rsid w:val="00925662"/>
    <w:rsid w:val="00925794"/>
    <w:rsid w:val="009261DC"/>
    <w:rsid w:val="00926996"/>
    <w:rsid w:val="009270EE"/>
    <w:rsid w:val="00931367"/>
    <w:rsid w:val="00932326"/>
    <w:rsid w:val="00932789"/>
    <w:rsid w:val="00933B0C"/>
    <w:rsid w:val="00934332"/>
    <w:rsid w:val="009344F2"/>
    <w:rsid w:val="00934EF3"/>
    <w:rsid w:val="0093537F"/>
    <w:rsid w:val="0093572D"/>
    <w:rsid w:val="00935DBB"/>
    <w:rsid w:val="00936984"/>
    <w:rsid w:val="00936DF1"/>
    <w:rsid w:val="009375D8"/>
    <w:rsid w:val="0094054E"/>
    <w:rsid w:val="009409AE"/>
    <w:rsid w:val="00942020"/>
    <w:rsid w:val="009428AF"/>
    <w:rsid w:val="00943340"/>
    <w:rsid w:val="00943580"/>
    <w:rsid w:val="00943954"/>
    <w:rsid w:val="009441AE"/>
    <w:rsid w:val="009441F6"/>
    <w:rsid w:val="00944B5C"/>
    <w:rsid w:val="009455DC"/>
    <w:rsid w:val="009479F0"/>
    <w:rsid w:val="0095062E"/>
    <w:rsid w:val="00953B0C"/>
    <w:rsid w:val="009544BB"/>
    <w:rsid w:val="0095633D"/>
    <w:rsid w:val="0095648F"/>
    <w:rsid w:val="00961515"/>
    <w:rsid w:val="0096243F"/>
    <w:rsid w:val="009645D8"/>
    <w:rsid w:val="00964639"/>
    <w:rsid w:val="00964DC8"/>
    <w:rsid w:val="009654C5"/>
    <w:rsid w:val="0096561D"/>
    <w:rsid w:val="009659AE"/>
    <w:rsid w:val="00965DCC"/>
    <w:rsid w:val="00966C36"/>
    <w:rsid w:val="00967EC7"/>
    <w:rsid w:val="00970A30"/>
    <w:rsid w:val="0097147C"/>
    <w:rsid w:val="009727FB"/>
    <w:rsid w:val="0097328C"/>
    <w:rsid w:val="009736BE"/>
    <w:rsid w:val="009814FC"/>
    <w:rsid w:val="0098199B"/>
    <w:rsid w:val="00982026"/>
    <w:rsid w:val="00982A61"/>
    <w:rsid w:val="009860A5"/>
    <w:rsid w:val="00987DA0"/>
    <w:rsid w:val="00990429"/>
    <w:rsid w:val="00992245"/>
    <w:rsid w:val="00992E97"/>
    <w:rsid w:val="0099574F"/>
    <w:rsid w:val="00996849"/>
    <w:rsid w:val="0099698C"/>
    <w:rsid w:val="009970F4"/>
    <w:rsid w:val="00997454"/>
    <w:rsid w:val="009A0519"/>
    <w:rsid w:val="009A0F4E"/>
    <w:rsid w:val="009A1DBE"/>
    <w:rsid w:val="009A1E5B"/>
    <w:rsid w:val="009A2CCB"/>
    <w:rsid w:val="009A4447"/>
    <w:rsid w:val="009B0406"/>
    <w:rsid w:val="009B219D"/>
    <w:rsid w:val="009B23D1"/>
    <w:rsid w:val="009B287B"/>
    <w:rsid w:val="009B4050"/>
    <w:rsid w:val="009B4643"/>
    <w:rsid w:val="009B510B"/>
    <w:rsid w:val="009B7465"/>
    <w:rsid w:val="009C06BF"/>
    <w:rsid w:val="009C1FFF"/>
    <w:rsid w:val="009C224F"/>
    <w:rsid w:val="009C38B0"/>
    <w:rsid w:val="009C3DB2"/>
    <w:rsid w:val="009C4092"/>
    <w:rsid w:val="009C5364"/>
    <w:rsid w:val="009C64D7"/>
    <w:rsid w:val="009C65B0"/>
    <w:rsid w:val="009D02C1"/>
    <w:rsid w:val="009D191D"/>
    <w:rsid w:val="009D2973"/>
    <w:rsid w:val="009D4982"/>
    <w:rsid w:val="009D55F0"/>
    <w:rsid w:val="009D614A"/>
    <w:rsid w:val="009D6DE5"/>
    <w:rsid w:val="009D76F4"/>
    <w:rsid w:val="009D7BE4"/>
    <w:rsid w:val="009E005F"/>
    <w:rsid w:val="009E0AE8"/>
    <w:rsid w:val="009E14B6"/>
    <w:rsid w:val="009E171A"/>
    <w:rsid w:val="009E30D0"/>
    <w:rsid w:val="009E3D08"/>
    <w:rsid w:val="009F05A3"/>
    <w:rsid w:val="009F0755"/>
    <w:rsid w:val="009F0932"/>
    <w:rsid w:val="009F0DA2"/>
    <w:rsid w:val="009F14FC"/>
    <w:rsid w:val="009F222E"/>
    <w:rsid w:val="009F4F80"/>
    <w:rsid w:val="009F503D"/>
    <w:rsid w:val="009F6766"/>
    <w:rsid w:val="009F6A4E"/>
    <w:rsid w:val="009F7150"/>
    <w:rsid w:val="009F764F"/>
    <w:rsid w:val="009F77EE"/>
    <w:rsid w:val="009F7E1A"/>
    <w:rsid w:val="00A0024A"/>
    <w:rsid w:val="00A00781"/>
    <w:rsid w:val="00A00999"/>
    <w:rsid w:val="00A016EA"/>
    <w:rsid w:val="00A0197E"/>
    <w:rsid w:val="00A0350B"/>
    <w:rsid w:val="00A03706"/>
    <w:rsid w:val="00A04C59"/>
    <w:rsid w:val="00A067CA"/>
    <w:rsid w:val="00A074E3"/>
    <w:rsid w:val="00A1256B"/>
    <w:rsid w:val="00A15172"/>
    <w:rsid w:val="00A15F5F"/>
    <w:rsid w:val="00A171DD"/>
    <w:rsid w:val="00A20114"/>
    <w:rsid w:val="00A209A4"/>
    <w:rsid w:val="00A20C17"/>
    <w:rsid w:val="00A21885"/>
    <w:rsid w:val="00A22658"/>
    <w:rsid w:val="00A2274F"/>
    <w:rsid w:val="00A23098"/>
    <w:rsid w:val="00A233FF"/>
    <w:rsid w:val="00A248D7"/>
    <w:rsid w:val="00A25AE6"/>
    <w:rsid w:val="00A2746F"/>
    <w:rsid w:val="00A323F8"/>
    <w:rsid w:val="00A33B9C"/>
    <w:rsid w:val="00A34D16"/>
    <w:rsid w:val="00A358A0"/>
    <w:rsid w:val="00A35BD7"/>
    <w:rsid w:val="00A37641"/>
    <w:rsid w:val="00A37730"/>
    <w:rsid w:val="00A4094F"/>
    <w:rsid w:val="00A40B68"/>
    <w:rsid w:val="00A41587"/>
    <w:rsid w:val="00A4285B"/>
    <w:rsid w:val="00A42B91"/>
    <w:rsid w:val="00A43F99"/>
    <w:rsid w:val="00A44684"/>
    <w:rsid w:val="00A446B8"/>
    <w:rsid w:val="00A44D94"/>
    <w:rsid w:val="00A44DF9"/>
    <w:rsid w:val="00A45CD6"/>
    <w:rsid w:val="00A472C3"/>
    <w:rsid w:val="00A478EA"/>
    <w:rsid w:val="00A50874"/>
    <w:rsid w:val="00A51633"/>
    <w:rsid w:val="00A51A17"/>
    <w:rsid w:val="00A53490"/>
    <w:rsid w:val="00A53C79"/>
    <w:rsid w:val="00A54006"/>
    <w:rsid w:val="00A54DB7"/>
    <w:rsid w:val="00A55498"/>
    <w:rsid w:val="00A57A89"/>
    <w:rsid w:val="00A601A7"/>
    <w:rsid w:val="00A633D6"/>
    <w:rsid w:val="00A64387"/>
    <w:rsid w:val="00A64A4B"/>
    <w:rsid w:val="00A65D06"/>
    <w:rsid w:val="00A662C1"/>
    <w:rsid w:val="00A667CD"/>
    <w:rsid w:val="00A66D82"/>
    <w:rsid w:val="00A673AE"/>
    <w:rsid w:val="00A678C5"/>
    <w:rsid w:val="00A67ADB"/>
    <w:rsid w:val="00A70966"/>
    <w:rsid w:val="00A70C2E"/>
    <w:rsid w:val="00A71C50"/>
    <w:rsid w:val="00A71E45"/>
    <w:rsid w:val="00A734FC"/>
    <w:rsid w:val="00A748DB"/>
    <w:rsid w:val="00A75AFF"/>
    <w:rsid w:val="00A77336"/>
    <w:rsid w:val="00A773BF"/>
    <w:rsid w:val="00A779B2"/>
    <w:rsid w:val="00A807EE"/>
    <w:rsid w:val="00A809AA"/>
    <w:rsid w:val="00A811FB"/>
    <w:rsid w:val="00A84147"/>
    <w:rsid w:val="00A852BA"/>
    <w:rsid w:val="00A8605E"/>
    <w:rsid w:val="00A87496"/>
    <w:rsid w:val="00A90825"/>
    <w:rsid w:val="00A913ED"/>
    <w:rsid w:val="00A93B49"/>
    <w:rsid w:val="00A947B1"/>
    <w:rsid w:val="00A949B0"/>
    <w:rsid w:val="00A9540A"/>
    <w:rsid w:val="00A96645"/>
    <w:rsid w:val="00A96DF6"/>
    <w:rsid w:val="00AA56F3"/>
    <w:rsid w:val="00AA57F5"/>
    <w:rsid w:val="00AA5C19"/>
    <w:rsid w:val="00AA7516"/>
    <w:rsid w:val="00AA7F0E"/>
    <w:rsid w:val="00AB24B3"/>
    <w:rsid w:val="00AB471F"/>
    <w:rsid w:val="00AB48B1"/>
    <w:rsid w:val="00AB48BE"/>
    <w:rsid w:val="00AB6462"/>
    <w:rsid w:val="00AB679F"/>
    <w:rsid w:val="00AB6EA5"/>
    <w:rsid w:val="00AB751D"/>
    <w:rsid w:val="00AC1735"/>
    <w:rsid w:val="00AC29BE"/>
    <w:rsid w:val="00AC3D0B"/>
    <w:rsid w:val="00AC3DCF"/>
    <w:rsid w:val="00AC43EA"/>
    <w:rsid w:val="00AC4595"/>
    <w:rsid w:val="00AC483F"/>
    <w:rsid w:val="00AC488A"/>
    <w:rsid w:val="00AC507A"/>
    <w:rsid w:val="00AC5247"/>
    <w:rsid w:val="00AC57E8"/>
    <w:rsid w:val="00AC6432"/>
    <w:rsid w:val="00AC653D"/>
    <w:rsid w:val="00AC6AE3"/>
    <w:rsid w:val="00AC77E1"/>
    <w:rsid w:val="00AD0B12"/>
    <w:rsid w:val="00AD0DB7"/>
    <w:rsid w:val="00AD29B3"/>
    <w:rsid w:val="00AD50F2"/>
    <w:rsid w:val="00AD535B"/>
    <w:rsid w:val="00AD5F8E"/>
    <w:rsid w:val="00AD61CB"/>
    <w:rsid w:val="00AD66C4"/>
    <w:rsid w:val="00AD6FBB"/>
    <w:rsid w:val="00AE0B45"/>
    <w:rsid w:val="00AE11ED"/>
    <w:rsid w:val="00AE17E1"/>
    <w:rsid w:val="00AE1E34"/>
    <w:rsid w:val="00AE2CF8"/>
    <w:rsid w:val="00AE369F"/>
    <w:rsid w:val="00AE43A6"/>
    <w:rsid w:val="00AE442F"/>
    <w:rsid w:val="00AE52E9"/>
    <w:rsid w:val="00AE60B8"/>
    <w:rsid w:val="00AF1003"/>
    <w:rsid w:val="00AF1FFA"/>
    <w:rsid w:val="00AF339D"/>
    <w:rsid w:val="00AF6644"/>
    <w:rsid w:val="00AF778D"/>
    <w:rsid w:val="00B00834"/>
    <w:rsid w:val="00B00AD1"/>
    <w:rsid w:val="00B014BD"/>
    <w:rsid w:val="00B04069"/>
    <w:rsid w:val="00B055FB"/>
    <w:rsid w:val="00B05F2A"/>
    <w:rsid w:val="00B07D91"/>
    <w:rsid w:val="00B07DAC"/>
    <w:rsid w:val="00B10821"/>
    <w:rsid w:val="00B10831"/>
    <w:rsid w:val="00B12F3A"/>
    <w:rsid w:val="00B13A26"/>
    <w:rsid w:val="00B15289"/>
    <w:rsid w:val="00B166CD"/>
    <w:rsid w:val="00B17DB2"/>
    <w:rsid w:val="00B20B1D"/>
    <w:rsid w:val="00B20BD5"/>
    <w:rsid w:val="00B2266E"/>
    <w:rsid w:val="00B227EB"/>
    <w:rsid w:val="00B2384B"/>
    <w:rsid w:val="00B256BA"/>
    <w:rsid w:val="00B25A82"/>
    <w:rsid w:val="00B26087"/>
    <w:rsid w:val="00B260F0"/>
    <w:rsid w:val="00B265C5"/>
    <w:rsid w:val="00B266C1"/>
    <w:rsid w:val="00B30EC5"/>
    <w:rsid w:val="00B30F63"/>
    <w:rsid w:val="00B31175"/>
    <w:rsid w:val="00B32757"/>
    <w:rsid w:val="00B3303E"/>
    <w:rsid w:val="00B34581"/>
    <w:rsid w:val="00B35A89"/>
    <w:rsid w:val="00B36091"/>
    <w:rsid w:val="00B37540"/>
    <w:rsid w:val="00B4398D"/>
    <w:rsid w:val="00B43B6A"/>
    <w:rsid w:val="00B4643D"/>
    <w:rsid w:val="00B5043C"/>
    <w:rsid w:val="00B51B0C"/>
    <w:rsid w:val="00B52390"/>
    <w:rsid w:val="00B52445"/>
    <w:rsid w:val="00B5319B"/>
    <w:rsid w:val="00B5439D"/>
    <w:rsid w:val="00B54BB1"/>
    <w:rsid w:val="00B54BE7"/>
    <w:rsid w:val="00B57115"/>
    <w:rsid w:val="00B574E5"/>
    <w:rsid w:val="00B602D5"/>
    <w:rsid w:val="00B61449"/>
    <w:rsid w:val="00B62BE3"/>
    <w:rsid w:val="00B64666"/>
    <w:rsid w:val="00B64701"/>
    <w:rsid w:val="00B64EF1"/>
    <w:rsid w:val="00B7068D"/>
    <w:rsid w:val="00B7190A"/>
    <w:rsid w:val="00B71999"/>
    <w:rsid w:val="00B72000"/>
    <w:rsid w:val="00B72009"/>
    <w:rsid w:val="00B7295C"/>
    <w:rsid w:val="00B735B1"/>
    <w:rsid w:val="00B747EC"/>
    <w:rsid w:val="00B75585"/>
    <w:rsid w:val="00B764BB"/>
    <w:rsid w:val="00B772D2"/>
    <w:rsid w:val="00B775C8"/>
    <w:rsid w:val="00B77981"/>
    <w:rsid w:val="00B80106"/>
    <w:rsid w:val="00B81989"/>
    <w:rsid w:val="00B81D3D"/>
    <w:rsid w:val="00B84FA2"/>
    <w:rsid w:val="00B850A2"/>
    <w:rsid w:val="00B85938"/>
    <w:rsid w:val="00B8686A"/>
    <w:rsid w:val="00B8730E"/>
    <w:rsid w:val="00B87C7E"/>
    <w:rsid w:val="00B920EF"/>
    <w:rsid w:val="00B93130"/>
    <w:rsid w:val="00B945A0"/>
    <w:rsid w:val="00B9481D"/>
    <w:rsid w:val="00B9542B"/>
    <w:rsid w:val="00B961F0"/>
    <w:rsid w:val="00B96864"/>
    <w:rsid w:val="00B96AA8"/>
    <w:rsid w:val="00B97489"/>
    <w:rsid w:val="00B97B4C"/>
    <w:rsid w:val="00B97EEE"/>
    <w:rsid w:val="00BA0D6A"/>
    <w:rsid w:val="00BA11DA"/>
    <w:rsid w:val="00BA2144"/>
    <w:rsid w:val="00BA2530"/>
    <w:rsid w:val="00BA283F"/>
    <w:rsid w:val="00BA39FF"/>
    <w:rsid w:val="00BA4532"/>
    <w:rsid w:val="00BA4771"/>
    <w:rsid w:val="00BA4858"/>
    <w:rsid w:val="00BA5C1D"/>
    <w:rsid w:val="00BA6937"/>
    <w:rsid w:val="00BA6C9A"/>
    <w:rsid w:val="00BB0C17"/>
    <w:rsid w:val="00BB0D47"/>
    <w:rsid w:val="00BB0E11"/>
    <w:rsid w:val="00BB0E8F"/>
    <w:rsid w:val="00BB137A"/>
    <w:rsid w:val="00BB167A"/>
    <w:rsid w:val="00BB4EA3"/>
    <w:rsid w:val="00BB67DD"/>
    <w:rsid w:val="00BB6CBA"/>
    <w:rsid w:val="00BC02AB"/>
    <w:rsid w:val="00BC0C64"/>
    <w:rsid w:val="00BC0CA4"/>
    <w:rsid w:val="00BC1DAB"/>
    <w:rsid w:val="00BC6214"/>
    <w:rsid w:val="00BC68B6"/>
    <w:rsid w:val="00BC7636"/>
    <w:rsid w:val="00BC7B0D"/>
    <w:rsid w:val="00BD0C07"/>
    <w:rsid w:val="00BD130D"/>
    <w:rsid w:val="00BD326F"/>
    <w:rsid w:val="00BD3B61"/>
    <w:rsid w:val="00BD44B6"/>
    <w:rsid w:val="00BD50A8"/>
    <w:rsid w:val="00BD5344"/>
    <w:rsid w:val="00BD5905"/>
    <w:rsid w:val="00BD61E0"/>
    <w:rsid w:val="00BD7618"/>
    <w:rsid w:val="00BD7A2E"/>
    <w:rsid w:val="00BD7E1F"/>
    <w:rsid w:val="00BE013C"/>
    <w:rsid w:val="00BE0737"/>
    <w:rsid w:val="00BE1C5C"/>
    <w:rsid w:val="00BE2CDE"/>
    <w:rsid w:val="00BE5CB0"/>
    <w:rsid w:val="00BE60D3"/>
    <w:rsid w:val="00BE67CB"/>
    <w:rsid w:val="00BE6A11"/>
    <w:rsid w:val="00BE7425"/>
    <w:rsid w:val="00BF145A"/>
    <w:rsid w:val="00BF161A"/>
    <w:rsid w:val="00BF46CE"/>
    <w:rsid w:val="00BF4C76"/>
    <w:rsid w:val="00BF6616"/>
    <w:rsid w:val="00BF67BA"/>
    <w:rsid w:val="00C003FB"/>
    <w:rsid w:val="00C0131E"/>
    <w:rsid w:val="00C027C3"/>
    <w:rsid w:val="00C03425"/>
    <w:rsid w:val="00C0347B"/>
    <w:rsid w:val="00C03683"/>
    <w:rsid w:val="00C03C7C"/>
    <w:rsid w:val="00C04040"/>
    <w:rsid w:val="00C04303"/>
    <w:rsid w:val="00C04625"/>
    <w:rsid w:val="00C0706D"/>
    <w:rsid w:val="00C07165"/>
    <w:rsid w:val="00C07C78"/>
    <w:rsid w:val="00C11BF8"/>
    <w:rsid w:val="00C12C00"/>
    <w:rsid w:val="00C12E4C"/>
    <w:rsid w:val="00C12F6A"/>
    <w:rsid w:val="00C20FEF"/>
    <w:rsid w:val="00C211DC"/>
    <w:rsid w:val="00C21A8F"/>
    <w:rsid w:val="00C21FB9"/>
    <w:rsid w:val="00C22B18"/>
    <w:rsid w:val="00C2442C"/>
    <w:rsid w:val="00C24CE8"/>
    <w:rsid w:val="00C24E5E"/>
    <w:rsid w:val="00C256EB"/>
    <w:rsid w:val="00C25E94"/>
    <w:rsid w:val="00C266F4"/>
    <w:rsid w:val="00C267DF"/>
    <w:rsid w:val="00C26C9F"/>
    <w:rsid w:val="00C32309"/>
    <w:rsid w:val="00C326E7"/>
    <w:rsid w:val="00C338EC"/>
    <w:rsid w:val="00C34038"/>
    <w:rsid w:val="00C36259"/>
    <w:rsid w:val="00C36E0E"/>
    <w:rsid w:val="00C413C5"/>
    <w:rsid w:val="00C416ED"/>
    <w:rsid w:val="00C420B7"/>
    <w:rsid w:val="00C4318E"/>
    <w:rsid w:val="00C43842"/>
    <w:rsid w:val="00C43FF3"/>
    <w:rsid w:val="00C44412"/>
    <w:rsid w:val="00C44BAD"/>
    <w:rsid w:val="00C44C59"/>
    <w:rsid w:val="00C4601D"/>
    <w:rsid w:val="00C469DB"/>
    <w:rsid w:val="00C4729C"/>
    <w:rsid w:val="00C50495"/>
    <w:rsid w:val="00C505C1"/>
    <w:rsid w:val="00C50610"/>
    <w:rsid w:val="00C51571"/>
    <w:rsid w:val="00C5325C"/>
    <w:rsid w:val="00C539CF"/>
    <w:rsid w:val="00C55721"/>
    <w:rsid w:val="00C5573B"/>
    <w:rsid w:val="00C56E3F"/>
    <w:rsid w:val="00C56EC9"/>
    <w:rsid w:val="00C60029"/>
    <w:rsid w:val="00C60966"/>
    <w:rsid w:val="00C6205D"/>
    <w:rsid w:val="00C625BC"/>
    <w:rsid w:val="00C62EDA"/>
    <w:rsid w:val="00C63613"/>
    <w:rsid w:val="00C65701"/>
    <w:rsid w:val="00C65B34"/>
    <w:rsid w:val="00C66384"/>
    <w:rsid w:val="00C66420"/>
    <w:rsid w:val="00C66987"/>
    <w:rsid w:val="00C67180"/>
    <w:rsid w:val="00C67AA1"/>
    <w:rsid w:val="00C67D95"/>
    <w:rsid w:val="00C70ACF"/>
    <w:rsid w:val="00C7127F"/>
    <w:rsid w:val="00C72A12"/>
    <w:rsid w:val="00C7305B"/>
    <w:rsid w:val="00C73971"/>
    <w:rsid w:val="00C74CBE"/>
    <w:rsid w:val="00C75FC9"/>
    <w:rsid w:val="00C760DE"/>
    <w:rsid w:val="00C76254"/>
    <w:rsid w:val="00C76796"/>
    <w:rsid w:val="00C77AED"/>
    <w:rsid w:val="00C814BD"/>
    <w:rsid w:val="00C83721"/>
    <w:rsid w:val="00C842F1"/>
    <w:rsid w:val="00C84473"/>
    <w:rsid w:val="00C863D9"/>
    <w:rsid w:val="00C8670C"/>
    <w:rsid w:val="00C87B33"/>
    <w:rsid w:val="00C87FE2"/>
    <w:rsid w:val="00C931CD"/>
    <w:rsid w:val="00C93648"/>
    <w:rsid w:val="00C93B33"/>
    <w:rsid w:val="00C93B4D"/>
    <w:rsid w:val="00C93C0F"/>
    <w:rsid w:val="00C9406B"/>
    <w:rsid w:val="00C946E1"/>
    <w:rsid w:val="00C94835"/>
    <w:rsid w:val="00C94A4F"/>
    <w:rsid w:val="00C95ACC"/>
    <w:rsid w:val="00C963DF"/>
    <w:rsid w:val="00C96DD0"/>
    <w:rsid w:val="00C97B01"/>
    <w:rsid w:val="00C97BE8"/>
    <w:rsid w:val="00CA0967"/>
    <w:rsid w:val="00CA1B8C"/>
    <w:rsid w:val="00CA4CF6"/>
    <w:rsid w:val="00CA54EF"/>
    <w:rsid w:val="00CA692D"/>
    <w:rsid w:val="00CA755C"/>
    <w:rsid w:val="00CA792C"/>
    <w:rsid w:val="00CB0641"/>
    <w:rsid w:val="00CB116F"/>
    <w:rsid w:val="00CB1F20"/>
    <w:rsid w:val="00CB3ABC"/>
    <w:rsid w:val="00CB42E4"/>
    <w:rsid w:val="00CB4679"/>
    <w:rsid w:val="00CB4C4E"/>
    <w:rsid w:val="00CB5265"/>
    <w:rsid w:val="00CB5914"/>
    <w:rsid w:val="00CB63BE"/>
    <w:rsid w:val="00CB6F0D"/>
    <w:rsid w:val="00CB701B"/>
    <w:rsid w:val="00CC0904"/>
    <w:rsid w:val="00CC1C58"/>
    <w:rsid w:val="00CC2611"/>
    <w:rsid w:val="00CC3839"/>
    <w:rsid w:val="00CC56F0"/>
    <w:rsid w:val="00CC6F76"/>
    <w:rsid w:val="00CC6FED"/>
    <w:rsid w:val="00CC7825"/>
    <w:rsid w:val="00CC7A3C"/>
    <w:rsid w:val="00CC7DD4"/>
    <w:rsid w:val="00CD0151"/>
    <w:rsid w:val="00CD15C7"/>
    <w:rsid w:val="00CD1F5D"/>
    <w:rsid w:val="00CD5FBB"/>
    <w:rsid w:val="00CD6320"/>
    <w:rsid w:val="00CD6341"/>
    <w:rsid w:val="00CD6372"/>
    <w:rsid w:val="00CD7D21"/>
    <w:rsid w:val="00CE12AD"/>
    <w:rsid w:val="00CE1C1F"/>
    <w:rsid w:val="00CE3033"/>
    <w:rsid w:val="00CE3DEE"/>
    <w:rsid w:val="00CE7189"/>
    <w:rsid w:val="00CE7B14"/>
    <w:rsid w:val="00CF1085"/>
    <w:rsid w:val="00CF3262"/>
    <w:rsid w:val="00CF4381"/>
    <w:rsid w:val="00CF4E90"/>
    <w:rsid w:val="00CF540E"/>
    <w:rsid w:val="00CF5D8C"/>
    <w:rsid w:val="00D01C3D"/>
    <w:rsid w:val="00D0501D"/>
    <w:rsid w:val="00D05560"/>
    <w:rsid w:val="00D06209"/>
    <w:rsid w:val="00D1041C"/>
    <w:rsid w:val="00D12722"/>
    <w:rsid w:val="00D15241"/>
    <w:rsid w:val="00D17675"/>
    <w:rsid w:val="00D178DA"/>
    <w:rsid w:val="00D21DDA"/>
    <w:rsid w:val="00D2320A"/>
    <w:rsid w:val="00D23575"/>
    <w:rsid w:val="00D251DC"/>
    <w:rsid w:val="00D255B2"/>
    <w:rsid w:val="00D255FD"/>
    <w:rsid w:val="00D25E65"/>
    <w:rsid w:val="00D25F2C"/>
    <w:rsid w:val="00D309F7"/>
    <w:rsid w:val="00D31007"/>
    <w:rsid w:val="00D3107E"/>
    <w:rsid w:val="00D31539"/>
    <w:rsid w:val="00D32049"/>
    <w:rsid w:val="00D32CBE"/>
    <w:rsid w:val="00D34027"/>
    <w:rsid w:val="00D341EF"/>
    <w:rsid w:val="00D35C60"/>
    <w:rsid w:val="00D3652E"/>
    <w:rsid w:val="00D367B8"/>
    <w:rsid w:val="00D37E97"/>
    <w:rsid w:val="00D40531"/>
    <w:rsid w:val="00D40A39"/>
    <w:rsid w:val="00D40D77"/>
    <w:rsid w:val="00D411EB"/>
    <w:rsid w:val="00D43FA0"/>
    <w:rsid w:val="00D45834"/>
    <w:rsid w:val="00D46145"/>
    <w:rsid w:val="00D47472"/>
    <w:rsid w:val="00D523CD"/>
    <w:rsid w:val="00D52693"/>
    <w:rsid w:val="00D529F9"/>
    <w:rsid w:val="00D5387B"/>
    <w:rsid w:val="00D5492A"/>
    <w:rsid w:val="00D55464"/>
    <w:rsid w:val="00D56ADB"/>
    <w:rsid w:val="00D56CE3"/>
    <w:rsid w:val="00D6040B"/>
    <w:rsid w:val="00D60F4F"/>
    <w:rsid w:val="00D62551"/>
    <w:rsid w:val="00D627FE"/>
    <w:rsid w:val="00D62AFB"/>
    <w:rsid w:val="00D62D7A"/>
    <w:rsid w:val="00D63225"/>
    <w:rsid w:val="00D641EF"/>
    <w:rsid w:val="00D64290"/>
    <w:rsid w:val="00D64D3D"/>
    <w:rsid w:val="00D65C4A"/>
    <w:rsid w:val="00D66D8A"/>
    <w:rsid w:val="00D6761F"/>
    <w:rsid w:val="00D72331"/>
    <w:rsid w:val="00D74A4D"/>
    <w:rsid w:val="00D76458"/>
    <w:rsid w:val="00D7654F"/>
    <w:rsid w:val="00D80D7A"/>
    <w:rsid w:val="00D818FF"/>
    <w:rsid w:val="00D85952"/>
    <w:rsid w:val="00D87383"/>
    <w:rsid w:val="00D90267"/>
    <w:rsid w:val="00D903C2"/>
    <w:rsid w:val="00D90C6E"/>
    <w:rsid w:val="00D92279"/>
    <w:rsid w:val="00D9229B"/>
    <w:rsid w:val="00D923A3"/>
    <w:rsid w:val="00D92427"/>
    <w:rsid w:val="00D928B5"/>
    <w:rsid w:val="00D92DF6"/>
    <w:rsid w:val="00D930EA"/>
    <w:rsid w:val="00D93374"/>
    <w:rsid w:val="00D94275"/>
    <w:rsid w:val="00D95117"/>
    <w:rsid w:val="00D96696"/>
    <w:rsid w:val="00D96E26"/>
    <w:rsid w:val="00DA0805"/>
    <w:rsid w:val="00DA1B30"/>
    <w:rsid w:val="00DA3CE1"/>
    <w:rsid w:val="00DA47D3"/>
    <w:rsid w:val="00DA5CA5"/>
    <w:rsid w:val="00DA6B50"/>
    <w:rsid w:val="00DA7A8E"/>
    <w:rsid w:val="00DB0378"/>
    <w:rsid w:val="00DB1B1E"/>
    <w:rsid w:val="00DB26B4"/>
    <w:rsid w:val="00DB2C67"/>
    <w:rsid w:val="00DB3958"/>
    <w:rsid w:val="00DB41F5"/>
    <w:rsid w:val="00DB4721"/>
    <w:rsid w:val="00DB49B4"/>
    <w:rsid w:val="00DB51D6"/>
    <w:rsid w:val="00DB55D5"/>
    <w:rsid w:val="00DB6CDF"/>
    <w:rsid w:val="00DB73EA"/>
    <w:rsid w:val="00DC052E"/>
    <w:rsid w:val="00DC0E00"/>
    <w:rsid w:val="00DC0FDB"/>
    <w:rsid w:val="00DC32DC"/>
    <w:rsid w:val="00DC4040"/>
    <w:rsid w:val="00DC41DF"/>
    <w:rsid w:val="00DC456E"/>
    <w:rsid w:val="00DC5CBB"/>
    <w:rsid w:val="00DC5EB7"/>
    <w:rsid w:val="00DC7048"/>
    <w:rsid w:val="00DC72BA"/>
    <w:rsid w:val="00DC7DE7"/>
    <w:rsid w:val="00DD046E"/>
    <w:rsid w:val="00DD08F2"/>
    <w:rsid w:val="00DD0FE2"/>
    <w:rsid w:val="00DD1B30"/>
    <w:rsid w:val="00DD3299"/>
    <w:rsid w:val="00DD3FC9"/>
    <w:rsid w:val="00DD441A"/>
    <w:rsid w:val="00DD4552"/>
    <w:rsid w:val="00DD510F"/>
    <w:rsid w:val="00DD5D3E"/>
    <w:rsid w:val="00DD60CE"/>
    <w:rsid w:val="00DD6739"/>
    <w:rsid w:val="00DE00CB"/>
    <w:rsid w:val="00DE078A"/>
    <w:rsid w:val="00DE0DAC"/>
    <w:rsid w:val="00DE0EAE"/>
    <w:rsid w:val="00DE0FE8"/>
    <w:rsid w:val="00DE1DC1"/>
    <w:rsid w:val="00DE23F8"/>
    <w:rsid w:val="00DE250A"/>
    <w:rsid w:val="00DE294F"/>
    <w:rsid w:val="00DE33F0"/>
    <w:rsid w:val="00DE367B"/>
    <w:rsid w:val="00DE396F"/>
    <w:rsid w:val="00DE39F5"/>
    <w:rsid w:val="00DE59D9"/>
    <w:rsid w:val="00DE5B10"/>
    <w:rsid w:val="00DE5D16"/>
    <w:rsid w:val="00DE6431"/>
    <w:rsid w:val="00DE6553"/>
    <w:rsid w:val="00DF0F23"/>
    <w:rsid w:val="00DF194F"/>
    <w:rsid w:val="00DF1D9C"/>
    <w:rsid w:val="00DF1F69"/>
    <w:rsid w:val="00DF22E9"/>
    <w:rsid w:val="00DF2FC7"/>
    <w:rsid w:val="00DF3557"/>
    <w:rsid w:val="00DF39F8"/>
    <w:rsid w:val="00DF4344"/>
    <w:rsid w:val="00DF435E"/>
    <w:rsid w:val="00DF4927"/>
    <w:rsid w:val="00DF49BE"/>
    <w:rsid w:val="00DF52E6"/>
    <w:rsid w:val="00DF65A0"/>
    <w:rsid w:val="00E00176"/>
    <w:rsid w:val="00E0027C"/>
    <w:rsid w:val="00E01B74"/>
    <w:rsid w:val="00E02608"/>
    <w:rsid w:val="00E03454"/>
    <w:rsid w:val="00E04394"/>
    <w:rsid w:val="00E04AF3"/>
    <w:rsid w:val="00E04CD8"/>
    <w:rsid w:val="00E07BCC"/>
    <w:rsid w:val="00E101FE"/>
    <w:rsid w:val="00E107AA"/>
    <w:rsid w:val="00E114F3"/>
    <w:rsid w:val="00E1231D"/>
    <w:rsid w:val="00E12EB0"/>
    <w:rsid w:val="00E13FB7"/>
    <w:rsid w:val="00E17405"/>
    <w:rsid w:val="00E20B13"/>
    <w:rsid w:val="00E217CD"/>
    <w:rsid w:val="00E24D56"/>
    <w:rsid w:val="00E256E2"/>
    <w:rsid w:val="00E2588A"/>
    <w:rsid w:val="00E25CC7"/>
    <w:rsid w:val="00E26450"/>
    <w:rsid w:val="00E26BDE"/>
    <w:rsid w:val="00E2769F"/>
    <w:rsid w:val="00E31CDD"/>
    <w:rsid w:val="00E31CF0"/>
    <w:rsid w:val="00E324E4"/>
    <w:rsid w:val="00E32696"/>
    <w:rsid w:val="00E326BF"/>
    <w:rsid w:val="00E3436B"/>
    <w:rsid w:val="00E34B69"/>
    <w:rsid w:val="00E35A7F"/>
    <w:rsid w:val="00E35C21"/>
    <w:rsid w:val="00E35FA9"/>
    <w:rsid w:val="00E36D0C"/>
    <w:rsid w:val="00E37B7A"/>
    <w:rsid w:val="00E37D73"/>
    <w:rsid w:val="00E40FCF"/>
    <w:rsid w:val="00E4126A"/>
    <w:rsid w:val="00E41ABF"/>
    <w:rsid w:val="00E42160"/>
    <w:rsid w:val="00E422DF"/>
    <w:rsid w:val="00E4668F"/>
    <w:rsid w:val="00E47889"/>
    <w:rsid w:val="00E502E1"/>
    <w:rsid w:val="00E50B7D"/>
    <w:rsid w:val="00E51ADE"/>
    <w:rsid w:val="00E524BB"/>
    <w:rsid w:val="00E5391E"/>
    <w:rsid w:val="00E53EFB"/>
    <w:rsid w:val="00E545DB"/>
    <w:rsid w:val="00E55C5E"/>
    <w:rsid w:val="00E575DA"/>
    <w:rsid w:val="00E57C6C"/>
    <w:rsid w:val="00E6020B"/>
    <w:rsid w:val="00E6152F"/>
    <w:rsid w:val="00E61717"/>
    <w:rsid w:val="00E6183E"/>
    <w:rsid w:val="00E62875"/>
    <w:rsid w:val="00E62F9A"/>
    <w:rsid w:val="00E634C6"/>
    <w:rsid w:val="00E635E8"/>
    <w:rsid w:val="00E63F0B"/>
    <w:rsid w:val="00E64243"/>
    <w:rsid w:val="00E651B6"/>
    <w:rsid w:val="00E711A4"/>
    <w:rsid w:val="00E71803"/>
    <w:rsid w:val="00E72BCF"/>
    <w:rsid w:val="00E730BE"/>
    <w:rsid w:val="00E74A05"/>
    <w:rsid w:val="00E74ABF"/>
    <w:rsid w:val="00E75C82"/>
    <w:rsid w:val="00E75D9E"/>
    <w:rsid w:val="00E76919"/>
    <w:rsid w:val="00E76F41"/>
    <w:rsid w:val="00E80587"/>
    <w:rsid w:val="00E81D51"/>
    <w:rsid w:val="00E82213"/>
    <w:rsid w:val="00E8258C"/>
    <w:rsid w:val="00E82E17"/>
    <w:rsid w:val="00E83E18"/>
    <w:rsid w:val="00E83F06"/>
    <w:rsid w:val="00E84522"/>
    <w:rsid w:val="00E84B8E"/>
    <w:rsid w:val="00E8571F"/>
    <w:rsid w:val="00E866B9"/>
    <w:rsid w:val="00E874D6"/>
    <w:rsid w:val="00E90E72"/>
    <w:rsid w:val="00E91F1B"/>
    <w:rsid w:val="00E92ED5"/>
    <w:rsid w:val="00E93558"/>
    <w:rsid w:val="00E938F6"/>
    <w:rsid w:val="00E942C3"/>
    <w:rsid w:val="00E94936"/>
    <w:rsid w:val="00E95118"/>
    <w:rsid w:val="00E97E20"/>
    <w:rsid w:val="00EA1358"/>
    <w:rsid w:val="00EA1A1A"/>
    <w:rsid w:val="00EA2304"/>
    <w:rsid w:val="00EA2AA5"/>
    <w:rsid w:val="00EA2B1A"/>
    <w:rsid w:val="00EA3C17"/>
    <w:rsid w:val="00EA5637"/>
    <w:rsid w:val="00EA73CB"/>
    <w:rsid w:val="00EA75B5"/>
    <w:rsid w:val="00EA762F"/>
    <w:rsid w:val="00EA7BF3"/>
    <w:rsid w:val="00EB05A0"/>
    <w:rsid w:val="00EB0687"/>
    <w:rsid w:val="00EB08BB"/>
    <w:rsid w:val="00EB19D9"/>
    <w:rsid w:val="00EB4FCF"/>
    <w:rsid w:val="00EB5866"/>
    <w:rsid w:val="00EB762F"/>
    <w:rsid w:val="00EC087E"/>
    <w:rsid w:val="00EC1873"/>
    <w:rsid w:val="00EC18A0"/>
    <w:rsid w:val="00EC1FC8"/>
    <w:rsid w:val="00EC41FB"/>
    <w:rsid w:val="00EC5100"/>
    <w:rsid w:val="00EC660F"/>
    <w:rsid w:val="00EC6ADB"/>
    <w:rsid w:val="00EC771D"/>
    <w:rsid w:val="00ED1091"/>
    <w:rsid w:val="00ED1313"/>
    <w:rsid w:val="00ED3223"/>
    <w:rsid w:val="00ED456B"/>
    <w:rsid w:val="00ED476F"/>
    <w:rsid w:val="00ED4A2F"/>
    <w:rsid w:val="00ED4DA5"/>
    <w:rsid w:val="00ED5B7B"/>
    <w:rsid w:val="00ED6322"/>
    <w:rsid w:val="00ED6A8E"/>
    <w:rsid w:val="00ED7A09"/>
    <w:rsid w:val="00ED7A6D"/>
    <w:rsid w:val="00ED7F77"/>
    <w:rsid w:val="00EE04E8"/>
    <w:rsid w:val="00EE1C4F"/>
    <w:rsid w:val="00EE2316"/>
    <w:rsid w:val="00EE3328"/>
    <w:rsid w:val="00EE3567"/>
    <w:rsid w:val="00EE3D6D"/>
    <w:rsid w:val="00EE6135"/>
    <w:rsid w:val="00EF056F"/>
    <w:rsid w:val="00EF24ED"/>
    <w:rsid w:val="00EF70B8"/>
    <w:rsid w:val="00EF73C8"/>
    <w:rsid w:val="00EF7753"/>
    <w:rsid w:val="00F02334"/>
    <w:rsid w:val="00F02EA9"/>
    <w:rsid w:val="00F03048"/>
    <w:rsid w:val="00F03E5F"/>
    <w:rsid w:val="00F04A33"/>
    <w:rsid w:val="00F04E9C"/>
    <w:rsid w:val="00F051FB"/>
    <w:rsid w:val="00F05212"/>
    <w:rsid w:val="00F0674E"/>
    <w:rsid w:val="00F06BF9"/>
    <w:rsid w:val="00F10B38"/>
    <w:rsid w:val="00F10C0F"/>
    <w:rsid w:val="00F11EF2"/>
    <w:rsid w:val="00F11FF9"/>
    <w:rsid w:val="00F12577"/>
    <w:rsid w:val="00F12B32"/>
    <w:rsid w:val="00F1460F"/>
    <w:rsid w:val="00F14A05"/>
    <w:rsid w:val="00F14C49"/>
    <w:rsid w:val="00F15125"/>
    <w:rsid w:val="00F155B8"/>
    <w:rsid w:val="00F163A3"/>
    <w:rsid w:val="00F20F25"/>
    <w:rsid w:val="00F212C0"/>
    <w:rsid w:val="00F21A7D"/>
    <w:rsid w:val="00F230D8"/>
    <w:rsid w:val="00F23D00"/>
    <w:rsid w:val="00F24FED"/>
    <w:rsid w:val="00F27702"/>
    <w:rsid w:val="00F277E7"/>
    <w:rsid w:val="00F27FE4"/>
    <w:rsid w:val="00F308D5"/>
    <w:rsid w:val="00F31609"/>
    <w:rsid w:val="00F31A4B"/>
    <w:rsid w:val="00F3250C"/>
    <w:rsid w:val="00F3378B"/>
    <w:rsid w:val="00F34349"/>
    <w:rsid w:val="00F34784"/>
    <w:rsid w:val="00F35395"/>
    <w:rsid w:val="00F3599D"/>
    <w:rsid w:val="00F36E61"/>
    <w:rsid w:val="00F37982"/>
    <w:rsid w:val="00F40123"/>
    <w:rsid w:val="00F41F83"/>
    <w:rsid w:val="00F42158"/>
    <w:rsid w:val="00F42571"/>
    <w:rsid w:val="00F42DE2"/>
    <w:rsid w:val="00F42FBE"/>
    <w:rsid w:val="00F464BE"/>
    <w:rsid w:val="00F4696D"/>
    <w:rsid w:val="00F46D01"/>
    <w:rsid w:val="00F479AF"/>
    <w:rsid w:val="00F50C05"/>
    <w:rsid w:val="00F50FAE"/>
    <w:rsid w:val="00F50FF2"/>
    <w:rsid w:val="00F515D7"/>
    <w:rsid w:val="00F55A7B"/>
    <w:rsid w:val="00F565DC"/>
    <w:rsid w:val="00F578D4"/>
    <w:rsid w:val="00F60CEB"/>
    <w:rsid w:val="00F60F71"/>
    <w:rsid w:val="00F6148A"/>
    <w:rsid w:val="00F620AC"/>
    <w:rsid w:val="00F621DF"/>
    <w:rsid w:val="00F65649"/>
    <w:rsid w:val="00F656B7"/>
    <w:rsid w:val="00F65966"/>
    <w:rsid w:val="00F66B67"/>
    <w:rsid w:val="00F67092"/>
    <w:rsid w:val="00F6772E"/>
    <w:rsid w:val="00F67B48"/>
    <w:rsid w:val="00F708BD"/>
    <w:rsid w:val="00F71A3B"/>
    <w:rsid w:val="00F72F2E"/>
    <w:rsid w:val="00F74D0C"/>
    <w:rsid w:val="00F7562D"/>
    <w:rsid w:val="00F76012"/>
    <w:rsid w:val="00F77752"/>
    <w:rsid w:val="00F77F79"/>
    <w:rsid w:val="00F8090D"/>
    <w:rsid w:val="00F80E4C"/>
    <w:rsid w:val="00F8109C"/>
    <w:rsid w:val="00F81D98"/>
    <w:rsid w:val="00F82794"/>
    <w:rsid w:val="00F82914"/>
    <w:rsid w:val="00F844F4"/>
    <w:rsid w:val="00F84C11"/>
    <w:rsid w:val="00F85114"/>
    <w:rsid w:val="00F86658"/>
    <w:rsid w:val="00F87B2B"/>
    <w:rsid w:val="00F87D54"/>
    <w:rsid w:val="00F900FE"/>
    <w:rsid w:val="00F91FC1"/>
    <w:rsid w:val="00F92566"/>
    <w:rsid w:val="00F92893"/>
    <w:rsid w:val="00F92D99"/>
    <w:rsid w:val="00F93646"/>
    <w:rsid w:val="00F93EB9"/>
    <w:rsid w:val="00F971B5"/>
    <w:rsid w:val="00F97A38"/>
    <w:rsid w:val="00FA142F"/>
    <w:rsid w:val="00FA171A"/>
    <w:rsid w:val="00FA1D1A"/>
    <w:rsid w:val="00FA24AB"/>
    <w:rsid w:val="00FA27C6"/>
    <w:rsid w:val="00FA3A7C"/>
    <w:rsid w:val="00FA3A8C"/>
    <w:rsid w:val="00FA3E67"/>
    <w:rsid w:val="00FA4A37"/>
    <w:rsid w:val="00FA5395"/>
    <w:rsid w:val="00FA6A51"/>
    <w:rsid w:val="00FA72F6"/>
    <w:rsid w:val="00FA7E7A"/>
    <w:rsid w:val="00FB03E0"/>
    <w:rsid w:val="00FB163A"/>
    <w:rsid w:val="00FB1A7A"/>
    <w:rsid w:val="00FB25FA"/>
    <w:rsid w:val="00FB34F9"/>
    <w:rsid w:val="00FB3669"/>
    <w:rsid w:val="00FB4202"/>
    <w:rsid w:val="00FB5FDE"/>
    <w:rsid w:val="00FB619F"/>
    <w:rsid w:val="00FB6670"/>
    <w:rsid w:val="00FB7410"/>
    <w:rsid w:val="00FC0BD8"/>
    <w:rsid w:val="00FC261B"/>
    <w:rsid w:val="00FC2DB6"/>
    <w:rsid w:val="00FC58DC"/>
    <w:rsid w:val="00FD044C"/>
    <w:rsid w:val="00FD04DE"/>
    <w:rsid w:val="00FD168A"/>
    <w:rsid w:val="00FD217A"/>
    <w:rsid w:val="00FD2420"/>
    <w:rsid w:val="00FD2F40"/>
    <w:rsid w:val="00FD4CD5"/>
    <w:rsid w:val="00FD54E4"/>
    <w:rsid w:val="00FD5B6C"/>
    <w:rsid w:val="00FD63FE"/>
    <w:rsid w:val="00FD660D"/>
    <w:rsid w:val="00FD6832"/>
    <w:rsid w:val="00FD784A"/>
    <w:rsid w:val="00FE1CE1"/>
    <w:rsid w:val="00FE2120"/>
    <w:rsid w:val="00FE2227"/>
    <w:rsid w:val="00FE317B"/>
    <w:rsid w:val="00FE3CB4"/>
    <w:rsid w:val="00FE6784"/>
    <w:rsid w:val="00FF0B6C"/>
    <w:rsid w:val="00FF18C8"/>
    <w:rsid w:val="00FF1928"/>
    <w:rsid w:val="00FF3F8E"/>
    <w:rsid w:val="00FF4962"/>
    <w:rsid w:val="00FF5379"/>
    <w:rsid w:val="00FF5398"/>
    <w:rsid w:val="00FF5C00"/>
    <w:rsid w:val="00FF5CC5"/>
    <w:rsid w:val="00FF7406"/>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5E9AA"/>
  <w15:docId w15:val="{870B6EC0-E5E6-4D64-B38A-8C2FDAEA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2F6"/>
    <w:rPr>
      <w:rFonts w:ascii="Arial" w:hAnsi="Arial"/>
      <w:sz w:val="24"/>
      <w:lang w:val="es-MX"/>
    </w:rPr>
  </w:style>
  <w:style w:type="paragraph" w:styleId="Ttulo1">
    <w:name w:val="heading 1"/>
    <w:basedOn w:val="Normal"/>
    <w:next w:val="Normal"/>
    <w:link w:val="Ttulo1Car"/>
    <w:qFormat/>
    <w:rsid w:val="00DA5CA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657D7B"/>
    <w:pPr>
      <w:keepNext/>
      <w:keepLines/>
      <w:spacing w:before="40"/>
      <w:outlineLvl w:val="1"/>
    </w:pPr>
    <w:rPr>
      <w:rFonts w:ascii="ITC Avant Garde" w:eastAsiaTheme="majorEastAsia" w:hAnsi="ITC Avant Garde" w:cstheme="majorBidi"/>
      <w:sz w:val="22"/>
      <w:szCs w:val="26"/>
    </w:rPr>
  </w:style>
  <w:style w:type="paragraph" w:styleId="Ttulo3">
    <w:name w:val="heading 3"/>
    <w:basedOn w:val="Normal"/>
    <w:next w:val="Normal"/>
    <w:link w:val="Ttulo3Car"/>
    <w:unhideWhenUsed/>
    <w:qFormat/>
    <w:rsid w:val="00DA5CA5"/>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nhideWhenUsed/>
    <w:qFormat/>
    <w:rsid w:val="00850B5A"/>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qFormat/>
    <w:rsid w:val="0097328C"/>
    <w:pPr>
      <w:keepNext/>
      <w:jc w:val="center"/>
      <w:outlineLvl w:val="4"/>
    </w:pPr>
    <w:rPr>
      <w:b/>
    </w:rPr>
  </w:style>
  <w:style w:type="paragraph" w:styleId="Ttulo6">
    <w:name w:val="heading 6"/>
    <w:basedOn w:val="Normal"/>
    <w:next w:val="Normal"/>
    <w:qFormat/>
    <w:rsid w:val="0097328C"/>
    <w:pPr>
      <w:keepNext/>
      <w:jc w:val="center"/>
      <w:outlineLvl w:val="5"/>
    </w:pPr>
    <w:rPr>
      <w:b/>
      <w:sz w:val="19"/>
    </w:rPr>
  </w:style>
  <w:style w:type="paragraph" w:styleId="Ttulo7">
    <w:name w:val="heading 7"/>
    <w:basedOn w:val="Normal"/>
    <w:next w:val="Normal"/>
    <w:qFormat/>
    <w:rsid w:val="0097328C"/>
    <w:pPr>
      <w:keepNext/>
      <w:spacing w:before="240"/>
      <w:outlineLvl w:val="6"/>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328C"/>
    <w:pPr>
      <w:jc w:val="both"/>
    </w:pPr>
  </w:style>
  <w:style w:type="paragraph" w:styleId="Puesto">
    <w:name w:val="Title"/>
    <w:basedOn w:val="Normal"/>
    <w:qFormat/>
    <w:rsid w:val="0097328C"/>
    <w:pPr>
      <w:jc w:val="center"/>
    </w:pPr>
    <w:rPr>
      <w:b/>
      <w:sz w:val="20"/>
    </w:rPr>
  </w:style>
  <w:style w:type="paragraph" w:styleId="Textodeglobo">
    <w:name w:val="Balloon Text"/>
    <w:basedOn w:val="Normal"/>
    <w:semiHidden/>
    <w:rsid w:val="00A209A4"/>
    <w:rPr>
      <w:rFonts w:ascii="Tahoma" w:hAnsi="Tahoma" w:cs="Tahoma"/>
      <w:sz w:val="16"/>
      <w:szCs w:val="16"/>
    </w:rPr>
  </w:style>
  <w:style w:type="paragraph" w:styleId="Piedepgina">
    <w:name w:val="footer"/>
    <w:basedOn w:val="Normal"/>
    <w:rsid w:val="00511255"/>
    <w:pPr>
      <w:tabs>
        <w:tab w:val="center" w:pos="4252"/>
        <w:tab w:val="right" w:pos="8504"/>
      </w:tabs>
    </w:pPr>
  </w:style>
  <w:style w:type="character" w:styleId="Nmerodepgina">
    <w:name w:val="page number"/>
    <w:basedOn w:val="Fuentedeprrafopredeter"/>
    <w:rsid w:val="00511255"/>
  </w:style>
  <w:style w:type="paragraph" w:styleId="Encabezado">
    <w:name w:val="header"/>
    <w:basedOn w:val="Normal"/>
    <w:link w:val="EncabezadoCar"/>
    <w:uiPriority w:val="99"/>
    <w:rsid w:val="00511255"/>
    <w:pPr>
      <w:tabs>
        <w:tab w:val="center" w:pos="4252"/>
        <w:tab w:val="right" w:pos="8504"/>
      </w:tabs>
    </w:pPr>
  </w:style>
  <w:style w:type="table" w:styleId="Tablaconcuadrcula">
    <w:name w:val="Table Grid"/>
    <w:basedOn w:val="Tablanormal"/>
    <w:uiPriority w:val="59"/>
    <w:rsid w:val="00832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92A13"/>
    <w:pPr>
      <w:spacing w:before="100" w:beforeAutospacing="1" w:after="100" w:afterAutospacing="1"/>
    </w:pPr>
    <w:rPr>
      <w:rFonts w:ascii="Times New Roman" w:hAnsi="Times New Roman"/>
      <w:szCs w:val="24"/>
      <w:lang w:val="es-ES"/>
    </w:rPr>
  </w:style>
  <w:style w:type="paragraph" w:customStyle="1" w:styleId="texto">
    <w:name w:val="texto"/>
    <w:basedOn w:val="Normal"/>
    <w:rsid w:val="00884041"/>
    <w:pPr>
      <w:spacing w:after="101" w:line="216" w:lineRule="atLeast"/>
      <w:ind w:firstLine="288"/>
      <w:jc w:val="both"/>
    </w:pPr>
    <w:rPr>
      <w:rFonts w:cs="Arial"/>
      <w:sz w:val="18"/>
      <w:lang w:val="es-ES_tradnl" w:eastAsia="es-MX"/>
    </w:rPr>
  </w:style>
  <w:style w:type="paragraph" w:styleId="Prrafodelista">
    <w:name w:val="List Paragraph"/>
    <w:basedOn w:val="Normal"/>
    <w:link w:val="PrrafodelistaCar"/>
    <w:uiPriority w:val="34"/>
    <w:qFormat/>
    <w:rsid w:val="00017AF6"/>
    <w:pPr>
      <w:ind w:left="708"/>
    </w:pPr>
  </w:style>
  <w:style w:type="character" w:customStyle="1" w:styleId="TextoindependienteCar">
    <w:name w:val="Texto independiente Car"/>
    <w:link w:val="Textoindependiente"/>
    <w:rsid w:val="007B5A89"/>
    <w:rPr>
      <w:rFonts w:ascii="Arial" w:hAnsi="Arial"/>
      <w:sz w:val="24"/>
      <w:lang w:val="es-MX"/>
    </w:rPr>
  </w:style>
  <w:style w:type="character" w:styleId="Refdecomentario">
    <w:name w:val="annotation reference"/>
    <w:basedOn w:val="Fuentedeprrafopredeter"/>
    <w:semiHidden/>
    <w:unhideWhenUsed/>
    <w:rsid w:val="00650806"/>
    <w:rPr>
      <w:sz w:val="16"/>
      <w:szCs w:val="16"/>
    </w:rPr>
  </w:style>
  <w:style w:type="paragraph" w:styleId="Textocomentario">
    <w:name w:val="annotation text"/>
    <w:basedOn w:val="Normal"/>
    <w:link w:val="TextocomentarioCar"/>
    <w:semiHidden/>
    <w:unhideWhenUsed/>
    <w:rsid w:val="00650806"/>
    <w:rPr>
      <w:sz w:val="20"/>
    </w:rPr>
  </w:style>
  <w:style w:type="character" w:customStyle="1" w:styleId="TextocomentarioCar">
    <w:name w:val="Texto comentario Car"/>
    <w:basedOn w:val="Fuentedeprrafopredeter"/>
    <w:link w:val="Textocomentario"/>
    <w:semiHidden/>
    <w:rsid w:val="00650806"/>
    <w:rPr>
      <w:rFonts w:ascii="Arial" w:hAnsi="Arial"/>
      <w:lang w:val="es-MX"/>
    </w:rPr>
  </w:style>
  <w:style w:type="paragraph" w:styleId="Asuntodelcomentario">
    <w:name w:val="annotation subject"/>
    <w:basedOn w:val="Textocomentario"/>
    <w:next w:val="Textocomentario"/>
    <w:link w:val="AsuntodelcomentarioCar"/>
    <w:semiHidden/>
    <w:unhideWhenUsed/>
    <w:rsid w:val="00650806"/>
    <w:rPr>
      <w:b/>
      <w:bCs/>
    </w:rPr>
  </w:style>
  <w:style w:type="character" w:customStyle="1" w:styleId="AsuntodelcomentarioCar">
    <w:name w:val="Asunto del comentario Car"/>
    <w:basedOn w:val="TextocomentarioCar"/>
    <w:link w:val="Asuntodelcomentario"/>
    <w:semiHidden/>
    <w:rsid w:val="00650806"/>
    <w:rPr>
      <w:rFonts w:ascii="Arial" w:hAnsi="Arial"/>
      <w:b/>
      <w:bCs/>
      <w:lang w:val="es-MX"/>
    </w:rPr>
  </w:style>
  <w:style w:type="paragraph" w:styleId="Textodebloque">
    <w:name w:val="Block Text"/>
    <w:basedOn w:val="Normal"/>
    <w:rsid w:val="001241F5"/>
    <w:pPr>
      <w:tabs>
        <w:tab w:val="left" w:pos="8910"/>
      </w:tabs>
      <w:ind w:left="720" w:right="720"/>
      <w:jc w:val="both"/>
    </w:pPr>
    <w:rPr>
      <w:lang w:eastAsia="en-US"/>
    </w:rPr>
  </w:style>
  <w:style w:type="character" w:customStyle="1" w:styleId="EncabezadoCar">
    <w:name w:val="Encabezado Car"/>
    <w:basedOn w:val="Fuentedeprrafopredeter"/>
    <w:link w:val="Encabezado"/>
    <w:uiPriority w:val="99"/>
    <w:rsid w:val="005D5A8D"/>
    <w:rPr>
      <w:rFonts w:ascii="Arial" w:hAnsi="Arial"/>
      <w:sz w:val="24"/>
      <w:lang w:val="es-MX"/>
    </w:rPr>
  </w:style>
  <w:style w:type="paragraph" w:styleId="Revisin">
    <w:name w:val="Revision"/>
    <w:hidden/>
    <w:uiPriority w:val="99"/>
    <w:semiHidden/>
    <w:rsid w:val="00731E83"/>
    <w:rPr>
      <w:rFonts w:ascii="Arial" w:hAnsi="Arial"/>
      <w:sz w:val="24"/>
      <w:lang w:val="es-MX"/>
    </w:rPr>
  </w:style>
  <w:style w:type="paragraph" w:styleId="Listaconvietas">
    <w:name w:val="List Bullet"/>
    <w:basedOn w:val="Normal"/>
    <w:unhideWhenUsed/>
    <w:rsid w:val="00907CAC"/>
    <w:pPr>
      <w:numPr>
        <w:numId w:val="31"/>
      </w:numPr>
      <w:contextualSpacing/>
    </w:pPr>
  </w:style>
  <w:style w:type="paragraph" w:styleId="Textonotapie">
    <w:name w:val="footnote text"/>
    <w:basedOn w:val="Normal"/>
    <w:link w:val="TextonotapieCar"/>
    <w:uiPriority w:val="99"/>
    <w:semiHidden/>
    <w:unhideWhenUsed/>
    <w:rsid w:val="008225D4"/>
    <w:rPr>
      <w:rFonts w:asciiTheme="minorHAnsi" w:eastAsiaTheme="minorHAnsi" w:hAnsiTheme="minorHAnsi" w:cstheme="minorBidi"/>
      <w:sz w:val="20"/>
      <w:lang w:eastAsia="en-US"/>
    </w:rPr>
  </w:style>
  <w:style w:type="character" w:customStyle="1" w:styleId="TextonotapieCar">
    <w:name w:val="Texto nota pie Car"/>
    <w:basedOn w:val="Fuentedeprrafopredeter"/>
    <w:link w:val="Textonotapie"/>
    <w:uiPriority w:val="99"/>
    <w:semiHidden/>
    <w:rsid w:val="008225D4"/>
    <w:rPr>
      <w:rFonts w:asciiTheme="minorHAnsi" w:eastAsiaTheme="minorHAnsi" w:hAnsiTheme="minorHAnsi" w:cstheme="minorBidi"/>
      <w:lang w:val="es-MX" w:eastAsia="en-US"/>
    </w:rPr>
  </w:style>
  <w:style w:type="character" w:styleId="Refdenotaalpie">
    <w:name w:val="footnote reference"/>
    <w:basedOn w:val="Fuentedeprrafopredeter"/>
    <w:uiPriority w:val="99"/>
    <w:semiHidden/>
    <w:unhideWhenUsed/>
    <w:rsid w:val="008225D4"/>
    <w:rPr>
      <w:vertAlign w:val="superscript"/>
    </w:rPr>
  </w:style>
  <w:style w:type="character" w:customStyle="1" w:styleId="PrrafodelistaCar">
    <w:name w:val="Párrafo de lista Car"/>
    <w:link w:val="Prrafodelista"/>
    <w:uiPriority w:val="34"/>
    <w:locked/>
    <w:rsid w:val="008225D4"/>
    <w:rPr>
      <w:rFonts w:ascii="Arial" w:hAnsi="Arial"/>
      <w:sz w:val="24"/>
      <w:lang w:val="es-MX"/>
    </w:rPr>
  </w:style>
  <w:style w:type="paragraph" w:customStyle="1" w:styleId="estilo30">
    <w:name w:val="estilo30"/>
    <w:basedOn w:val="Normal"/>
    <w:rsid w:val="00191670"/>
    <w:pPr>
      <w:spacing w:before="100" w:beforeAutospacing="1" w:after="100" w:afterAutospacing="1"/>
    </w:pPr>
    <w:rPr>
      <w:rFonts w:ascii="Times New Roman" w:hAnsi="Times New Roman"/>
      <w:szCs w:val="24"/>
      <w:lang w:eastAsia="es-MX"/>
    </w:rPr>
  </w:style>
  <w:style w:type="character" w:customStyle="1" w:styleId="Ttulo1Car">
    <w:name w:val="Título 1 Car"/>
    <w:basedOn w:val="Fuentedeprrafopredeter"/>
    <w:link w:val="Ttulo1"/>
    <w:rsid w:val="00DA5CA5"/>
    <w:rPr>
      <w:rFonts w:asciiTheme="majorHAnsi" w:eastAsiaTheme="majorEastAsia" w:hAnsiTheme="majorHAnsi" w:cstheme="majorBidi"/>
      <w:color w:val="365F91" w:themeColor="accent1" w:themeShade="BF"/>
      <w:sz w:val="32"/>
      <w:szCs w:val="32"/>
      <w:lang w:val="es-MX"/>
    </w:rPr>
  </w:style>
  <w:style w:type="character" w:customStyle="1" w:styleId="Ttulo2Car">
    <w:name w:val="Título 2 Car"/>
    <w:basedOn w:val="Fuentedeprrafopredeter"/>
    <w:link w:val="Ttulo2"/>
    <w:rsid w:val="00657D7B"/>
    <w:rPr>
      <w:rFonts w:ascii="ITC Avant Garde" w:eastAsiaTheme="majorEastAsia" w:hAnsi="ITC Avant Garde" w:cstheme="majorBidi"/>
      <w:sz w:val="22"/>
      <w:szCs w:val="26"/>
      <w:lang w:val="es-MX"/>
    </w:rPr>
  </w:style>
  <w:style w:type="character" w:customStyle="1" w:styleId="Ttulo3Car">
    <w:name w:val="Título 3 Car"/>
    <w:basedOn w:val="Fuentedeprrafopredeter"/>
    <w:link w:val="Ttulo3"/>
    <w:rsid w:val="00DA5CA5"/>
    <w:rPr>
      <w:rFonts w:asciiTheme="majorHAnsi" w:eastAsiaTheme="majorEastAsia" w:hAnsiTheme="majorHAnsi" w:cstheme="majorBidi"/>
      <w:color w:val="243F60" w:themeColor="accent1" w:themeShade="7F"/>
      <w:sz w:val="24"/>
      <w:szCs w:val="24"/>
      <w:lang w:val="es-MX"/>
    </w:rPr>
  </w:style>
  <w:style w:type="character" w:customStyle="1" w:styleId="Ttulo4Car">
    <w:name w:val="Título 4 Car"/>
    <w:basedOn w:val="Fuentedeprrafopredeter"/>
    <w:link w:val="Ttulo4"/>
    <w:rsid w:val="00850B5A"/>
    <w:rPr>
      <w:rFonts w:asciiTheme="majorHAnsi" w:eastAsiaTheme="majorEastAsia" w:hAnsiTheme="majorHAnsi" w:cstheme="majorBidi"/>
      <w:i/>
      <w:iCs/>
      <w:color w:val="365F91" w:themeColor="accent1" w:themeShade="BF"/>
      <w:sz w:val="24"/>
      <w:lang w:val="es-MX"/>
    </w:rPr>
  </w:style>
  <w:style w:type="table" w:styleId="Cuadrculadetablaclara">
    <w:name w:val="Grid Table Light"/>
    <w:basedOn w:val="Tablanormal"/>
    <w:uiPriority w:val="40"/>
    <w:rsid w:val="00657D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0677">
      <w:bodyDiv w:val="1"/>
      <w:marLeft w:val="0"/>
      <w:marRight w:val="0"/>
      <w:marTop w:val="0"/>
      <w:marBottom w:val="0"/>
      <w:divBdr>
        <w:top w:val="none" w:sz="0" w:space="0" w:color="auto"/>
        <w:left w:val="none" w:sz="0" w:space="0" w:color="auto"/>
        <w:bottom w:val="none" w:sz="0" w:space="0" w:color="auto"/>
        <w:right w:val="none" w:sz="0" w:space="0" w:color="auto"/>
      </w:divBdr>
    </w:div>
    <w:div w:id="70782998">
      <w:bodyDiv w:val="1"/>
      <w:marLeft w:val="0"/>
      <w:marRight w:val="0"/>
      <w:marTop w:val="0"/>
      <w:marBottom w:val="0"/>
      <w:divBdr>
        <w:top w:val="none" w:sz="0" w:space="0" w:color="auto"/>
        <w:left w:val="none" w:sz="0" w:space="0" w:color="auto"/>
        <w:bottom w:val="none" w:sz="0" w:space="0" w:color="auto"/>
        <w:right w:val="none" w:sz="0" w:space="0" w:color="auto"/>
      </w:divBdr>
    </w:div>
    <w:div w:id="175661303">
      <w:bodyDiv w:val="1"/>
      <w:marLeft w:val="0"/>
      <w:marRight w:val="0"/>
      <w:marTop w:val="0"/>
      <w:marBottom w:val="0"/>
      <w:divBdr>
        <w:top w:val="none" w:sz="0" w:space="0" w:color="auto"/>
        <w:left w:val="none" w:sz="0" w:space="0" w:color="auto"/>
        <w:bottom w:val="none" w:sz="0" w:space="0" w:color="auto"/>
        <w:right w:val="none" w:sz="0" w:space="0" w:color="auto"/>
      </w:divBdr>
    </w:div>
    <w:div w:id="193423008">
      <w:bodyDiv w:val="1"/>
      <w:marLeft w:val="0"/>
      <w:marRight w:val="0"/>
      <w:marTop w:val="0"/>
      <w:marBottom w:val="0"/>
      <w:divBdr>
        <w:top w:val="none" w:sz="0" w:space="0" w:color="auto"/>
        <w:left w:val="none" w:sz="0" w:space="0" w:color="auto"/>
        <w:bottom w:val="none" w:sz="0" w:space="0" w:color="auto"/>
        <w:right w:val="none" w:sz="0" w:space="0" w:color="auto"/>
      </w:divBdr>
    </w:div>
    <w:div w:id="208886407">
      <w:bodyDiv w:val="1"/>
      <w:marLeft w:val="0"/>
      <w:marRight w:val="0"/>
      <w:marTop w:val="0"/>
      <w:marBottom w:val="0"/>
      <w:divBdr>
        <w:top w:val="none" w:sz="0" w:space="0" w:color="auto"/>
        <w:left w:val="none" w:sz="0" w:space="0" w:color="auto"/>
        <w:bottom w:val="none" w:sz="0" w:space="0" w:color="auto"/>
        <w:right w:val="none" w:sz="0" w:space="0" w:color="auto"/>
      </w:divBdr>
    </w:div>
    <w:div w:id="273174041">
      <w:bodyDiv w:val="1"/>
      <w:marLeft w:val="0"/>
      <w:marRight w:val="0"/>
      <w:marTop w:val="0"/>
      <w:marBottom w:val="0"/>
      <w:divBdr>
        <w:top w:val="none" w:sz="0" w:space="0" w:color="auto"/>
        <w:left w:val="none" w:sz="0" w:space="0" w:color="auto"/>
        <w:bottom w:val="none" w:sz="0" w:space="0" w:color="auto"/>
        <w:right w:val="none" w:sz="0" w:space="0" w:color="auto"/>
      </w:divBdr>
    </w:div>
    <w:div w:id="292293644">
      <w:bodyDiv w:val="1"/>
      <w:marLeft w:val="0"/>
      <w:marRight w:val="0"/>
      <w:marTop w:val="0"/>
      <w:marBottom w:val="0"/>
      <w:divBdr>
        <w:top w:val="none" w:sz="0" w:space="0" w:color="auto"/>
        <w:left w:val="none" w:sz="0" w:space="0" w:color="auto"/>
        <w:bottom w:val="none" w:sz="0" w:space="0" w:color="auto"/>
        <w:right w:val="none" w:sz="0" w:space="0" w:color="auto"/>
      </w:divBdr>
    </w:div>
    <w:div w:id="327949215">
      <w:bodyDiv w:val="1"/>
      <w:marLeft w:val="0"/>
      <w:marRight w:val="0"/>
      <w:marTop w:val="0"/>
      <w:marBottom w:val="0"/>
      <w:divBdr>
        <w:top w:val="none" w:sz="0" w:space="0" w:color="auto"/>
        <w:left w:val="none" w:sz="0" w:space="0" w:color="auto"/>
        <w:bottom w:val="none" w:sz="0" w:space="0" w:color="auto"/>
        <w:right w:val="none" w:sz="0" w:space="0" w:color="auto"/>
      </w:divBdr>
    </w:div>
    <w:div w:id="328288964">
      <w:bodyDiv w:val="1"/>
      <w:marLeft w:val="0"/>
      <w:marRight w:val="0"/>
      <w:marTop w:val="0"/>
      <w:marBottom w:val="0"/>
      <w:divBdr>
        <w:top w:val="none" w:sz="0" w:space="0" w:color="auto"/>
        <w:left w:val="none" w:sz="0" w:space="0" w:color="auto"/>
        <w:bottom w:val="none" w:sz="0" w:space="0" w:color="auto"/>
        <w:right w:val="none" w:sz="0" w:space="0" w:color="auto"/>
      </w:divBdr>
    </w:div>
    <w:div w:id="387414083">
      <w:bodyDiv w:val="1"/>
      <w:marLeft w:val="0"/>
      <w:marRight w:val="0"/>
      <w:marTop w:val="0"/>
      <w:marBottom w:val="0"/>
      <w:divBdr>
        <w:top w:val="none" w:sz="0" w:space="0" w:color="auto"/>
        <w:left w:val="none" w:sz="0" w:space="0" w:color="auto"/>
        <w:bottom w:val="none" w:sz="0" w:space="0" w:color="auto"/>
        <w:right w:val="none" w:sz="0" w:space="0" w:color="auto"/>
      </w:divBdr>
    </w:div>
    <w:div w:id="408962801">
      <w:bodyDiv w:val="1"/>
      <w:marLeft w:val="0"/>
      <w:marRight w:val="0"/>
      <w:marTop w:val="0"/>
      <w:marBottom w:val="0"/>
      <w:divBdr>
        <w:top w:val="none" w:sz="0" w:space="0" w:color="auto"/>
        <w:left w:val="none" w:sz="0" w:space="0" w:color="auto"/>
        <w:bottom w:val="none" w:sz="0" w:space="0" w:color="auto"/>
        <w:right w:val="none" w:sz="0" w:space="0" w:color="auto"/>
      </w:divBdr>
    </w:div>
    <w:div w:id="474953801">
      <w:bodyDiv w:val="1"/>
      <w:marLeft w:val="0"/>
      <w:marRight w:val="0"/>
      <w:marTop w:val="0"/>
      <w:marBottom w:val="0"/>
      <w:divBdr>
        <w:top w:val="none" w:sz="0" w:space="0" w:color="auto"/>
        <w:left w:val="none" w:sz="0" w:space="0" w:color="auto"/>
        <w:bottom w:val="none" w:sz="0" w:space="0" w:color="auto"/>
        <w:right w:val="none" w:sz="0" w:space="0" w:color="auto"/>
      </w:divBdr>
    </w:div>
    <w:div w:id="567542836">
      <w:bodyDiv w:val="1"/>
      <w:marLeft w:val="0"/>
      <w:marRight w:val="0"/>
      <w:marTop w:val="0"/>
      <w:marBottom w:val="0"/>
      <w:divBdr>
        <w:top w:val="none" w:sz="0" w:space="0" w:color="auto"/>
        <w:left w:val="none" w:sz="0" w:space="0" w:color="auto"/>
        <w:bottom w:val="none" w:sz="0" w:space="0" w:color="auto"/>
        <w:right w:val="none" w:sz="0" w:space="0" w:color="auto"/>
      </w:divBdr>
    </w:div>
    <w:div w:id="568274242">
      <w:bodyDiv w:val="1"/>
      <w:marLeft w:val="0"/>
      <w:marRight w:val="0"/>
      <w:marTop w:val="0"/>
      <w:marBottom w:val="0"/>
      <w:divBdr>
        <w:top w:val="none" w:sz="0" w:space="0" w:color="auto"/>
        <w:left w:val="none" w:sz="0" w:space="0" w:color="auto"/>
        <w:bottom w:val="none" w:sz="0" w:space="0" w:color="auto"/>
        <w:right w:val="none" w:sz="0" w:space="0" w:color="auto"/>
      </w:divBdr>
    </w:div>
    <w:div w:id="572735487">
      <w:bodyDiv w:val="1"/>
      <w:marLeft w:val="0"/>
      <w:marRight w:val="0"/>
      <w:marTop w:val="0"/>
      <w:marBottom w:val="0"/>
      <w:divBdr>
        <w:top w:val="none" w:sz="0" w:space="0" w:color="auto"/>
        <w:left w:val="none" w:sz="0" w:space="0" w:color="auto"/>
        <w:bottom w:val="none" w:sz="0" w:space="0" w:color="auto"/>
        <w:right w:val="none" w:sz="0" w:space="0" w:color="auto"/>
      </w:divBdr>
    </w:div>
    <w:div w:id="590116303">
      <w:bodyDiv w:val="1"/>
      <w:marLeft w:val="0"/>
      <w:marRight w:val="0"/>
      <w:marTop w:val="0"/>
      <w:marBottom w:val="0"/>
      <w:divBdr>
        <w:top w:val="none" w:sz="0" w:space="0" w:color="auto"/>
        <w:left w:val="none" w:sz="0" w:space="0" w:color="auto"/>
        <w:bottom w:val="none" w:sz="0" w:space="0" w:color="auto"/>
        <w:right w:val="none" w:sz="0" w:space="0" w:color="auto"/>
      </w:divBdr>
    </w:div>
    <w:div w:id="591353246">
      <w:bodyDiv w:val="1"/>
      <w:marLeft w:val="0"/>
      <w:marRight w:val="0"/>
      <w:marTop w:val="0"/>
      <w:marBottom w:val="0"/>
      <w:divBdr>
        <w:top w:val="none" w:sz="0" w:space="0" w:color="auto"/>
        <w:left w:val="none" w:sz="0" w:space="0" w:color="auto"/>
        <w:bottom w:val="none" w:sz="0" w:space="0" w:color="auto"/>
        <w:right w:val="none" w:sz="0" w:space="0" w:color="auto"/>
      </w:divBdr>
    </w:div>
    <w:div w:id="617837034">
      <w:bodyDiv w:val="1"/>
      <w:marLeft w:val="0"/>
      <w:marRight w:val="0"/>
      <w:marTop w:val="0"/>
      <w:marBottom w:val="0"/>
      <w:divBdr>
        <w:top w:val="none" w:sz="0" w:space="0" w:color="auto"/>
        <w:left w:val="none" w:sz="0" w:space="0" w:color="auto"/>
        <w:bottom w:val="none" w:sz="0" w:space="0" w:color="auto"/>
        <w:right w:val="none" w:sz="0" w:space="0" w:color="auto"/>
      </w:divBdr>
    </w:div>
    <w:div w:id="650140603">
      <w:bodyDiv w:val="1"/>
      <w:marLeft w:val="0"/>
      <w:marRight w:val="0"/>
      <w:marTop w:val="0"/>
      <w:marBottom w:val="0"/>
      <w:divBdr>
        <w:top w:val="none" w:sz="0" w:space="0" w:color="auto"/>
        <w:left w:val="none" w:sz="0" w:space="0" w:color="auto"/>
        <w:bottom w:val="none" w:sz="0" w:space="0" w:color="auto"/>
        <w:right w:val="none" w:sz="0" w:space="0" w:color="auto"/>
      </w:divBdr>
    </w:div>
    <w:div w:id="709841884">
      <w:bodyDiv w:val="1"/>
      <w:marLeft w:val="0"/>
      <w:marRight w:val="0"/>
      <w:marTop w:val="0"/>
      <w:marBottom w:val="0"/>
      <w:divBdr>
        <w:top w:val="none" w:sz="0" w:space="0" w:color="auto"/>
        <w:left w:val="none" w:sz="0" w:space="0" w:color="auto"/>
        <w:bottom w:val="none" w:sz="0" w:space="0" w:color="auto"/>
        <w:right w:val="none" w:sz="0" w:space="0" w:color="auto"/>
      </w:divBdr>
    </w:div>
    <w:div w:id="717513798">
      <w:bodyDiv w:val="1"/>
      <w:marLeft w:val="0"/>
      <w:marRight w:val="0"/>
      <w:marTop w:val="0"/>
      <w:marBottom w:val="0"/>
      <w:divBdr>
        <w:top w:val="none" w:sz="0" w:space="0" w:color="auto"/>
        <w:left w:val="none" w:sz="0" w:space="0" w:color="auto"/>
        <w:bottom w:val="none" w:sz="0" w:space="0" w:color="auto"/>
        <w:right w:val="none" w:sz="0" w:space="0" w:color="auto"/>
      </w:divBdr>
    </w:div>
    <w:div w:id="738747778">
      <w:bodyDiv w:val="1"/>
      <w:marLeft w:val="0"/>
      <w:marRight w:val="0"/>
      <w:marTop w:val="0"/>
      <w:marBottom w:val="0"/>
      <w:divBdr>
        <w:top w:val="none" w:sz="0" w:space="0" w:color="auto"/>
        <w:left w:val="none" w:sz="0" w:space="0" w:color="auto"/>
        <w:bottom w:val="none" w:sz="0" w:space="0" w:color="auto"/>
        <w:right w:val="none" w:sz="0" w:space="0" w:color="auto"/>
      </w:divBdr>
    </w:div>
    <w:div w:id="756706967">
      <w:bodyDiv w:val="1"/>
      <w:marLeft w:val="0"/>
      <w:marRight w:val="0"/>
      <w:marTop w:val="0"/>
      <w:marBottom w:val="0"/>
      <w:divBdr>
        <w:top w:val="none" w:sz="0" w:space="0" w:color="auto"/>
        <w:left w:val="none" w:sz="0" w:space="0" w:color="auto"/>
        <w:bottom w:val="none" w:sz="0" w:space="0" w:color="auto"/>
        <w:right w:val="none" w:sz="0" w:space="0" w:color="auto"/>
      </w:divBdr>
    </w:div>
    <w:div w:id="908419801">
      <w:bodyDiv w:val="1"/>
      <w:marLeft w:val="0"/>
      <w:marRight w:val="0"/>
      <w:marTop w:val="0"/>
      <w:marBottom w:val="0"/>
      <w:divBdr>
        <w:top w:val="none" w:sz="0" w:space="0" w:color="auto"/>
        <w:left w:val="none" w:sz="0" w:space="0" w:color="auto"/>
        <w:bottom w:val="none" w:sz="0" w:space="0" w:color="auto"/>
        <w:right w:val="none" w:sz="0" w:space="0" w:color="auto"/>
      </w:divBdr>
    </w:div>
    <w:div w:id="989016036">
      <w:bodyDiv w:val="1"/>
      <w:marLeft w:val="0"/>
      <w:marRight w:val="0"/>
      <w:marTop w:val="0"/>
      <w:marBottom w:val="0"/>
      <w:divBdr>
        <w:top w:val="none" w:sz="0" w:space="0" w:color="auto"/>
        <w:left w:val="none" w:sz="0" w:space="0" w:color="auto"/>
        <w:bottom w:val="none" w:sz="0" w:space="0" w:color="auto"/>
        <w:right w:val="none" w:sz="0" w:space="0" w:color="auto"/>
      </w:divBdr>
    </w:div>
    <w:div w:id="1135679482">
      <w:bodyDiv w:val="1"/>
      <w:marLeft w:val="0"/>
      <w:marRight w:val="0"/>
      <w:marTop w:val="0"/>
      <w:marBottom w:val="0"/>
      <w:divBdr>
        <w:top w:val="none" w:sz="0" w:space="0" w:color="auto"/>
        <w:left w:val="none" w:sz="0" w:space="0" w:color="auto"/>
        <w:bottom w:val="none" w:sz="0" w:space="0" w:color="auto"/>
        <w:right w:val="none" w:sz="0" w:space="0" w:color="auto"/>
      </w:divBdr>
    </w:div>
    <w:div w:id="1265456220">
      <w:bodyDiv w:val="1"/>
      <w:marLeft w:val="0"/>
      <w:marRight w:val="0"/>
      <w:marTop w:val="0"/>
      <w:marBottom w:val="0"/>
      <w:divBdr>
        <w:top w:val="none" w:sz="0" w:space="0" w:color="auto"/>
        <w:left w:val="none" w:sz="0" w:space="0" w:color="auto"/>
        <w:bottom w:val="none" w:sz="0" w:space="0" w:color="auto"/>
        <w:right w:val="none" w:sz="0" w:space="0" w:color="auto"/>
      </w:divBdr>
    </w:div>
    <w:div w:id="1269119520">
      <w:bodyDiv w:val="1"/>
      <w:marLeft w:val="0"/>
      <w:marRight w:val="0"/>
      <w:marTop w:val="0"/>
      <w:marBottom w:val="0"/>
      <w:divBdr>
        <w:top w:val="none" w:sz="0" w:space="0" w:color="auto"/>
        <w:left w:val="none" w:sz="0" w:space="0" w:color="auto"/>
        <w:bottom w:val="none" w:sz="0" w:space="0" w:color="auto"/>
        <w:right w:val="none" w:sz="0" w:space="0" w:color="auto"/>
      </w:divBdr>
    </w:div>
    <w:div w:id="1393967036">
      <w:bodyDiv w:val="1"/>
      <w:marLeft w:val="0"/>
      <w:marRight w:val="0"/>
      <w:marTop w:val="0"/>
      <w:marBottom w:val="0"/>
      <w:divBdr>
        <w:top w:val="none" w:sz="0" w:space="0" w:color="auto"/>
        <w:left w:val="none" w:sz="0" w:space="0" w:color="auto"/>
        <w:bottom w:val="none" w:sz="0" w:space="0" w:color="auto"/>
        <w:right w:val="none" w:sz="0" w:space="0" w:color="auto"/>
      </w:divBdr>
    </w:div>
    <w:div w:id="1415512368">
      <w:bodyDiv w:val="1"/>
      <w:marLeft w:val="0"/>
      <w:marRight w:val="0"/>
      <w:marTop w:val="0"/>
      <w:marBottom w:val="0"/>
      <w:divBdr>
        <w:top w:val="none" w:sz="0" w:space="0" w:color="auto"/>
        <w:left w:val="none" w:sz="0" w:space="0" w:color="auto"/>
        <w:bottom w:val="none" w:sz="0" w:space="0" w:color="auto"/>
        <w:right w:val="none" w:sz="0" w:space="0" w:color="auto"/>
      </w:divBdr>
    </w:div>
    <w:div w:id="1522627947">
      <w:bodyDiv w:val="1"/>
      <w:marLeft w:val="0"/>
      <w:marRight w:val="0"/>
      <w:marTop w:val="0"/>
      <w:marBottom w:val="0"/>
      <w:divBdr>
        <w:top w:val="none" w:sz="0" w:space="0" w:color="auto"/>
        <w:left w:val="none" w:sz="0" w:space="0" w:color="auto"/>
        <w:bottom w:val="none" w:sz="0" w:space="0" w:color="auto"/>
        <w:right w:val="none" w:sz="0" w:space="0" w:color="auto"/>
      </w:divBdr>
    </w:div>
    <w:div w:id="1542087171">
      <w:bodyDiv w:val="1"/>
      <w:marLeft w:val="0"/>
      <w:marRight w:val="0"/>
      <w:marTop w:val="0"/>
      <w:marBottom w:val="0"/>
      <w:divBdr>
        <w:top w:val="none" w:sz="0" w:space="0" w:color="auto"/>
        <w:left w:val="none" w:sz="0" w:space="0" w:color="auto"/>
        <w:bottom w:val="none" w:sz="0" w:space="0" w:color="auto"/>
        <w:right w:val="none" w:sz="0" w:space="0" w:color="auto"/>
      </w:divBdr>
    </w:div>
    <w:div w:id="1782332162">
      <w:bodyDiv w:val="1"/>
      <w:marLeft w:val="0"/>
      <w:marRight w:val="0"/>
      <w:marTop w:val="0"/>
      <w:marBottom w:val="0"/>
      <w:divBdr>
        <w:top w:val="none" w:sz="0" w:space="0" w:color="auto"/>
        <w:left w:val="none" w:sz="0" w:space="0" w:color="auto"/>
        <w:bottom w:val="none" w:sz="0" w:space="0" w:color="auto"/>
        <w:right w:val="none" w:sz="0" w:space="0" w:color="auto"/>
      </w:divBdr>
    </w:div>
    <w:div w:id="1807966531">
      <w:bodyDiv w:val="1"/>
      <w:marLeft w:val="0"/>
      <w:marRight w:val="0"/>
      <w:marTop w:val="0"/>
      <w:marBottom w:val="0"/>
      <w:divBdr>
        <w:top w:val="none" w:sz="0" w:space="0" w:color="auto"/>
        <w:left w:val="none" w:sz="0" w:space="0" w:color="auto"/>
        <w:bottom w:val="none" w:sz="0" w:space="0" w:color="auto"/>
        <w:right w:val="none" w:sz="0" w:space="0" w:color="auto"/>
      </w:divBdr>
    </w:div>
    <w:div w:id="1823891877">
      <w:bodyDiv w:val="1"/>
      <w:marLeft w:val="0"/>
      <w:marRight w:val="0"/>
      <w:marTop w:val="0"/>
      <w:marBottom w:val="0"/>
      <w:divBdr>
        <w:top w:val="none" w:sz="0" w:space="0" w:color="auto"/>
        <w:left w:val="none" w:sz="0" w:space="0" w:color="auto"/>
        <w:bottom w:val="none" w:sz="0" w:space="0" w:color="auto"/>
        <w:right w:val="none" w:sz="0" w:space="0" w:color="auto"/>
      </w:divBdr>
    </w:div>
    <w:div w:id="1833717310">
      <w:bodyDiv w:val="1"/>
      <w:marLeft w:val="0"/>
      <w:marRight w:val="0"/>
      <w:marTop w:val="0"/>
      <w:marBottom w:val="0"/>
      <w:divBdr>
        <w:top w:val="none" w:sz="0" w:space="0" w:color="auto"/>
        <w:left w:val="none" w:sz="0" w:space="0" w:color="auto"/>
        <w:bottom w:val="none" w:sz="0" w:space="0" w:color="auto"/>
        <w:right w:val="none" w:sz="0" w:space="0" w:color="auto"/>
      </w:divBdr>
    </w:div>
    <w:div w:id="1957829155">
      <w:bodyDiv w:val="1"/>
      <w:marLeft w:val="0"/>
      <w:marRight w:val="0"/>
      <w:marTop w:val="0"/>
      <w:marBottom w:val="0"/>
      <w:divBdr>
        <w:top w:val="none" w:sz="0" w:space="0" w:color="auto"/>
        <w:left w:val="none" w:sz="0" w:space="0" w:color="auto"/>
        <w:bottom w:val="none" w:sz="0" w:space="0" w:color="auto"/>
        <w:right w:val="none" w:sz="0" w:space="0" w:color="auto"/>
      </w:divBdr>
    </w:div>
    <w:div w:id="1972975619">
      <w:bodyDiv w:val="1"/>
      <w:marLeft w:val="0"/>
      <w:marRight w:val="0"/>
      <w:marTop w:val="0"/>
      <w:marBottom w:val="0"/>
      <w:divBdr>
        <w:top w:val="none" w:sz="0" w:space="0" w:color="auto"/>
        <w:left w:val="none" w:sz="0" w:space="0" w:color="auto"/>
        <w:bottom w:val="none" w:sz="0" w:space="0" w:color="auto"/>
        <w:right w:val="none" w:sz="0" w:space="0" w:color="auto"/>
      </w:divBdr>
    </w:div>
    <w:div w:id="2013288742">
      <w:bodyDiv w:val="1"/>
      <w:marLeft w:val="0"/>
      <w:marRight w:val="0"/>
      <w:marTop w:val="0"/>
      <w:marBottom w:val="0"/>
      <w:divBdr>
        <w:top w:val="none" w:sz="0" w:space="0" w:color="auto"/>
        <w:left w:val="none" w:sz="0" w:space="0" w:color="auto"/>
        <w:bottom w:val="none" w:sz="0" w:space="0" w:color="auto"/>
        <w:right w:val="none" w:sz="0" w:space="0" w:color="auto"/>
      </w:divBdr>
    </w:div>
    <w:div w:id="2113279174">
      <w:bodyDiv w:val="1"/>
      <w:marLeft w:val="0"/>
      <w:marRight w:val="0"/>
      <w:marTop w:val="0"/>
      <w:marBottom w:val="0"/>
      <w:divBdr>
        <w:top w:val="none" w:sz="0" w:space="0" w:color="auto"/>
        <w:left w:val="none" w:sz="0" w:space="0" w:color="auto"/>
        <w:bottom w:val="none" w:sz="0" w:space="0" w:color="auto"/>
        <w:right w:val="none" w:sz="0" w:space="0" w:color="auto"/>
      </w:divBdr>
    </w:div>
    <w:div w:id="21342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60901-C268-428A-BE01-32CAF1C1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10422</Words>
  <Characters>57322</Characters>
  <Application>Microsoft Office Word</Application>
  <DocSecurity>0</DocSecurity>
  <Lines>477</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México, D</vt:lpstr>
      <vt:lpstr>México, D</vt:lpstr>
    </vt:vector>
  </TitlesOfParts>
  <Company>COFETEL</Company>
  <LinksUpToDate>false</LinksUpToDate>
  <CharactersWithSpaces>67609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México, D</dc:title>
  <dc:subject/>
  <dc:creator>Jose Roberto Flores Navarrete</dc:creator>
  <cp:keywords/>
  <cp:lastModifiedBy>Maria del Consuelo Gonzalez Moreno</cp:lastModifiedBy>
  <cp:revision>13</cp:revision>
  <cp:lastPrinted>2014-11-14T23:38:00Z</cp:lastPrinted>
  <dcterms:created xsi:type="dcterms:W3CDTF">2016-02-03T02:28:00Z</dcterms:created>
  <dcterms:modified xsi:type="dcterms:W3CDTF">2016-03-03T17:57:00Z</dcterms:modified>
</cp:coreProperties>
</file>