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EAC7DE" w14:textId="2987C682" w:rsidR="005B12CB" w:rsidRDefault="00E422DF" w:rsidP="00331ADC">
      <w:pPr>
        <w:pStyle w:val="Ttulo1"/>
        <w:rPr>
          <w:rFonts w:ascii="ITC Avant Garde" w:eastAsia="Calibri" w:hAnsi="ITC Avant Garde"/>
          <w:b/>
          <w:bCs/>
          <w:color w:val="000000"/>
          <w:sz w:val="22"/>
          <w:szCs w:val="22"/>
          <w:lang w:eastAsia="es-MX"/>
        </w:rPr>
      </w:pPr>
      <w:r w:rsidRPr="005902FA">
        <w:rPr>
          <w:rFonts w:ascii="ITC Avant Garde" w:eastAsia="Calibri" w:hAnsi="ITC Avant Garde"/>
          <w:b/>
          <w:color w:val="auto"/>
          <w:sz w:val="22"/>
          <w:szCs w:val="22"/>
          <w:lang w:eastAsia="es-MX"/>
        </w:rPr>
        <w:t xml:space="preserve">RESOLUCIÓN </w:t>
      </w:r>
      <w:r w:rsidR="009D533A" w:rsidRPr="005902FA">
        <w:rPr>
          <w:rFonts w:ascii="ITC Avant Garde" w:eastAsia="Calibri" w:hAnsi="ITC Avant Garde"/>
          <w:b/>
          <w:color w:val="auto"/>
          <w:sz w:val="22"/>
          <w:szCs w:val="22"/>
          <w:lang w:eastAsia="es-MX"/>
        </w:rPr>
        <w:t xml:space="preserve">MEDIANTE </w:t>
      </w:r>
      <w:r w:rsidRPr="005902FA">
        <w:rPr>
          <w:rFonts w:ascii="ITC Avant Garde" w:eastAsia="Calibri" w:hAnsi="ITC Avant Garde"/>
          <w:b/>
          <w:color w:val="auto"/>
          <w:sz w:val="22"/>
          <w:szCs w:val="22"/>
          <w:lang w:eastAsia="es-MX"/>
        </w:rPr>
        <w:t xml:space="preserve">LA CUAL EL PLENO DEL INSTITUTO FEDERAL DE TELECOMUNICACIONES </w:t>
      </w:r>
      <w:r w:rsidR="005B12CB" w:rsidRPr="005902FA">
        <w:rPr>
          <w:rFonts w:ascii="ITC Avant Garde" w:eastAsia="Calibri" w:hAnsi="ITC Avant Garde"/>
          <w:b/>
          <w:color w:val="auto"/>
          <w:sz w:val="22"/>
          <w:szCs w:val="22"/>
          <w:lang w:eastAsia="es-MX"/>
        </w:rPr>
        <w:t>PRO</w:t>
      </w:r>
      <w:r w:rsidR="009D533A" w:rsidRPr="005902FA">
        <w:rPr>
          <w:rFonts w:ascii="ITC Avant Garde" w:eastAsia="Calibri" w:hAnsi="ITC Avant Garde"/>
          <w:b/>
          <w:color w:val="auto"/>
          <w:sz w:val="22"/>
          <w:szCs w:val="22"/>
          <w:lang w:eastAsia="es-MX"/>
        </w:rPr>
        <w:t xml:space="preserve">RROGA </w:t>
      </w:r>
      <w:r w:rsidR="005B12CB" w:rsidRPr="005902FA">
        <w:rPr>
          <w:rFonts w:ascii="ITC Avant Garde" w:eastAsia="Calibri" w:hAnsi="ITC Avant Garde"/>
          <w:b/>
          <w:color w:val="auto"/>
          <w:sz w:val="22"/>
          <w:szCs w:val="22"/>
          <w:lang w:eastAsia="es-MX"/>
        </w:rPr>
        <w:t>LA CONCESIÓN PARA INSTALAR, OPERAR Y EXPLOTAR UNA RED PÚBLICA DEL SERVICIO MÓVIL DE RADIOCOMUNICACIÓN ESPECIALIZADA DE FLOTILLAS, OTORGADA A FAVOR DE RADIO SISTEMAS DE TAMAULIPAS, S.A. DE C.V.</w:t>
      </w:r>
      <w:r w:rsidR="00BC5377" w:rsidRPr="005902FA">
        <w:rPr>
          <w:rFonts w:ascii="ITC Avant Garde" w:eastAsia="Calibri" w:hAnsi="ITC Avant Garde"/>
          <w:b/>
          <w:color w:val="auto"/>
          <w:sz w:val="22"/>
          <w:szCs w:val="22"/>
          <w:lang w:eastAsia="es-MX"/>
        </w:rPr>
        <w:t>,  EL 22 DE DICIEMBRE DE 2003.</w:t>
      </w:r>
    </w:p>
    <w:p w14:paraId="4A8FE29C" w14:textId="77777777" w:rsidR="00D2656D" w:rsidRPr="00F17180" w:rsidRDefault="00D2656D" w:rsidP="00B53D4B">
      <w:pPr>
        <w:jc w:val="both"/>
        <w:rPr>
          <w:rFonts w:ascii="ITC Avant Garde" w:eastAsia="Calibri" w:hAnsi="ITC Avant Garde"/>
          <w:b/>
          <w:bCs/>
          <w:color w:val="000000"/>
          <w:sz w:val="22"/>
          <w:szCs w:val="22"/>
          <w:lang w:eastAsia="es-MX"/>
        </w:rPr>
      </w:pPr>
    </w:p>
    <w:p w14:paraId="37B62B11" w14:textId="77777777" w:rsidR="0097328C" w:rsidRPr="00EF3EB1" w:rsidRDefault="0097328C" w:rsidP="00EF3EB1">
      <w:pPr>
        <w:pStyle w:val="Ttulo1"/>
        <w:jc w:val="center"/>
        <w:rPr>
          <w:rFonts w:ascii="ITC Avant Garde" w:eastAsia="Calibri" w:hAnsi="ITC Avant Garde"/>
          <w:b/>
          <w:bCs/>
          <w:color w:val="000000"/>
          <w:sz w:val="22"/>
          <w:szCs w:val="22"/>
          <w:lang w:eastAsia="es-MX"/>
        </w:rPr>
      </w:pPr>
      <w:r w:rsidRPr="00EF3EB1">
        <w:rPr>
          <w:rFonts w:ascii="ITC Avant Garde" w:eastAsia="Calibri" w:hAnsi="ITC Avant Garde"/>
          <w:b/>
          <w:bCs/>
          <w:color w:val="000000"/>
          <w:sz w:val="22"/>
          <w:szCs w:val="22"/>
          <w:lang w:eastAsia="es-MX"/>
        </w:rPr>
        <w:t>ANTECEDENTES</w:t>
      </w:r>
    </w:p>
    <w:p w14:paraId="0CF54887" w14:textId="77777777" w:rsidR="00D2656D" w:rsidRPr="00F17180" w:rsidRDefault="00D2656D" w:rsidP="00B53D4B">
      <w:pPr>
        <w:rPr>
          <w:rFonts w:eastAsia="Calibri"/>
          <w:lang w:eastAsia="es-MX"/>
        </w:rPr>
      </w:pPr>
    </w:p>
    <w:p w14:paraId="19B163D8" w14:textId="2986D615" w:rsidR="00B80E00" w:rsidRPr="00F17180" w:rsidRDefault="005C7795" w:rsidP="00B53D4B">
      <w:pPr>
        <w:numPr>
          <w:ilvl w:val="0"/>
          <w:numId w:val="1"/>
        </w:numPr>
        <w:jc w:val="both"/>
        <w:rPr>
          <w:rFonts w:ascii="ITC Avant Garde" w:eastAsia="Calibri" w:hAnsi="ITC Avant Garde"/>
          <w:bCs/>
          <w:color w:val="000000"/>
          <w:sz w:val="22"/>
          <w:szCs w:val="22"/>
          <w:lang w:eastAsia="es-MX"/>
        </w:rPr>
      </w:pPr>
      <w:r w:rsidRPr="00F17180">
        <w:rPr>
          <w:rFonts w:ascii="ITC Avant Garde" w:eastAsia="Calibri" w:hAnsi="ITC Avant Garde"/>
          <w:b/>
          <w:bCs/>
          <w:color w:val="000000"/>
          <w:sz w:val="22"/>
          <w:szCs w:val="22"/>
          <w:lang w:eastAsia="es-MX"/>
        </w:rPr>
        <w:t>Otorgamiento de la Concesión.</w:t>
      </w:r>
      <w:r w:rsidRPr="00F17180">
        <w:rPr>
          <w:rFonts w:ascii="ITC Avant Garde" w:hAnsi="ITC Avant Garde"/>
          <w:bCs/>
          <w:color w:val="000000" w:themeColor="text1"/>
          <w:sz w:val="22"/>
          <w:szCs w:val="22"/>
          <w:lang w:eastAsia="es-MX"/>
        </w:rPr>
        <w:t xml:space="preserve"> </w:t>
      </w:r>
      <w:r w:rsidRPr="00F17180">
        <w:rPr>
          <w:rFonts w:ascii="ITC Avant Garde" w:eastAsia="Calibri" w:hAnsi="ITC Avant Garde"/>
          <w:bCs/>
          <w:color w:val="000000"/>
          <w:sz w:val="22"/>
          <w:szCs w:val="22"/>
          <w:lang w:eastAsia="es-MX"/>
        </w:rPr>
        <w:t xml:space="preserve">El </w:t>
      </w:r>
      <w:r w:rsidR="00F73722" w:rsidRPr="00F17180">
        <w:rPr>
          <w:rFonts w:ascii="ITC Avant Garde" w:eastAsia="Calibri" w:hAnsi="ITC Avant Garde"/>
          <w:bCs/>
          <w:color w:val="000000"/>
          <w:sz w:val="22"/>
          <w:szCs w:val="22"/>
          <w:lang w:eastAsia="es-MX"/>
        </w:rPr>
        <w:t>22</w:t>
      </w:r>
      <w:r w:rsidRPr="00F17180">
        <w:rPr>
          <w:rFonts w:ascii="ITC Avant Garde" w:eastAsia="Calibri" w:hAnsi="ITC Avant Garde"/>
          <w:bCs/>
          <w:color w:val="000000"/>
          <w:sz w:val="22"/>
          <w:szCs w:val="22"/>
          <w:lang w:eastAsia="es-MX"/>
        </w:rPr>
        <w:t xml:space="preserve"> de </w:t>
      </w:r>
      <w:r w:rsidR="00F73722" w:rsidRPr="00F17180">
        <w:rPr>
          <w:rFonts w:ascii="ITC Avant Garde" w:eastAsia="Calibri" w:hAnsi="ITC Avant Garde"/>
          <w:bCs/>
          <w:color w:val="000000"/>
          <w:sz w:val="22"/>
          <w:szCs w:val="22"/>
          <w:lang w:eastAsia="es-MX"/>
        </w:rPr>
        <w:t xml:space="preserve">diciembre </w:t>
      </w:r>
      <w:r w:rsidRPr="00F17180">
        <w:rPr>
          <w:rFonts w:ascii="ITC Avant Garde" w:eastAsia="Calibri" w:hAnsi="ITC Avant Garde"/>
          <w:bCs/>
          <w:color w:val="000000"/>
          <w:sz w:val="22"/>
          <w:szCs w:val="22"/>
          <w:lang w:eastAsia="es-MX"/>
        </w:rPr>
        <w:t>de 199</w:t>
      </w:r>
      <w:r w:rsidR="00F73722" w:rsidRPr="00F17180">
        <w:rPr>
          <w:rFonts w:ascii="ITC Avant Garde" w:eastAsia="Calibri" w:hAnsi="ITC Avant Garde"/>
          <w:bCs/>
          <w:color w:val="000000"/>
          <w:sz w:val="22"/>
          <w:szCs w:val="22"/>
          <w:lang w:eastAsia="es-MX"/>
        </w:rPr>
        <w:t>3</w:t>
      </w:r>
      <w:r w:rsidRPr="00F17180">
        <w:rPr>
          <w:rFonts w:ascii="ITC Avant Garde" w:eastAsia="Calibri" w:hAnsi="ITC Avant Garde"/>
          <w:bCs/>
          <w:color w:val="000000"/>
          <w:sz w:val="22"/>
          <w:szCs w:val="22"/>
          <w:lang w:eastAsia="es-MX"/>
        </w:rPr>
        <w:t>, la Secretaría de Comunicaciones y Transportes (la “Secretaría”), otorgó a favor de</w:t>
      </w:r>
      <w:r w:rsidR="00F73722" w:rsidRPr="00F17180">
        <w:rPr>
          <w:rFonts w:ascii="ITC Avant Garde" w:eastAsia="Calibri" w:hAnsi="ITC Avant Garde"/>
          <w:bCs/>
          <w:color w:val="000000"/>
          <w:sz w:val="22"/>
          <w:szCs w:val="22"/>
          <w:lang w:eastAsia="es-MX"/>
        </w:rPr>
        <w:t xml:space="preserve"> Radio</w:t>
      </w:r>
      <w:r w:rsidR="00E6767A" w:rsidRPr="00F17180">
        <w:rPr>
          <w:rFonts w:ascii="ITC Avant Garde" w:eastAsia="Calibri" w:hAnsi="ITC Avant Garde"/>
          <w:bCs/>
          <w:color w:val="000000"/>
          <w:sz w:val="22"/>
          <w:szCs w:val="22"/>
          <w:lang w:eastAsia="es-MX"/>
        </w:rPr>
        <w:t xml:space="preserve"> S</w:t>
      </w:r>
      <w:r w:rsidR="00F73722" w:rsidRPr="00F17180">
        <w:rPr>
          <w:rFonts w:ascii="ITC Avant Garde" w:eastAsia="Calibri" w:hAnsi="ITC Avant Garde"/>
          <w:bCs/>
          <w:color w:val="000000"/>
          <w:sz w:val="22"/>
          <w:szCs w:val="22"/>
          <w:lang w:eastAsia="es-MX"/>
        </w:rPr>
        <w:t xml:space="preserve">istemas de Tamaulipas, S.A. de C.V. </w:t>
      </w:r>
      <w:r w:rsidRPr="00F17180">
        <w:rPr>
          <w:rFonts w:ascii="ITC Avant Garde" w:eastAsia="Calibri" w:hAnsi="ITC Avant Garde"/>
          <w:bCs/>
          <w:color w:val="000000"/>
          <w:sz w:val="22"/>
          <w:szCs w:val="22"/>
          <w:lang w:eastAsia="es-MX"/>
        </w:rPr>
        <w:t xml:space="preserve">un título de concesión </w:t>
      </w:r>
      <w:r w:rsidR="00BA11DA" w:rsidRPr="00F17180">
        <w:rPr>
          <w:rFonts w:ascii="ITC Avant Garde" w:eastAsia="Calibri" w:hAnsi="ITC Avant Garde"/>
          <w:bCs/>
          <w:color w:val="000000"/>
          <w:sz w:val="22"/>
          <w:szCs w:val="22"/>
          <w:lang w:eastAsia="es-MX"/>
        </w:rPr>
        <w:t xml:space="preserve">para instalar, operar y explotar por un periodo de 15 (quince) años, una red pública del servicio móvil de radiocomunicación especializada de flotillas en </w:t>
      </w:r>
      <w:r w:rsidR="00F73722" w:rsidRPr="00F17180">
        <w:rPr>
          <w:rFonts w:ascii="ITC Avant Garde" w:eastAsia="Calibri" w:hAnsi="ITC Avant Garde"/>
          <w:bCs/>
          <w:color w:val="000000"/>
          <w:sz w:val="22"/>
          <w:szCs w:val="22"/>
          <w:lang w:eastAsia="es-MX"/>
        </w:rPr>
        <w:t>el Estado de Tamaulipas</w:t>
      </w:r>
      <w:r w:rsidR="00E11BDB" w:rsidRPr="00F17180">
        <w:rPr>
          <w:rFonts w:ascii="ITC Avant Garde" w:eastAsia="Calibri" w:hAnsi="ITC Avant Garde"/>
          <w:bCs/>
          <w:color w:val="000000"/>
          <w:sz w:val="22"/>
          <w:szCs w:val="22"/>
          <w:lang w:eastAsia="es-MX"/>
        </w:rPr>
        <w:t xml:space="preserve"> (la “</w:t>
      </w:r>
      <w:r w:rsidR="00B17775" w:rsidRPr="00F17180">
        <w:rPr>
          <w:rFonts w:ascii="ITC Avant Garde" w:eastAsia="Calibri" w:hAnsi="ITC Avant Garde"/>
          <w:bCs/>
          <w:color w:val="000000"/>
          <w:sz w:val="22"/>
          <w:szCs w:val="22"/>
          <w:lang w:eastAsia="es-MX"/>
        </w:rPr>
        <w:t>Concesión</w:t>
      </w:r>
      <w:r w:rsidR="00E11BDB" w:rsidRPr="00F17180">
        <w:rPr>
          <w:rFonts w:ascii="ITC Avant Garde" w:eastAsia="Calibri" w:hAnsi="ITC Avant Garde"/>
          <w:bCs/>
          <w:color w:val="000000"/>
          <w:sz w:val="22"/>
          <w:szCs w:val="22"/>
          <w:lang w:eastAsia="es-MX"/>
        </w:rPr>
        <w:t>”)</w:t>
      </w:r>
      <w:r w:rsidR="00B17775" w:rsidRPr="00F17180">
        <w:rPr>
          <w:rFonts w:ascii="ITC Avant Garde" w:eastAsia="Calibri" w:hAnsi="ITC Avant Garde"/>
          <w:bCs/>
          <w:color w:val="000000"/>
          <w:sz w:val="22"/>
          <w:szCs w:val="22"/>
          <w:lang w:eastAsia="es-MX"/>
        </w:rPr>
        <w:t>, utilizando las siguientes frecuencias:</w:t>
      </w:r>
    </w:p>
    <w:p w14:paraId="06AA5865" w14:textId="77777777" w:rsidR="00B53D4B" w:rsidRDefault="00B53D4B" w:rsidP="00552353">
      <w:pPr>
        <w:ind w:left="567"/>
        <w:jc w:val="both"/>
        <w:rPr>
          <w:rFonts w:ascii="ITC Avant Garde" w:eastAsia="Calibri" w:hAnsi="ITC Avant Garde"/>
          <w:bCs/>
          <w:color w:val="000000"/>
          <w:sz w:val="22"/>
          <w:szCs w:val="22"/>
          <w:lang w:eastAsia="es-MX"/>
        </w:rPr>
      </w:pPr>
    </w:p>
    <w:p w14:paraId="38EC0BF4" w14:textId="77777777" w:rsidR="00D2656D" w:rsidRPr="00F17180" w:rsidRDefault="00D2656D" w:rsidP="00552353">
      <w:pPr>
        <w:ind w:left="567"/>
        <w:jc w:val="both"/>
        <w:rPr>
          <w:rFonts w:ascii="ITC Avant Garde" w:eastAsia="Calibri" w:hAnsi="ITC Avant Garde"/>
          <w:bCs/>
          <w:color w:val="000000"/>
          <w:sz w:val="22"/>
          <w:szCs w:val="22"/>
          <w:lang w:eastAsia="es-MX"/>
        </w:rPr>
      </w:pPr>
    </w:p>
    <w:p w14:paraId="64EA97F2" w14:textId="083849ED" w:rsidR="00BD5DC5" w:rsidRDefault="00BD5DC5" w:rsidP="00B53D4B">
      <w:pPr>
        <w:ind w:left="567"/>
        <w:rPr>
          <w:rFonts w:ascii="ITC Avant Garde" w:eastAsia="Calibri" w:hAnsi="ITC Avant Garde"/>
          <w:bCs/>
          <w:color w:val="000000"/>
          <w:sz w:val="22"/>
          <w:szCs w:val="22"/>
          <w:lang w:eastAsia="es-MX"/>
        </w:rPr>
      </w:pPr>
      <w:proofErr w:type="spellStart"/>
      <w:r w:rsidRPr="00F17180">
        <w:rPr>
          <w:rFonts w:ascii="ITC Avant Garde" w:eastAsia="Calibri" w:hAnsi="ITC Avant Garde"/>
          <w:bCs/>
          <w:color w:val="000000"/>
          <w:sz w:val="22"/>
          <w:szCs w:val="22"/>
          <w:lang w:eastAsia="es-MX"/>
        </w:rPr>
        <w:t>Est</w:t>
      </w:r>
      <w:proofErr w:type="spellEnd"/>
      <w:r w:rsidRPr="00F17180">
        <w:rPr>
          <w:rFonts w:ascii="ITC Avant Garde" w:eastAsia="Calibri" w:hAnsi="ITC Avant Garde"/>
          <w:bCs/>
          <w:color w:val="000000"/>
          <w:sz w:val="22"/>
          <w:szCs w:val="22"/>
          <w:lang w:eastAsia="es-MX"/>
        </w:rPr>
        <w:t>. Valle Hermoso</w:t>
      </w:r>
      <w:r w:rsidR="0073271D" w:rsidRPr="00F17180">
        <w:rPr>
          <w:rFonts w:ascii="ITC Avant Garde" w:eastAsia="Calibri" w:hAnsi="ITC Avant Garde"/>
          <w:bCs/>
          <w:color w:val="000000"/>
          <w:sz w:val="22"/>
          <w:szCs w:val="22"/>
          <w:lang w:eastAsia="es-MX"/>
        </w:rPr>
        <w:tab/>
      </w:r>
      <w:r w:rsidR="0073271D" w:rsidRPr="00F17180">
        <w:rPr>
          <w:rFonts w:ascii="ITC Avant Garde" w:eastAsia="Calibri" w:hAnsi="ITC Avant Garde"/>
          <w:bCs/>
          <w:color w:val="000000"/>
          <w:sz w:val="22"/>
          <w:szCs w:val="22"/>
          <w:lang w:eastAsia="es-MX"/>
        </w:rPr>
        <w:tab/>
      </w:r>
      <w:r w:rsidRPr="00F17180">
        <w:rPr>
          <w:rFonts w:ascii="ITC Avant Garde" w:eastAsia="Calibri" w:hAnsi="ITC Avant Garde"/>
          <w:bCs/>
          <w:color w:val="000000"/>
          <w:sz w:val="22"/>
          <w:szCs w:val="22"/>
          <w:lang w:eastAsia="es-MX"/>
        </w:rPr>
        <w:t>LN</w:t>
      </w:r>
      <w:r w:rsidR="00211CB8" w:rsidRPr="00F17180">
        <w:rPr>
          <w:rFonts w:ascii="ITC Avant Garde" w:eastAsia="Calibri" w:hAnsi="ITC Avant Garde"/>
          <w:bCs/>
          <w:color w:val="000000"/>
          <w:sz w:val="22"/>
          <w:szCs w:val="22"/>
          <w:lang w:eastAsia="es-MX"/>
        </w:rPr>
        <w:t>:</w:t>
      </w:r>
      <w:r w:rsidRPr="00F17180">
        <w:rPr>
          <w:rFonts w:ascii="ITC Avant Garde" w:eastAsia="Calibri" w:hAnsi="ITC Avant Garde"/>
          <w:bCs/>
          <w:color w:val="000000"/>
          <w:sz w:val="22"/>
          <w:szCs w:val="22"/>
          <w:lang w:eastAsia="es-MX"/>
        </w:rPr>
        <w:t xml:space="preserve"> 25°41’00’’ </w:t>
      </w:r>
      <w:r w:rsidR="00211CB8" w:rsidRPr="00F17180">
        <w:rPr>
          <w:rFonts w:ascii="ITC Avant Garde" w:eastAsia="Calibri" w:hAnsi="ITC Avant Garde"/>
          <w:bCs/>
          <w:color w:val="000000"/>
          <w:sz w:val="22"/>
          <w:szCs w:val="22"/>
          <w:lang w:eastAsia="es-MX"/>
        </w:rPr>
        <w:t xml:space="preserve"> </w:t>
      </w:r>
      <w:r w:rsidRPr="00F17180">
        <w:rPr>
          <w:rFonts w:ascii="ITC Avant Garde" w:eastAsia="Calibri" w:hAnsi="ITC Avant Garde"/>
          <w:bCs/>
          <w:color w:val="000000"/>
          <w:sz w:val="22"/>
          <w:szCs w:val="22"/>
          <w:lang w:eastAsia="es-MX"/>
        </w:rPr>
        <w:t>LW</w:t>
      </w:r>
      <w:r w:rsidR="00211CB8" w:rsidRPr="00F17180">
        <w:rPr>
          <w:rFonts w:ascii="ITC Avant Garde" w:eastAsia="Calibri" w:hAnsi="ITC Avant Garde"/>
          <w:bCs/>
          <w:color w:val="000000"/>
          <w:sz w:val="22"/>
          <w:szCs w:val="22"/>
          <w:lang w:eastAsia="es-MX"/>
        </w:rPr>
        <w:t>:</w:t>
      </w:r>
      <w:r w:rsidRPr="00F17180">
        <w:rPr>
          <w:rFonts w:ascii="ITC Avant Garde" w:eastAsia="Calibri" w:hAnsi="ITC Avant Garde"/>
          <w:bCs/>
          <w:color w:val="000000"/>
          <w:sz w:val="22"/>
          <w:szCs w:val="22"/>
          <w:lang w:eastAsia="es-MX"/>
        </w:rPr>
        <w:t xml:space="preserve"> 97°49’00’’</w:t>
      </w:r>
      <w:r w:rsidR="000660C0" w:rsidRPr="00F17180">
        <w:rPr>
          <w:rFonts w:ascii="ITC Avant Garde" w:eastAsia="Calibri" w:hAnsi="ITC Avant Garde"/>
          <w:bCs/>
          <w:color w:val="000000"/>
          <w:sz w:val="22"/>
          <w:szCs w:val="22"/>
          <w:lang w:eastAsia="es-MX"/>
        </w:rPr>
        <w:br/>
      </w:r>
      <w:proofErr w:type="spellStart"/>
      <w:r w:rsidRPr="00F17180">
        <w:rPr>
          <w:rFonts w:ascii="ITC Avant Garde" w:eastAsia="Calibri" w:hAnsi="ITC Avant Garde"/>
          <w:bCs/>
          <w:color w:val="000000"/>
          <w:sz w:val="22"/>
          <w:szCs w:val="22"/>
          <w:lang w:eastAsia="es-MX"/>
        </w:rPr>
        <w:t>Est</w:t>
      </w:r>
      <w:proofErr w:type="spellEnd"/>
      <w:r w:rsidRPr="00F17180">
        <w:rPr>
          <w:rFonts w:ascii="ITC Avant Garde" w:eastAsia="Calibri" w:hAnsi="ITC Avant Garde"/>
          <w:bCs/>
          <w:color w:val="000000"/>
          <w:sz w:val="22"/>
          <w:szCs w:val="22"/>
          <w:lang w:eastAsia="es-MX"/>
        </w:rPr>
        <w:t>. San Carlos</w:t>
      </w:r>
      <w:r w:rsidR="0073271D" w:rsidRPr="00F17180">
        <w:rPr>
          <w:rFonts w:ascii="ITC Avant Garde" w:eastAsia="Calibri" w:hAnsi="ITC Avant Garde"/>
          <w:bCs/>
          <w:color w:val="000000"/>
          <w:sz w:val="22"/>
          <w:szCs w:val="22"/>
          <w:lang w:eastAsia="es-MX"/>
        </w:rPr>
        <w:tab/>
      </w:r>
      <w:r w:rsidR="0073271D" w:rsidRPr="00F17180">
        <w:rPr>
          <w:rFonts w:ascii="ITC Avant Garde" w:eastAsia="Calibri" w:hAnsi="ITC Avant Garde"/>
          <w:bCs/>
          <w:color w:val="000000"/>
          <w:sz w:val="22"/>
          <w:szCs w:val="22"/>
          <w:lang w:eastAsia="es-MX"/>
        </w:rPr>
        <w:tab/>
      </w:r>
      <w:r w:rsidR="0073271D" w:rsidRPr="00F17180">
        <w:rPr>
          <w:rFonts w:ascii="ITC Avant Garde" w:eastAsia="Calibri" w:hAnsi="ITC Avant Garde"/>
          <w:bCs/>
          <w:color w:val="000000"/>
          <w:sz w:val="22"/>
          <w:szCs w:val="22"/>
          <w:lang w:eastAsia="es-MX"/>
        </w:rPr>
        <w:tab/>
      </w:r>
      <w:r w:rsidRPr="00F17180">
        <w:rPr>
          <w:rFonts w:ascii="ITC Avant Garde" w:eastAsia="Calibri" w:hAnsi="ITC Avant Garde"/>
          <w:bCs/>
          <w:color w:val="000000"/>
          <w:sz w:val="22"/>
          <w:szCs w:val="22"/>
          <w:lang w:eastAsia="es-MX"/>
        </w:rPr>
        <w:t>LN</w:t>
      </w:r>
      <w:r w:rsidR="00211CB8" w:rsidRPr="00F17180">
        <w:rPr>
          <w:rFonts w:ascii="ITC Avant Garde" w:eastAsia="Calibri" w:hAnsi="ITC Avant Garde"/>
          <w:bCs/>
          <w:color w:val="000000"/>
          <w:sz w:val="22"/>
          <w:szCs w:val="22"/>
          <w:lang w:eastAsia="es-MX"/>
        </w:rPr>
        <w:t>:</w:t>
      </w:r>
      <w:r w:rsidRPr="00F17180">
        <w:rPr>
          <w:rFonts w:ascii="ITC Avant Garde" w:eastAsia="Calibri" w:hAnsi="ITC Avant Garde"/>
          <w:bCs/>
          <w:color w:val="000000"/>
          <w:sz w:val="22"/>
          <w:szCs w:val="22"/>
          <w:lang w:eastAsia="es-MX"/>
        </w:rPr>
        <w:t xml:space="preserve"> 24°31’00’’ </w:t>
      </w:r>
      <w:r w:rsidR="00211CB8" w:rsidRPr="00F17180">
        <w:rPr>
          <w:rFonts w:ascii="ITC Avant Garde" w:eastAsia="Calibri" w:hAnsi="ITC Avant Garde"/>
          <w:bCs/>
          <w:color w:val="000000"/>
          <w:sz w:val="22"/>
          <w:szCs w:val="22"/>
          <w:lang w:eastAsia="es-MX"/>
        </w:rPr>
        <w:t xml:space="preserve"> </w:t>
      </w:r>
      <w:r w:rsidRPr="00F17180">
        <w:rPr>
          <w:rFonts w:ascii="ITC Avant Garde" w:eastAsia="Calibri" w:hAnsi="ITC Avant Garde"/>
          <w:bCs/>
          <w:color w:val="000000"/>
          <w:sz w:val="22"/>
          <w:szCs w:val="22"/>
          <w:lang w:eastAsia="es-MX"/>
        </w:rPr>
        <w:t>LW</w:t>
      </w:r>
      <w:r w:rsidR="00211CB8" w:rsidRPr="00F17180">
        <w:rPr>
          <w:rFonts w:ascii="ITC Avant Garde" w:eastAsia="Calibri" w:hAnsi="ITC Avant Garde"/>
          <w:bCs/>
          <w:color w:val="000000"/>
          <w:sz w:val="22"/>
          <w:szCs w:val="22"/>
          <w:lang w:eastAsia="es-MX"/>
        </w:rPr>
        <w:t>:</w:t>
      </w:r>
      <w:r w:rsidRPr="00F17180">
        <w:rPr>
          <w:rFonts w:ascii="ITC Avant Garde" w:eastAsia="Calibri" w:hAnsi="ITC Avant Garde"/>
          <w:bCs/>
          <w:color w:val="000000"/>
          <w:sz w:val="22"/>
          <w:szCs w:val="22"/>
          <w:lang w:eastAsia="es-MX"/>
        </w:rPr>
        <w:t xml:space="preserve"> 98°56’24’’</w:t>
      </w:r>
      <w:r w:rsidR="000660C0" w:rsidRPr="00F17180">
        <w:rPr>
          <w:rFonts w:ascii="ITC Avant Garde" w:eastAsia="Calibri" w:hAnsi="ITC Avant Garde"/>
          <w:bCs/>
          <w:color w:val="000000"/>
          <w:sz w:val="22"/>
          <w:szCs w:val="22"/>
          <w:lang w:eastAsia="es-MX"/>
        </w:rPr>
        <w:br/>
      </w:r>
      <w:proofErr w:type="spellStart"/>
      <w:r w:rsidRPr="00F17180">
        <w:rPr>
          <w:rFonts w:ascii="ITC Avant Garde" w:eastAsia="Calibri" w:hAnsi="ITC Avant Garde"/>
          <w:bCs/>
          <w:color w:val="000000"/>
          <w:sz w:val="22"/>
          <w:szCs w:val="22"/>
          <w:lang w:eastAsia="es-MX"/>
        </w:rPr>
        <w:t>Est</w:t>
      </w:r>
      <w:proofErr w:type="spellEnd"/>
      <w:r w:rsidRPr="00F17180">
        <w:rPr>
          <w:rFonts w:ascii="ITC Avant Garde" w:eastAsia="Calibri" w:hAnsi="ITC Avant Garde"/>
          <w:bCs/>
          <w:color w:val="000000"/>
          <w:sz w:val="22"/>
          <w:szCs w:val="22"/>
          <w:lang w:eastAsia="es-MX"/>
        </w:rPr>
        <w:t>. Número 7</w:t>
      </w:r>
      <w:r w:rsidR="0073271D" w:rsidRPr="00F17180">
        <w:rPr>
          <w:rFonts w:ascii="ITC Avant Garde" w:eastAsia="Calibri" w:hAnsi="ITC Avant Garde"/>
          <w:bCs/>
          <w:color w:val="000000"/>
          <w:sz w:val="22"/>
          <w:szCs w:val="22"/>
          <w:lang w:eastAsia="es-MX"/>
        </w:rPr>
        <w:tab/>
      </w:r>
      <w:r w:rsidR="0073271D" w:rsidRPr="00F17180">
        <w:rPr>
          <w:rFonts w:ascii="ITC Avant Garde" w:eastAsia="Calibri" w:hAnsi="ITC Avant Garde"/>
          <w:bCs/>
          <w:color w:val="000000"/>
          <w:sz w:val="22"/>
          <w:szCs w:val="22"/>
          <w:lang w:eastAsia="es-MX"/>
        </w:rPr>
        <w:tab/>
      </w:r>
      <w:r w:rsidR="0073271D" w:rsidRPr="00F17180">
        <w:rPr>
          <w:rFonts w:ascii="ITC Avant Garde" w:eastAsia="Calibri" w:hAnsi="ITC Avant Garde"/>
          <w:bCs/>
          <w:color w:val="000000"/>
          <w:sz w:val="22"/>
          <w:szCs w:val="22"/>
          <w:lang w:eastAsia="es-MX"/>
        </w:rPr>
        <w:tab/>
      </w:r>
      <w:r w:rsidRPr="00F17180">
        <w:rPr>
          <w:rFonts w:ascii="ITC Avant Garde" w:eastAsia="Calibri" w:hAnsi="ITC Avant Garde"/>
          <w:bCs/>
          <w:color w:val="000000"/>
          <w:sz w:val="22"/>
          <w:szCs w:val="22"/>
          <w:lang w:eastAsia="es-MX"/>
        </w:rPr>
        <w:t>LN</w:t>
      </w:r>
      <w:r w:rsidR="00211CB8" w:rsidRPr="00F17180">
        <w:rPr>
          <w:rFonts w:ascii="ITC Avant Garde" w:eastAsia="Calibri" w:hAnsi="ITC Avant Garde"/>
          <w:bCs/>
          <w:color w:val="000000"/>
          <w:sz w:val="22"/>
          <w:szCs w:val="22"/>
          <w:lang w:eastAsia="es-MX"/>
        </w:rPr>
        <w:t>:</w:t>
      </w:r>
      <w:r w:rsidRPr="00F17180">
        <w:rPr>
          <w:rFonts w:ascii="ITC Avant Garde" w:eastAsia="Calibri" w:hAnsi="ITC Avant Garde"/>
          <w:bCs/>
          <w:color w:val="000000"/>
          <w:sz w:val="22"/>
          <w:szCs w:val="22"/>
          <w:lang w:eastAsia="es-MX"/>
        </w:rPr>
        <w:t xml:space="preserve"> 27°18’06’’ </w:t>
      </w:r>
      <w:r w:rsidR="00211CB8" w:rsidRPr="00F17180">
        <w:rPr>
          <w:rFonts w:ascii="ITC Avant Garde" w:eastAsia="Calibri" w:hAnsi="ITC Avant Garde"/>
          <w:bCs/>
          <w:color w:val="000000"/>
          <w:sz w:val="22"/>
          <w:szCs w:val="22"/>
          <w:lang w:eastAsia="es-MX"/>
        </w:rPr>
        <w:t xml:space="preserve"> </w:t>
      </w:r>
      <w:r w:rsidRPr="00F17180">
        <w:rPr>
          <w:rFonts w:ascii="ITC Avant Garde" w:eastAsia="Calibri" w:hAnsi="ITC Avant Garde"/>
          <w:bCs/>
          <w:color w:val="000000"/>
          <w:sz w:val="22"/>
          <w:szCs w:val="22"/>
          <w:lang w:eastAsia="es-MX"/>
        </w:rPr>
        <w:t>LW</w:t>
      </w:r>
      <w:r w:rsidR="00211CB8" w:rsidRPr="00F17180">
        <w:rPr>
          <w:rFonts w:ascii="ITC Avant Garde" w:eastAsia="Calibri" w:hAnsi="ITC Avant Garde"/>
          <w:bCs/>
          <w:color w:val="000000"/>
          <w:sz w:val="22"/>
          <w:szCs w:val="22"/>
          <w:lang w:eastAsia="es-MX"/>
        </w:rPr>
        <w:t>:</w:t>
      </w:r>
      <w:r w:rsidRPr="00F17180">
        <w:rPr>
          <w:rFonts w:ascii="ITC Avant Garde" w:eastAsia="Calibri" w:hAnsi="ITC Avant Garde"/>
          <w:bCs/>
          <w:color w:val="000000"/>
          <w:sz w:val="22"/>
          <w:szCs w:val="22"/>
          <w:lang w:eastAsia="es-MX"/>
        </w:rPr>
        <w:t xml:space="preserve"> 99°36’11’’</w:t>
      </w:r>
    </w:p>
    <w:p w14:paraId="5667B776" w14:textId="77777777" w:rsidR="005902FA" w:rsidRPr="00F17180" w:rsidRDefault="005902FA" w:rsidP="00B53D4B">
      <w:pPr>
        <w:ind w:left="567"/>
        <w:rPr>
          <w:rFonts w:ascii="ITC Avant Garde" w:eastAsia="Calibri" w:hAnsi="ITC Avant Garde"/>
          <w:bCs/>
          <w:color w:val="000000"/>
          <w:sz w:val="22"/>
          <w:szCs w:val="22"/>
          <w:lang w:eastAsia="es-MX"/>
        </w:rPr>
      </w:pPr>
    </w:p>
    <w:p w14:paraId="546A5EB8" w14:textId="63F618FC" w:rsidR="00B53D4B" w:rsidRPr="005902FA" w:rsidRDefault="005902FA" w:rsidP="005902FA">
      <w:pPr>
        <w:ind w:left="567"/>
        <w:jc w:val="center"/>
        <w:rPr>
          <w:rFonts w:ascii="ITC Avant Garde" w:eastAsia="Calibri" w:hAnsi="ITC Avant Garde"/>
          <w:bCs/>
          <w:color w:val="000000"/>
          <w:sz w:val="18"/>
          <w:szCs w:val="18"/>
          <w:lang w:eastAsia="es-MX"/>
        </w:rPr>
      </w:pPr>
      <w:r w:rsidRPr="005902FA">
        <w:rPr>
          <w:rFonts w:ascii="ITC Avant Garde" w:hAnsi="ITC Avant Garde" w:cs="Arial"/>
          <w:b/>
          <w:sz w:val="18"/>
          <w:szCs w:val="18"/>
        </w:rPr>
        <w:t>GRUPO 5 E</w:t>
      </w:r>
    </w:p>
    <w:tbl>
      <w:tblPr>
        <w:tblStyle w:val="Tablaconcuadrcula"/>
        <w:tblW w:w="2694" w:type="dxa"/>
        <w:jc w:val="center"/>
        <w:tblLook w:val="0000" w:firstRow="0" w:lastRow="0" w:firstColumn="0" w:lastColumn="0" w:noHBand="0" w:noVBand="0"/>
        <w:tblCaption w:val="En el Estado de Tamaulipas se utilizan las siguientes frecuencias."/>
        <w:tblDescription w:val="SERIE 405 E&#10;Rx (MHz)&#10;816.125 &#10;817.125&#10;818.125&#10;819.125&#10;820.125&#10;"/>
      </w:tblPr>
      <w:tblGrid>
        <w:gridCol w:w="1302"/>
        <w:gridCol w:w="1392"/>
      </w:tblGrid>
      <w:tr w:rsidR="005902FA" w:rsidRPr="00F17180" w14:paraId="3410212F" w14:textId="77777777" w:rsidTr="005902FA">
        <w:trPr>
          <w:trHeight w:val="22"/>
          <w:tblHeader/>
          <w:jc w:val="center"/>
        </w:trPr>
        <w:tc>
          <w:tcPr>
            <w:tcW w:w="1302" w:type="dxa"/>
            <w:shd w:val="clear" w:color="auto" w:fill="A6A6A6" w:themeFill="background1" w:themeFillShade="A6"/>
          </w:tcPr>
          <w:p w14:paraId="20AA52C7" w14:textId="77777777" w:rsidR="005902FA" w:rsidRPr="00F17180" w:rsidRDefault="005902FA" w:rsidP="005902FA">
            <w:pPr>
              <w:jc w:val="center"/>
              <w:rPr>
                <w:rFonts w:ascii="ITC Avant Garde" w:hAnsi="ITC Avant Garde" w:cstheme="minorHAnsi"/>
                <w:b/>
                <w:bCs/>
                <w:sz w:val="16"/>
                <w:szCs w:val="16"/>
              </w:rPr>
            </w:pPr>
            <w:r w:rsidRPr="00F17180">
              <w:rPr>
                <w:rFonts w:ascii="ITC Avant Garde" w:hAnsi="ITC Avant Garde" w:cs="Arial"/>
                <w:b/>
                <w:sz w:val="16"/>
                <w:szCs w:val="16"/>
              </w:rPr>
              <w:t>SERIE 405 E</w:t>
            </w:r>
          </w:p>
        </w:tc>
        <w:tc>
          <w:tcPr>
            <w:tcW w:w="1392" w:type="dxa"/>
            <w:shd w:val="clear" w:color="auto" w:fill="A6A6A6" w:themeFill="background1" w:themeFillShade="A6"/>
          </w:tcPr>
          <w:p w14:paraId="3AA7024D" w14:textId="23BE09D8" w:rsidR="005902FA" w:rsidRPr="00F17180" w:rsidRDefault="005902FA" w:rsidP="005902FA">
            <w:pPr>
              <w:jc w:val="center"/>
              <w:rPr>
                <w:rFonts w:ascii="ITC Avant Garde" w:hAnsi="ITC Avant Garde" w:cstheme="minorHAnsi"/>
                <w:b/>
                <w:bCs/>
                <w:sz w:val="16"/>
                <w:szCs w:val="16"/>
              </w:rPr>
            </w:pPr>
            <w:r w:rsidRPr="00F17180">
              <w:rPr>
                <w:rFonts w:ascii="ITC Avant Garde" w:hAnsi="ITC Avant Garde" w:cs="Arial"/>
                <w:b/>
                <w:sz w:val="16"/>
                <w:szCs w:val="16"/>
              </w:rPr>
              <w:t>SERIE 405 E</w:t>
            </w:r>
          </w:p>
        </w:tc>
      </w:tr>
      <w:tr w:rsidR="00BD5DC5" w:rsidRPr="00F17180" w14:paraId="58A269C9" w14:textId="77777777" w:rsidTr="005902FA">
        <w:trPr>
          <w:trHeight w:val="184"/>
          <w:jc w:val="center"/>
        </w:trPr>
        <w:tc>
          <w:tcPr>
            <w:tcW w:w="1302" w:type="dxa"/>
            <w:shd w:val="clear" w:color="auto" w:fill="A6A6A6" w:themeFill="background1" w:themeFillShade="A6"/>
          </w:tcPr>
          <w:p w14:paraId="69D5E06A" w14:textId="77777777" w:rsidR="00BD5DC5" w:rsidRPr="00F17180" w:rsidRDefault="00BD5DC5" w:rsidP="00B53D4B">
            <w:pPr>
              <w:jc w:val="center"/>
              <w:rPr>
                <w:rFonts w:ascii="ITC Avant Garde" w:hAnsi="ITC Avant Garde" w:cstheme="minorHAnsi"/>
                <w:b/>
                <w:bCs/>
                <w:sz w:val="16"/>
                <w:szCs w:val="16"/>
                <w:lang w:val="es-ES"/>
              </w:rPr>
            </w:pPr>
            <w:proofErr w:type="spellStart"/>
            <w:r w:rsidRPr="00F17180">
              <w:rPr>
                <w:rFonts w:ascii="ITC Avant Garde" w:hAnsi="ITC Avant Garde" w:cs="Arial"/>
                <w:b/>
                <w:sz w:val="16"/>
                <w:szCs w:val="16"/>
              </w:rPr>
              <w:t>Rx</w:t>
            </w:r>
            <w:proofErr w:type="spellEnd"/>
            <w:r w:rsidRPr="00F17180">
              <w:rPr>
                <w:rFonts w:ascii="ITC Avant Garde" w:hAnsi="ITC Avant Garde" w:cs="Arial"/>
                <w:b/>
                <w:sz w:val="16"/>
                <w:szCs w:val="16"/>
              </w:rPr>
              <w:t xml:space="preserve"> (MHz)</w:t>
            </w:r>
          </w:p>
        </w:tc>
        <w:tc>
          <w:tcPr>
            <w:tcW w:w="1392" w:type="dxa"/>
            <w:shd w:val="clear" w:color="auto" w:fill="A6A6A6" w:themeFill="background1" w:themeFillShade="A6"/>
          </w:tcPr>
          <w:p w14:paraId="4D0F2244" w14:textId="77777777" w:rsidR="00BD5DC5" w:rsidRPr="00F17180" w:rsidRDefault="00BD5DC5" w:rsidP="00B53D4B">
            <w:pPr>
              <w:jc w:val="center"/>
              <w:rPr>
                <w:rFonts w:ascii="ITC Avant Garde" w:hAnsi="ITC Avant Garde" w:cs="Arial"/>
                <w:b/>
                <w:sz w:val="16"/>
                <w:szCs w:val="16"/>
              </w:rPr>
            </w:pPr>
            <w:proofErr w:type="spellStart"/>
            <w:r w:rsidRPr="00F17180">
              <w:rPr>
                <w:rFonts w:ascii="ITC Avant Garde" w:hAnsi="ITC Avant Garde" w:cs="Arial"/>
                <w:b/>
                <w:sz w:val="16"/>
                <w:szCs w:val="16"/>
              </w:rPr>
              <w:t>Rx</w:t>
            </w:r>
            <w:proofErr w:type="spellEnd"/>
            <w:r w:rsidRPr="00F17180">
              <w:rPr>
                <w:rFonts w:ascii="ITC Avant Garde" w:hAnsi="ITC Avant Garde" w:cs="Arial"/>
                <w:b/>
                <w:sz w:val="16"/>
                <w:szCs w:val="16"/>
              </w:rPr>
              <w:t xml:space="preserve"> (MHz)</w:t>
            </w:r>
          </w:p>
        </w:tc>
      </w:tr>
      <w:tr w:rsidR="00BD5DC5" w:rsidRPr="00F17180" w14:paraId="3954B882" w14:textId="77777777" w:rsidTr="005902FA">
        <w:trPr>
          <w:trHeight w:val="177"/>
          <w:jc w:val="center"/>
        </w:trPr>
        <w:tc>
          <w:tcPr>
            <w:tcW w:w="1302" w:type="dxa"/>
          </w:tcPr>
          <w:p w14:paraId="69C1311D" w14:textId="77777777" w:rsidR="00BD5DC5" w:rsidRPr="00F17180" w:rsidRDefault="00BD5DC5" w:rsidP="00B53D4B">
            <w:pPr>
              <w:jc w:val="center"/>
              <w:rPr>
                <w:rFonts w:ascii="ITC Avant Garde" w:hAnsi="ITC Avant Garde" w:cstheme="minorHAnsi"/>
                <w:sz w:val="16"/>
                <w:szCs w:val="16"/>
              </w:rPr>
            </w:pPr>
            <w:r w:rsidRPr="00F17180">
              <w:rPr>
                <w:rFonts w:ascii="ITC Avant Garde" w:hAnsi="ITC Avant Garde" w:cs="Arial"/>
                <w:sz w:val="16"/>
                <w:szCs w:val="16"/>
              </w:rPr>
              <w:t>816.125</w:t>
            </w:r>
          </w:p>
        </w:tc>
        <w:tc>
          <w:tcPr>
            <w:tcW w:w="1392" w:type="dxa"/>
          </w:tcPr>
          <w:p w14:paraId="3386115C" w14:textId="77777777" w:rsidR="00BD5DC5" w:rsidRPr="00F17180" w:rsidRDefault="00BD5DC5" w:rsidP="00B53D4B">
            <w:pPr>
              <w:jc w:val="center"/>
              <w:rPr>
                <w:rFonts w:ascii="ITC Avant Garde" w:hAnsi="ITC Avant Garde" w:cs="Arial"/>
                <w:sz w:val="16"/>
                <w:szCs w:val="16"/>
              </w:rPr>
            </w:pPr>
            <w:r w:rsidRPr="00F17180">
              <w:rPr>
                <w:rFonts w:ascii="ITC Avant Garde" w:hAnsi="ITC Avant Garde" w:cs="Arial"/>
                <w:sz w:val="16"/>
                <w:szCs w:val="16"/>
              </w:rPr>
              <w:t>861.125</w:t>
            </w:r>
          </w:p>
        </w:tc>
      </w:tr>
      <w:tr w:rsidR="00BD5DC5" w:rsidRPr="00F17180" w14:paraId="6D4354A2" w14:textId="77777777" w:rsidTr="005902FA">
        <w:trPr>
          <w:trHeight w:val="140"/>
          <w:jc w:val="center"/>
        </w:trPr>
        <w:tc>
          <w:tcPr>
            <w:tcW w:w="1302" w:type="dxa"/>
          </w:tcPr>
          <w:p w14:paraId="02373503" w14:textId="77777777" w:rsidR="00BD5DC5" w:rsidRPr="00F17180" w:rsidRDefault="00BD5DC5" w:rsidP="00B53D4B">
            <w:pPr>
              <w:jc w:val="center"/>
              <w:rPr>
                <w:rFonts w:ascii="ITC Avant Garde" w:hAnsi="ITC Avant Garde" w:cs="Arial"/>
                <w:sz w:val="16"/>
                <w:szCs w:val="16"/>
              </w:rPr>
            </w:pPr>
            <w:r w:rsidRPr="00F17180">
              <w:rPr>
                <w:rFonts w:ascii="ITC Avant Garde" w:hAnsi="ITC Avant Garde" w:cs="Arial"/>
                <w:sz w:val="16"/>
                <w:szCs w:val="16"/>
              </w:rPr>
              <w:t>817.125</w:t>
            </w:r>
          </w:p>
        </w:tc>
        <w:tc>
          <w:tcPr>
            <w:tcW w:w="1392" w:type="dxa"/>
          </w:tcPr>
          <w:p w14:paraId="1AF96924" w14:textId="77777777" w:rsidR="00BD5DC5" w:rsidRPr="00F17180" w:rsidRDefault="00BD5DC5" w:rsidP="00B53D4B">
            <w:pPr>
              <w:jc w:val="center"/>
              <w:rPr>
                <w:rFonts w:ascii="ITC Avant Garde" w:hAnsi="ITC Avant Garde" w:cs="Arial"/>
                <w:sz w:val="16"/>
                <w:szCs w:val="16"/>
              </w:rPr>
            </w:pPr>
            <w:r w:rsidRPr="00F17180">
              <w:rPr>
                <w:rFonts w:ascii="ITC Avant Garde" w:hAnsi="ITC Avant Garde" w:cs="Arial"/>
                <w:sz w:val="16"/>
                <w:szCs w:val="16"/>
              </w:rPr>
              <w:t>862.125</w:t>
            </w:r>
          </w:p>
        </w:tc>
      </w:tr>
      <w:tr w:rsidR="00BD5DC5" w:rsidRPr="00F17180" w14:paraId="1AE2BA22" w14:textId="77777777" w:rsidTr="005902FA">
        <w:trPr>
          <w:trHeight w:val="119"/>
          <w:jc w:val="center"/>
        </w:trPr>
        <w:tc>
          <w:tcPr>
            <w:tcW w:w="1302" w:type="dxa"/>
          </w:tcPr>
          <w:p w14:paraId="4B12B16E" w14:textId="77777777" w:rsidR="00BD5DC5" w:rsidRPr="00F17180" w:rsidRDefault="00BD5DC5" w:rsidP="00B53D4B">
            <w:pPr>
              <w:jc w:val="center"/>
              <w:rPr>
                <w:rFonts w:ascii="ITC Avant Garde" w:hAnsi="ITC Avant Garde" w:cs="Arial"/>
                <w:sz w:val="16"/>
                <w:szCs w:val="16"/>
              </w:rPr>
            </w:pPr>
            <w:r w:rsidRPr="00F17180">
              <w:rPr>
                <w:rFonts w:ascii="ITC Avant Garde" w:hAnsi="ITC Avant Garde" w:cs="Arial"/>
                <w:sz w:val="16"/>
                <w:szCs w:val="16"/>
              </w:rPr>
              <w:t>818.125</w:t>
            </w:r>
          </w:p>
        </w:tc>
        <w:tc>
          <w:tcPr>
            <w:tcW w:w="1392" w:type="dxa"/>
          </w:tcPr>
          <w:p w14:paraId="272D9610" w14:textId="77777777" w:rsidR="00BD5DC5" w:rsidRPr="00F17180" w:rsidRDefault="00BD5DC5" w:rsidP="00B53D4B">
            <w:pPr>
              <w:jc w:val="center"/>
              <w:rPr>
                <w:rFonts w:ascii="ITC Avant Garde" w:hAnsi="ITC Avant Garde" w:cs="Arial"/>
                <w:sz w:val="16"/>
                <w:szCs w:val="16"/>
              </w:rPr>
            </w:pPr>
            <w:r w:rsidRPr="00F17180">
              <w:rPr>
                <w:rFonts w:ascii="ITC Avant Garde" w:hAnsi="ITC Avant Garde" w:cs="Arial"/>
                <w:sz w:val="16"/>
                <w:szCs w:val="16"/>
              </w:rPr>
              <w:t>863.125</w:t>
            </w:r>
          </w:p>
        </w:tc>
      </w:tr>
      <w:tr w:rsidR="00BD5DC5" w:rsidRPr="00F17180" w14:paraId="0A67AE56" w14:textId="77777777" w:rsidTr="005902FA">
        <w:trPr>
          <w:trHeight w:val="48"/>
          <w:jc w:val="center"/>
        </w:trPr>
        <w:tc>
          <w:tcPr>
            <w:tcW w:w="1302" w:type="dxa"/>
          </w:tcPr>
          <w:p w14:paraId="070B676C" w14:textId="77777777" w:rsidR="00BD5DC5" w:rsidRPr="00F17180" w:rsidRDefault="00BD5DC5" w:rsidP="00B53D4B">
            <w:pPr>
              <w:jc w:val="center"/>
              <w:rPr>
                <w:rFonts w:ascii="ITC Avant Garde" w:hAnsi="ITC Avant Garde" w:cs="Arial"/>
                <w:sz w:val="16"/>
                <w:szCs w:val="16"/>
              </w:rPr>
            </w:pPr>
            <w:r w:rsidRPr="00F17180">
              <w:rPr>
                <w:rFonts w:ascii="ITC Avant Garde" w:hAnsi="ITC Avant Garde" w:cs="Arial"/>
                <w:sz w:val="16"/>
                <w:szCs w:val="16"/>
              </w:rPr>
              <w:t>819.125</w:t>
            </w:r>
          </w:p>
        </w:tc>
        <w:tc>
          <w:tcPr>
            <w:tcW w:w="1392" w:type="dxa"/>
          </w:tcPr>
          <w:p w14:paraId="5B8B4F22" w14:textId="77777777" w:rsidR="00BD5DC5" w:rsidRPr="00F17180" w:rsidRDefault="00BD5DC5" w:rsidP="00B53D4B">
            <w:pPr>
              <w:jc w:val="center"/>
              <w:rPr>
                <w:rFonts w:ascii="ITC Avant Garde" w:hAnsi="ITC Avant Garde" w:cs="Arial"/>
                <w:sz w:val="16"/>
                <w:szCs w:val="16"/>
              </w:rPr>
            </w:pPr>
            <w:r w:rsidRPr="00F17180">
              <w:rPr>
                <w:rFonts w:ascii="ITC Avant Garde" w:hAnsi="ITC Avant Garde" w:cs="Arial"/>
                <w:sz w:val="16"/>
                <w:szCs w:val="16"/>
              </w:rPr>
              <w:t>864.125</w:t>
            </w:r>
          </w:p>
        </w:tc>
      </w:tr>
      <w:tr w:rsidR="00BD5DC5" w:rsidRPr="00F17180" w14:paraId="0902F64C" w14:textId="77777777" w:rsidTr="005902FA">
        <w:trPr>
          <w:trHeight w:val="22"/>
          <w:jc w:val="center"/>
        </w:trPr>
        <w:tc>
          <w:tcPr>
            <w:tcW w:w="1302" w:type="dxa"/>
          </w:tcPr>
          <w:p w14:paraId="4697CAB2" w14:textId="77777777" w:rsidR="00BD5DC5" w:rsidRPr="00F17180" w:rsidRDefault="00BD5DC5" w:rsidP="00B53D4B">
            <w:pPr>
              <w:jc w:val="center"/>
              <w:rPr>
                <w:rFonts w:ascii="ITC Avant Garde" w:hAnsi="ITC Avant Garde" w:cs="Arial"/>
                <w:sz w:val="16"/>
                <w:szCs w:val="16"/>
              </w:rPr>
            </w:pPr>
            <w:r w:rsidRPr="00F17180">
              <w:rPr>
                <w:rFonts w:ascii="ITC Avant Garde" w:hAnsi="ITC Avant Garde" w:cs="Arial"/>
                <w:sz w:val="16"/>
                <w:szCs w:val="16"/>
              </w:rPr>
              <w:t>820.125</w:t>
            </w:r>
          </w:p>
        </w:tc>
        <w:tc>
          <w:tcPr>
            <w:tcW w:w="1392" w:type="dxa"/>
          </w:tcPr>
          <w:p w14:paraId="4847E402" w14:textId="77777777" w:rsidR="00BD5DC5" w:rsidRPr="00F17180" w:rsidRDefault="00BD5DC5" w:rsidP="00B53D4B">
            <w:pPr>
              <w:jc w:val="center"/>
              <w:rPr>
                <w:rFonts w:ascii="ITC Avant Garde" w:hAnsi="ITC Avant Garde" w:cs="Arial"/>
                <w:sz w:val="16"/>
                <w:szCs w:val="16"/>
              </w:rPr>
            </w:pPr>
            <w:r w:rsidRPr="00F17180">
              <w:rPr>
                <w:rFonts w:ascii="ITC Avant Garde" w:hAnsi="ITC Avant Garde" w:cs="Arial"/>
                <w:sz w:val="16"/>
                <w:szCs w:val="16"/>
              </w:rPr>
              <w:t>865.125</w:t>
            </w:r>
          </w:p>
        </w:tc>
      </w:tr>
    </w:tbl>
    <w:p w14:paraId="0BF09A34" w14:textId="77777777" w:rsidR="000660C0" w:rsidRDefault="000660C0" w:rsidP="00B53D4B">
      <w:pPr>
        <w:ind w:left="567"/>
        <w:jc w:val="both"/>
        <w:rPr>
          <w:rFonts w:ascii="ITC Avant Garde" w:eastAsia="Calibri" w:hAnsi="ITC Avant Garde"/>
          <w:bCs/>
          <w:color w:val="000000"/>
          <w:sz w:val="22"/>
          <w:szCs w:val="22"/>
          <w:lang w:eastAsia="es-MX"/>
        </w:rPr>
      </w:pPr>
    </w:p>
    <w:p w14:paraId="52937039" w14:textId="77777777" w:rsidR="00D2656D" w:rsidRPr="00F17180" w:rsidRDefault="00D2656D" w:rsidP="00B53D4B">
      <w:pPr>
        <w:ind w:left="567"/>
        <w:jc w:val="both"/>
        <w:rPr>
          <w:rFonts w:ascii="ITC Avant Garde" w:eastAsia="Calibri" w:hAnsi="ITC Avant Garde"/>
          <w:bCs/>
          <w:color w:val="000000"/>
          <w:sz w:val="22"/>
          <w:szCs w:val="22"/>
          <w:lang w:eastAsia="es-MX"/>
        </w:rPr>
      </w:pPr>
    </w:p>
    <w:p w14:paraId="4D8609F0" w14:textId="5CA65D4A" w:rsidR="000660C0" w:rsidRPr="00F17180" w:rsidRDefault="00BD5DC5" w:rsidP="00B53D4B">
      <w:pPr>
        <w:ind w:left="567"/>
        <w:jc w:val="both"/>
        <w:rPr>
          <w:rFonts w:ascii="ITC Avant Garde" w:eastAsia="Calibri" w:hAnsi="ITC Avant Garde"/>
          <w:bCs/>
          <w:color w:val="000000"/>
          <w:sz w:val="22"/>
          <w:szCs w:val="22"/>
          <w:lang w:val="en-US" w:eastAsia="es-MX"/>
        </w:rPr>
      </w:pPr>
      <w:r w:rsidRPr="00F17180">
        <w:rPr>
          <w:rFonts w:ascii="ITC Avant Garde" w:eastAsia="Calibri" w:hAnsi="ITC Avant Garde"/>
          <w:bCs/>
          <w:color w:val="000000"/>
          <w:sz w:val="22"/>
          <w:szCs w:val="22"/>
          <w:lang w:val="en-US" w:eastAsia="es-MX"/>
        </w:rPr>
        <w:t>Est. Reynosa LN</w:t>
      </w:r>
      <w:r w:rsidR="00211CB8" w:rsidRPr="00F17180">
        <w:rPr>
          <w:rFonts w:ascii="ITC Avant Garde" w:eastAsia="Calibri" w:hAnsi="ITC Avant Garde"/>
          <w:bCs/>
          <w:color w:val="000000"/>
          <w:sz w:val="22"/>
          <w:szCs w:val="22"/>
          <w:lang w:val="en-US" w:eastAsia="es-MX"/>
        </w:rPr>
        <w:t>:</w:t>
      </w:r>
      <w:r w:rsidRPr="00F17180">
        <w:rPr>
          <w:rFonts w:ascii="ITC Avant Garde" w:eastAsia="Calibri" w:hAnsi="ITC Avant Garde"/>
          <w:bCs/>
          <w:color w:val="000000"/>
          <w:sz w:val="22"/>
          <w:szCs w:val="22"/>
          <w:lang w:val="en-US" w:eastAsia="es-MX"/>
        </w:rPr>
        <w:t xml:space="preserve"> 26°05’04’’ </w:t>
      </w:r>
      <w:r w:rsidR="00211CB8" w:rsidRPr="00F17180">
        <w:rPr>
          <w:rFonts w:ascii="ITC Avant Garde" w:eastAsia="Calibri" w:hAnsi="ITC Avant Garde"/>
          <w:bCs/>
          <w:color w:val="000000"/>
          <w:sz w:val="22"/>
          <w:szCs w:val="22"/>
          <w:lang w:val="en-US" w:eastAsia="es-MX"/>
        </w:rPr>
        <w:t xml:space="preserve">  </w:t>
      </w:r>
      <w:r w:rsidRPr="00F17180">
        <w:rPr>
          <w:rFonts w:ascii="ITC Avant Garde" w:eastAsia="Calibri" w:hAnsi="ITC Avant Garde"/>
          <w:bCs/>
          <w:color w:val="000000"/>
          <w:sz w:val="22"/>
          <w:szCs w:val="22"/>
          <w:lang w:val="en-US" w:eastAsia="es-MX"/>
        </w:rPr>
        <w:t>LW</w:t>
      </w:r>
      <w:r w:rsidR="00211CB8" w:rsidRPr="00F17180">
        <w:rPr>
          <w:rFonts w:ascii="ITC Avant Garde" w:eastAsia="Calibri" w:hAnsi="ITC Avant Garde"/>
          <w:bCs/>
          <w:color w:val="000000"/>
          <w:sz w:val="22"/>
          <w:szCs w:val="22"/>
          <w:lang w:val="en-US" w:eastAsia="es-MX"/>
        </w:rPr>
        <w:t>:</w:t>
      </w:r>
      <w:r w:rsidRPr="00F17180">
        <w:rPr>
          <w:rFonts w:ascii="ITC Avant Garde" w:eastAsia="Calibri" w:hAnsi="ITC Avant Garde"/>
          <w:bCs/>
          <w:color w:val="000000"/>
          <w:sz w:val="22"/>
          <w:szCs w:val="22"/>
          <w:lang w:val="en-US" w:eastAsia="es-MX"/>
        </w:rPr>
        <w:t xml:space="preserve"> 98°17’30’’</w:t>
      </w:r>
    </w:p>
    <w:p w14:paraId="6C828CDF" w14:textId="071EC4DF" w:rsidR="00BD5DC5" w:rsidRPr="00F17180" w:rsidRDefault="00BD5DC5" w:rsidP="00B53D4B">
      <w:pPr>
        <w:ind w:left="567"/>
        <w:jc w:val="both"/>
        <w:rPr>
          <w:rFonts w:ascii="ITC Avant Garde" w:eastAsia="Calibri" w:hAnsi="ITC Avant Garde"/>
          <w:bCs/>
          <w:color w:val="000000"/>
          <w:sz w:val="22"/>
          <w:szCs w:val="22"/>
          <w:lang w:eastAsia="es-MX"/>
        </w:rPr>
      </w:pPr>
      <w:proofErr w:type="spellStart"/>
      <w:r w:rsidRPr="00F17180">
        <w:rPr>
          <w:rFonts w:ascii="ITC Avant Garde" w:eastAsia="Calibri" w:hAnsi="ITC Avant Garde"/>
          <w:bCs/>
          <w:color w:val="000000"/>
          <w:sz w:val="22"/>
          <w:szCs w:val="22"/>
          <w:lang w:eastAsia="es-MX"/>
        </w:rPr>
        <w:t>Est</w:t>
      </w:r>
      <w:proofErr w:type="spellEnd"/>
      <w:r w:rsidRPr="00F17180">
        <w:rPr>
          <w:rFonts w:ascii="ITC Avant Garde" w:eastAsia="Calibri" w:hAnsi="ITC Avant Garde"/>
          <w:bCs/>
          <w:color w:val="000000"/>
          <w:sz w:val="22"/>
          <w:szCs w:val="22"/>
          <w:lang w:eastAsia="es-MX"/>
        </w:rPr>
        <w:t xml:space="preserve">. El Cielo </w:t>
      </w:r>
      <w:r w:rsidR="00211CB8" w:rsidRPr="00F17180">
        <w:rPr>
          <w:rFonts w:ascii="ITC Avant Garde" w:eastAsia="Calibri" w:hAnsi="ITC Avant Garde"/>
          <w:bCs/>
          <w:color w:val="000000"/>
          <w:sz w:val="22"/>
          <w:szCs w:val="22"/>
          <w:lang w:eastAsia="es-MX"/>
        </w:rPr>
        <w:t xml:space="preserve"> </w:t>
      </w:r>
      <w:r w:rsidRPr="00F17180">
        <w:rPr>
          <w:rFonts w:ascii="ITC Avant Garde" w:eastAsia="Calibri" w:hAnsi="ITC Avant Garde"/>
          <w:bCs/>
          <w:color w:val="000000"/>
          <w:sz w:val="22"/>
          <w:szCs w:val="22"/>
          <w:lang w:eastAsia="es-MX"/>
        </w:rPr>
        <w:t>LN</w:t>
      </w:r>
      <w:r w:rsidR="00211CB8" w:rsidRPr="00F17180">
        <w:rPr>
          <w:rFonts w:ascii="ITC Avant Garde" w:eastAsia="Calibri" w:hAnsi="ITC Avant Garde"/>
          <w:bCs/>
          <w:color w:val="000000"/>
          <w:sz w:val="22"/>
          <w:szCs w:val="22"/>
          <w:lang w:eastAsia="es-MX"/>
        </w:rPr>
        <w:t>:</w:t>
      </w:r>
      <w:r w:rsidRPr="00F17180">
        <w:rPr>
          <w:rFonts w:ascii="ITC Avant Garde" w:eastAsia="Calibri" w:hAnsi="ITC Avant Garde"/>
          <w:bCs/>
          <w:color w:val="000000"/>
          <w:sz w:val="22"/>
          <w:szCs w:val="22"/>
          <w:lang w:eastAsia="es-MX"/>
        </w:rPr>
        <w:t xml:space="preserve"> 23°05’58’’ </w:t>
      </w:r>
      <w:r w:rsidR="00211CB8" w:rsidRPr="00F17180">
        <w:rPr>
          <w:rFonts w:ascii="ITC Avant Garde" w:eastAsia="Calibri" w:hAnsi="ITC Avant Garde"/>
          <w:bCs/>
          <w:color w:val="000000"/>
          <w:sz w:val="22"/>
          <w:szCs w:val="22"/>
          <w:lang w:eastAsia="es-MX"/>
        </w:rPr>
        <w:t xml:space="preserve">  </w:t>
      </w:r>
      <w:r w:rsidRPr="00F17180">
        <w:rPr>
          <w:rFonts w:ascii="ITC Avant Garde" w:eastAsia="Calibri" w:hAnsi="ITC Avant Garde"/>
          <w:bCs/>
          <w:color w:val="000000"/>
          <w:sz w:val="22"/>
          <w:szCs w:val="22"/>
          <w:lang w:eastAsia="es-MX"/>
        </w:rPr>
        <w:t>LW</w:t>
      </w:r>
      <w:r w:rsidR="00211CB8" w:rsidRPr="00F17180">
        <w:rPr>
          <w:rFonts w:ascii="ITC Avant Garde" w:eastAsia="Calibri" w:hAnsi="ITC Avant Garde"/>
          <w:bCs/>
          <w:color w:val="000000"/>
          <w:sz w:val="22"/>
          <w:szCs w:val="22"/>
          <w:lang w:eastAsia="es-MX"/>
        </w:rPr>
        <w:t>:</w:t>
      </w:r>
      <w:r w:rsidRPr="00F17180">
        <w:rPr>
          <w:rFonts w:ascii="ITC Avant Garde" w:eastAsia="Calibri" w:hAnsi="ITC Avant Garde"/>
          <w:bCs/>
          <w:color w:val="000000"/>
          <w:sz w:val="22"/>
          <w:szCs w:val="22"/>
          <w:lang w:eastAsia="es-MX"/>
        </w:rPr>
        <w:t xml:space="preserve"> 98°11’42’’</w:t>
      </w:r>
    </w:p>
    <w:p w14:paraId="285874DD" w14:textId="3B23A29A" w:rsidR="000660C0" w:rsidRPr="005902FA" w:rsidRDefault="005902FA" w:rsidP="005902FA">
      <w:pPr>
        <w:ind w:left="567"/>
        <w:jc w:val="center"/>
        <w:rPr>
          <w:rFonts w:ascii="ITC Avant Garde" w:eastAsia="Calibri" w:hAnsi="ITC Avant Garde"/>
          <w:bCs/>
          <w:color w:val="000000"/>
          <w:sz w:val="20"/>
          <w:lang w:eastAsia="es-MX"/>
        </w:rPr>
      </w:pPr>
      <w:r w:rsidRPr="005902FA">
        <w:rPr>
          <w:rFonts w:ascii="ITC Avant Garde" w:hAnsi="ITC Avant Garde" w:cs="Arial"/>
          <w:b/>
          <w:sz w:val="20"/>
        </w:rPr>
        <w:t>GRUPO 7 E</w:t>
      </w:r>
    </w:p>
    <w:tbl>
      <w:tblPr>
        <w:tblStyle w:val="Tablaconcuadrcula"/>
        <w:tblW w:w="2836" w:type="dxa"/>
        <w:jc w:val="center"/>
        <w:tblLook w:val="0000" w:firstRow="0" w:lastRow="0" w:firstColumn="0" w:lastColumn="0" w:noHBand="0" w:noVBand="0"/>
        <w:tblCaption w:val="En el Estado de Tamaulipas utilizan las siguientes frecuencias."/>
        <w:tblDescription w:val="SERIE 407 E&#10;Rx (MHz)&#10;816.175&#10;817.175&#10;818.175&#10;819.175&#10;820.175&#10;"/>
      </w:tblPr>
      <w:tblGrid>
        <w:gridCol w:w="1418"/>
        <w:gridCol w:w="1418"/>
      </w:tblGrid>
      <w:tr w:rsidR="005902FA" w:rsidRPr="00F17180" w14:paraId="61A7278B" w14:textId="77777777" w:rsidTr="005902FA">
        <w:trPr>
          <w:trHeight w:val="22"/>
          <w:tblHeader/>
          <w:jc w:val="center"/>
        </w:trPr>
        <w:tc>
          <w:tcPr>
            <w:tcW w:w="1418" w:type="dxa"/>
            <w:shd w:val="clear" w:color="auto" w:fill="A6A6A6" w:themeFill="background1" w:themeFillShade="A6"/>
          </w:tcPr>
          <w:p w14:paraId="7E556D8D" w14:textId="77777777" w:rsidR="005902FA" w:rsidRPr="00F17180" w:rsidRDefault="005902FA" w:rsidP="005902FA">
            <w:pPr>
              <w:jc w:val="center"/>
              <w:rPr>
                <w:rFonts w:ascii="ITC Avant Garde" w:hAnsi="ITC Avant Garde" w:cs="Arial"/>
                <w:b/>
                <w:sz w:val="16"/>
                <w:szCs w:val="16"/>
              </w:rPr>
            </w:pPr>
            <w:r w:rsidRPr="00F17180">
              <w:rPr>
                <w:rFonts w:ascii="ITC Avant Garde" w:hAnsi="ITC Avant Garde" w:cs="Arial"/>
                <w:b/>
                <w:sz w:val="16"/>
                <w:szCs w:val="16"/>
              </w:rPr>
              <w:t>SERIE 407 E</w:t>
            </w:r>
          </w:p>
        </w:tc>
        <w:tc>
          <w:tcPr>
            <w:tcW w:w="1418" w:type="dxa"/>
            <w:shd w:val="clear" w:color="auto" w:fill="A6A6A6" w:themeFill="background1" w:themeFillShade="A6"/>
          </w:tcPr>
          <w:p w14:paraId="2A10CD77" w14:textId="426FC3CF" w:rsidR="005902FA" w:rsidRPr="00F17180" w:rsidRDefault="005902FA" w:rsidP="005902FA">
            <w:pPr>
              <w:jc w:val="center"/>
              <w:rPr>
                <w:rFonts w:ascii="ITC Avant Garde" w:hAnsi="ITC Avant Garde" w:cs="Arial"/>
                <w:b/>
                <w:sz w:val="16"/>
                <w:szCs w:val="16"/>
              </w:rPr>
            </w:pPr>
            <w:r w:rsidRPr="00F17180">
              <w:rPr>
                <w:rFonts w:ascii="ITC Avant Garde" w:hAnsi="ITC Avant Garde" w:cs="Arial"/>
                <w:b/>
                <w:sz w:val="16"/>
                <w:szCs w:val="16"/>
              </w:rPr>
              <w:t>SERIE 407 E</w:t>
            </w:r>
          </w:p>
        </w:tc>
      </w:tr>
      <w:tr w:rsidR="00BD5DC5" w:rsidRPr="00F17180" w14:paraId="1D7EE289" w14:textId="77777777" w:rsidTr="005902FA">
        <w:trPr>
          <w:trHeight w:val="184"/>
          <w:jc w:val="center"/>
        </w:trPr>
        <w:tc>
          <w:tcPr>
            <w:tcW w:w="1418" w:type="dxa"/>
            <w:shd w:val="clear" w:color="auto" w:fill="A6A6A6" w:themeFill="background1" w:themeFillShade="A6"/>
          </w:tcPr>
          <w:p w14:paraId="64A4ED1D" w14:textId="77777777" w:rsidR="00BD5DC5" w:rsidRPr="00F17180" w:rsidRDefault="00BD5DC5" w:rsidP="00B53D4B">
            <w:pPr>
              <w:jc w:val="center"/>
              <w:rPr>
                <w:rFonts w:ascii="ITC Avant Garde" w:hAnsi="ITC Avant Garde" w:cs="Arial"/>
                <w:b/>
                <w:sz w:val="16"/>
                <w:szCs w:val="16"/>
              </w:rPr>
            </w:pPr>
            <w:proofErr w:type="spellStart"/>
            <w:r w:rsidRPr="00F17180">
              <w:rPr>
                <w:rFonts w:ascii="ITC Avant Garde" w:hAnsi="ITC Avant Garde" w:cs="Arial"/>
                <w:b/>
                <w:sz w:val="16"/>
                <w:szCs w:val="16"/>
              </w:rPr>
              <w:t>Rx</w:t>
            </w:r>
            <w:proofErr w:type="spellEnd"/>
            <w:r w:rsidRPr="00F17180">
              <w:rPr>
                <w:rFonts w:ascii="ITC Avant Garde" w:hAnsi="ITC Avant Garde" w:cs="Arial"/>
                <w:b/>
                <w:sz w:val="16"/>
                <w:szCs w:val="16"/>
              </w:rPr>
              <w:t xml:space="preserve"> (MHz)</w:t>
            </w:r>
          </w:p>
        </w:tc>
        <w:tc>
          <w:tcPr>
            <w:tcW w:w="1418" w:type="dxa"/>
            <w:shd w:val="clear" w:color="auto" w:fill="A6A6A6" w:themeFill="background1" w:themeFillShade="A6"/>
          </w:tcPr>
          <w:p w14:paraId="262967C6" w14:textId="77777777" w:rsidR="00BD5DC5" w:rsidRPr="00F17180" w:rsidRDefault="00BD5DC5" w:rsidP="00B53D4B">
            <w:pPr>
              <w:jc w:val="center"/>
              <w:rPr>
                <w:rFonts w:ascii="ITC Avant Garde" w:hAnsi="ITC Avant Garde" w:cs="Arial"/>
                <w:b/>
                <w:sz w:val="16"/>
                <w:szCs w:val="16"/>
              </w:rPr>
            </w:pPr>
            <w:proofErr w:type="spellStart"/>
            <w:r w:rsidRPr="00F17180">
              <w:rPr>
                <w:rFonts w:ascii="ITC Avant Garde" w:hAnsi="ITC Avant Garde" w:cs="Arial"/>
                <w:b/>
                <w:sz w:val="16"/>
                <w:szCs w:val="16"/>
              </w:rPr>
              <w:t>Rx</w:t>
            </w:r>
            <w:proofErr w:type="spellEnd"/>
            <w:r w:rsidRPr="00F17180">
              <w:rPr>
                <w:rFonts w:ascii="ITC Avant Garde" w:hAnsi="ITC Avant Garde" w:cs="Arial"/>
                <w:b/>
                <w:sz w:val="16"/>
                <w:szCs w:val="16"/>
              </w:rPr>
              <w:t xml:space="preserve"> (MHz)</w:t>
            </w:r>
          </w:p>
        </w:tc>
      </w:tr>
      <w:tr w:rsidR="00BD5DC5" w:rsidRPr="00F17180" w14:paraId="517D50EC" w14:textId="77777777" w:rsidTr="005902FA">
        <w:trPr>
          <w:trHeight w:val="177"/>
          <w:jc w:val="center"/>
        </w:trPr>
        <w:tc>
          <w:tcPr>
            <w:tcW w:w="1418" w:type="dxa"/>
          </w:tcPr>
          <w:p w14:paraId="27C55FD0" w14:textId="77777777" w:rsidR="00BD5DC5" w:rsidRPr="00F17180" w:rsidRDefault="00BD5DC5" w:rsidP="00B53D4B">
            <w:pPr>
              <w:jc w:val="center"/>
              <w:rPr>
                <w:rFonts w:ascii="ITC Avant Garde" w:hAnsi="ITC Avant Garde" w:cs="Arial"/>
                <w:sz w:val="16"/>
                <w:szCs w:val="16"/>
              </w:rPr>
            </w:pPr>
            <w:r w:rsidRPr="00F17180">
              <w:rPr>
                <w:rFonts w:ascii="ITC Avant Garde" w:hAnsi="ITC Avant Garde" w:cs="Arial"/>
                <w:sz w:val="16"/>
                <w:szCs w:val="16"/>
              </w:rPr>
              <w:t>816.175</w:t>
            </w:r>
          </w:p>
        </w:tc>
        <w:tc>
          <w:tcPr>
            <w:tcW w:w="1418" w:type="dxa"/>
          </w:tcPr>
          <w:p w14:paraId="59F97153" w14:textId="77777777" w:rsidR="00BD5DC5" w:rsidRPr="00F17180" w:rsidRDefault="00BD5DC5" w:rsidP="00B53D4B">
            <w:pPr>
              <w:jc w:val="center"/>
              <w:rPr>
                <w:rFonts w:ascii="ITC Avant Garde" w:hAnsi="ITC Avant Garde" w:cs="Arial"/>
                <w:sz w:val="16"/>
                <w:szCs w:val="16"/>
              </w:rPr>
            </w:pPr>
            <w:r w:rsidRPr="00F17180">
              <w:rPr>
                <w:rFonts w:ascii="ITC Avant Garde" w:hAnsi="ITC Avant Garde" w:cs="Arial"/>
                <w:sz w:val="16"/>
                <w:szCs w:val="16"/>
              </w:rPr>
              <w:t>861.175</w:t>
            </w:r>
          </w:p>
        </w:tc>
      </w:tr>
      <w:tr w:rsidR="00BD5DC5" w:rsidRPr="00F17180" w14:paraId="69CAFE23" w14:textId="77777777" w:rsidTr="005902FA">
        <w:trPr>
          <w:trHeight w:val="140"/>
          <w:jc w:val="center"/>
        </w:trPr>
        <w:tc>
          <w:tcPr>
            <w:tcW w:w="1418" w:type="dxa"/>
          </w:tcPr>
          <w:p w14:paraId="4F964A6C" w14:textId="77777777" w:rsidR="00BD5DC5" w:rsidRPr="00F17180" w:rsidRDefault="00BD5DC5" w:rsidP="00B53D4B">
            <w:pPr>
              <w:jc w:val="center"/>
              <w:rPr>
                <w:rFonts w:ascii="ITC Avant Garde" w:hAnsi="ITC Avant Garde" w:cs="Arial"/>
                <w:sz w:val="16"/>
                <w:szCs w:val="16"/>
              </w:rPr>
            </w:pPr>
            <w:r w:rsidRPr="00F17180">
              <w:rPr>
                <w:rFonts w:ascii="ITC Avant Garde" w:hAnsi="ITC Avant Garde" w:cs="Arial"/>
                <w:sz w:val="16"/>
                <w:szCs w:val="16"/>
              </w:rPr>
              <w:t>817.175</w:t>
            </w:r>
          </w:p>
        </w:tc>
        <w:tc>
          <w:tcPr>
            <w:tcW w:w="1418" w:type="dxa"/>
          </w:tcPr>
          <w:p w14:paraId="53B1DF29" w14:textId="77777777" w:rsidR="00BD5DC5" w:rsidRPr="00F17180" w:rsidRDefault="00BD5DC5" w:rsidP="00B53D4B">
            <w:pPr>
              <w:jc w:val="center"/>
              <w:rPr>
                <w:rFonts w:ascii="ITC Avant Garde" w:hAnsi="ITC Avant Garde" w:cs="Arial"/>
                <w:sz w:val="16"/>
                <w:szCs w:val="16"/>
              </w:rPr>
            </w:pPr>
            <w:r w:rsidRPr="00F17180">
              <w:rPr>
                <w:rFonts w:ascii="ITC Avant Garde" w:hAnsi="ITC Avant Garde" w:cs="Arial"/>
                <w:sz w:val="16"/>
                <w:szCs w:val="16"/>
              </w:rPr>
              <w:t>862.175</w:t>
            </w:r>
          </w:p>
        </w:tc>
      </w:tr>
      <w:tr w:rsidR="00BD5DC5" w:rsidRPr="00F17180" w14:paraId="20241A8B" w14:textId="77777777" w:rsidTr="005902FA">
        <w:trPr>
          <w:trHeight w:val="119"/>
          <w:jc w:val="center"/>
        </w:trPr>
        <w:tc>
          <w:tcPr>
            <w:tcW w:w="1418" w:type="dxa"/>
          </w:tcPr>
          <w:p w14:paraId="2B84612E" w14:textId="77777777" w:rsidR="00BD5DC5" w:rsidRPr="00F17180" w:rsidRDefault="00BD5DC5" w:rsidP="00B53D4B">
            <w:pPr>
              <w:jc w:val="center"/>
              <w:rPr>
                <w:rFonts w:ascii="ITC Avant Garde" w:hAnsi="ITC Avant Garde" w:cs="Arial"/>
                <w:sz w:val="16"/>
                <w:szCs w:val="16"/>
              </w:rPr>
            </w:pPr>
            <w:r w:rsidRPr="00F17180">
              <w:rPr>
                <w:rFonts w:ascii="ITC Avant Garde" w:hAnsi="ITC Avant Garde" w:cs="Arial"/>
                <w:sz w:val="16"/>
                <w:szCs w:val="16"/>
              </w:rPr>
              <w:t>818.175</w:t>
            </w:r>
          </w:p>
        </w:tc>
        <w:tc>
          <w:tcPr>
            <w:tcW w:w="1418" w:type="dxa"/>
          </w:tcPr>
          <w:p w14:paraId="1090DABC" w14:textId="77777777" w:rsidR="00BD5DC5" w:rsidRPr="00F17180" w:rsidRDefault="00BD5DC5" w:rsidP="00B53D4B">
            <w:pPr>
              <w:jc w:val="center"/>
              <w:rPr>
                <w:rFonts w:ascii="ITC Avant Garde" w:hAnsi="ITC Avant Garde" w:cs="Arial"/>
                <w:sz w:val="16"/>
                <w:szCs w:val="16"/>
              </w:rPr>
            </w:pPr>
            <w:r w:rsidRPr="00F17180">
              <w:rPr>
                <w:rFonts w:ascii="ITC Avant Garde" w:hAnsi="ITC Avant Garde" w:cs="Arial"/>
                <w:sz w:val="16"/>
                <w:szCs w:val="16"/>
              </w:rPr>
              <w:t>863.175</w:t>
            </w:r>
          </w:p>
        </w:tc>
      </w:tr>
      <w:tr w:rsidR="00BD5DC5" w:rsidRPr="00F17180" w14:paraId="14D6EC32" w14:textId="77777777" w:rsidTr="005902FA">
        <w:trPr>
          <w:trHeight w:val="48"/>
          <w:jc w:val="center"/>
        </w:trPr>
        <w:tc>
          <w:tcPr>
            <w:tcW w:w="1418" w:type="dxa"/>
          </w:tcPr>
          <w:p w14:paraId="241AFB79" w14:textId="77777777" w:rsidR="00BD5DC5" w:rsidRPr="00F17180" w:rsidRDefault="00BD5DC5" w:rsidP="00B53D4B">
            <w:pPr>
              <w:jc w:val="center"/>
              <w:rPr>
                <w:rFonts w:ascii="ITC Avant Garde" w:hAnsi="ITC Avant Garde" w:cs="Arial"/>
                <w:sz w:val="16"/>
                <w:szCs w:val="16"/>
              </w:rPr>
            </w:pPr>
            <w:r w:rsidRPr="00F17180">
              <w:rPr>
                <w:rFonts w:ascii="ITC Avant Garde" w:hAnsi="ITC Avant Garde" w:cs="Arial"/>
                <w:sz w:val="16"/>
                <w:szCs w:val="16"/>
              </w:rPr>
              <w:t>819.175</w:t>
            </w:r>
          </w:p>
        </w:tc>
        <w:tc>
          <w:tcPr>
            <w:tcW w:w="1418" w:type="dxa"/>
          </w:tcPr>
          <w:p w14:paraId="3A2E148B" w14:textId="77777777" w:rsidR="00BD5DC5" w:rsidRPr="00F17180" w:rsidRDefault="00BD5DC5" w:rsidP="00B53D4B">
            <w:pPr>
              <w:jc w:val="center"/>
              <w:rPr>
                <w:rFonts w:ascii="ITC Avant Garde" w:hAnsi="ITC Avant Garde" w:cs="Arial"/>
                <w:sz w:val="16"/>
                <w:szCs w:val="16"/>
              </w:rPr>
            </w:pPr>
            <w:r w:rsidRPr="00F17180">
              <w:rPr>
                <w:rFonts w:ascii="ITC Avant Garde" w:hAnsi="ITC Avant Garde" w:cs="Arial"/>
                <w:sz w:val="16"/>
                <w:szCs w:val="16"/>
              </w:rPr>
              <w:t>864.175</w:t>
            </w:r>
          </w:p>
        </w:tc>
      </w:tr>
      <w:tr w:rsidR="00BD5DC5" w:rsidRPr="00F17180" w14:paraId="622376A7" w14:textId="77777777" w:rsidTr="005902FA">
        <w:trPr>
          <w:trHeight w:val="22"/>
          <w:jc w:val="center"/>
        </w:trPr>
        <w:tc>
          <w:tcPr>
            <w:tcW w:w="1418" w:type="dxa"/>
          </w:tcPr>
          <w:p w14:paraId="142FE986" w14:textId="77777777" w:rsidR="00BD5DC5" w:rsidRPr="00F17180" w:rsidRDefault="00BD5DC5" w:rsidP="00B53D4B">
            <w:pPr>
              <w:jc w:val="center"/>
              <w:rPr>
                <w:rFonts w:ascii="ITC Avant Garde" w:hAnsi="ITC Avant Garde" w:cs="Arial"/>
                <w:sz w:val="16"/>
                <w:szCs w:val="16"/>
              </w:rPr>
            </w:pPr>
            <w:r w:rsidRPr="00F17180">
              <w:rPr>
                <w:rFonts w:ascii="ITC Avant Garde" w:hAnsi="ITC Avant Garde" w:cs="Arial"/>
                <w:sz w:val="16"/>
                <w:szCs w:val="16"/>
              </w:rPr>
              <w:t>820.175</w:t>
            </w:r>
          </w:p>
        </w:tc>
        <w:tc>
          <w:tcPr>
            <w:tcW w:w="1418" w:type="dxa"/>
          </w:tcPr>
          <w:p w14:paraId="0D1E655E" w14:textId="77777777" w:rsidR="00BD5DC5" w:rsidRPr="00F17180" w:rsidRDefault="00BD5DC5" w:rsidP="00B53D4B">
            <w:pPr>
              <w:jc w:val="center"/>
              <w:rPr>
                <w:rFonts w:ascii="ITC Avant Garde" w:hAnsi="ITC Avant Garde" w:cs="Arial"/>
                <w:sz w:val="16"/>
                <w:szCs w:val="16"/>
              </w:rPr>
            </w:pPr>
            <w:r w:rsidRPr="00F17180">
              <w:rPr>
                <w:rFonts w:ascii="ITC Avant Garde" w:hAnsi="ITC Avant Garde" w:cs="Arial"/>
                <w:sz w:val="16"/>
                <w:szCs w:val="16"/>
              </w:rPr>
              <w:t>865.175</w:t>
            </w:r>
          </w:p>
        </w:tc>
      </w:tr>
    </w:tbl>
    <w:p w14:paraId="5F9CB26A" w14:textId="77777777" w:rsidR="000660C0" w:rsidRDefault="000660C0" w:rsidP="00B53D4B">
      <w:pPr>
        <w:ind w:left="567"/>
        <w:jc w:val="both"/>
        <w:rPr>
          <w:rFonts w:ascii="ITC Avant Garde" w:eastAsia="Calibri" w:hAnsi="ITC Avant Garde"/>
          <w:bCs/>
          <w:color w:val="000000"/>
          <w:sz w:val="22"/>
          <w:szCs w:val="22"/>
          <w:lang w:eastAsia="es-MX"/>
        </w:rPr>
      </w:pPr>
    </w:p>
    <w:p w14:paraId="7D4519B6" w14:textId="77777777" w:rsidR="00D2656D" w:rsidRPr="00F17180" w:rsidRDefault="00D2656D" w:rsidP="00B53D4B">
      <w:pPr>
        <w:ind w:left="567"/>
        <w:jc w:val="both"/>
        <w:rPr>
          <w:rFonts w:ascii="ITC Avant Garde" w:eastAsia="Calibri" w:hAnsi="ITC Avant Garde"/>
          <w:bCs/>
          <w:color w:val="000000"/>
          <w:sz w:val="22"/>
          <w:szCs w:val="22"/>
          <w:lang w:eastAsia="es-MX"/>
        </w:rPr>
      </w:pPr>
    </w:p>
    <w:p w14:paraId="5E04084B" w14:textId="1AFDAFBC" w:rsidR="00BD5DC5" w:rsidRPr="00F17180" w:rsidRDefault="00BD5DC5" w:rsidP="00B53D4B">
      <w:pPr>
        <w:ind w:left="567"/>
        <w:jc w:val="both"/>
        <w:rPr>
          <w:rFonts w:ascii="ITC Avant Garde" w:eastAsia="Calibri" w:hAnsi="ITC Avant Garde"/>
          <w:bCs/>
          <w:color w:val="000000"/>
          <w:sz w:val="22"/>
          <w:szCs w:val="22"/>
          <w:lang w:val="en-US" w:eastAsia="es-MX"/>
        </w:rPr>
      </w:pPr>
      <w:r w:rsidRPr="00F17180">
        <w:rPr>
          <w:rFonts w:ascii="ITC Avant Garde" w:eastAsia="Calibri" w:hAnsi="ITC Avant Garde"/>
          <w:bCs/>
          <w:color w:val="000000"/>
          <w:sz w:val="22"/>
          <w:szCs w:val="22"/>
          <w:lang w:val="en-US" w:eastAsia="es-MX"/>
        </w:rPr>
        <w:t xml:space="preserve">Est. </w:t>
      </w:r>
      <w:proofErr w:type="spellStart"/>
      <w:r w:rsidRPr="00F17180">
        <w:rPr>
          <w:rFonts w:ascii="ITC Avant Garde" w:eastAsia="Calibri" w:hAnsi="ITC Avant Garde"/>
          <w:bCs/>
          <w:color w:val="000000"/>
          <w:sz w:val="22"/>
          <w:szCs w:val="22"/>
          <w:lang w:val="en-US" w:eastAsia="es-MX"/>
        </w:rPr>
        <w:t>Aldama</w:t>
      </w:r>
      <w:proofErr w:type="spellEnd"/>
      <w:r w:rsidR="0073271D" w:rsidRPr="00F17180">
        <w:rPr>
          <w:rFonts w:ascii="ITC Avant Garde" w:eastAsia="Calibri" w:hAnsi="ITC Avant Garde"/>
          <w:bCs/>
          <w:color w:val="000000"/>
          <w:sz w:val="22"/>
          <w:szCs w:val="22"/>
          <w:lang w:val="en-US" w:eastAsia="es-MX"/>
        </w:rPr>
        <w:tab/>
      </w:r>
      <w:r w:rsidR="0073271D" w:rsidRPr="00F17180">
        <w:rPr>
          <w:rFonts w:ascii="ITC Avant Garde" w:eastAsia="Calibri" w:hAnsi="ITC Avant Garde"/>
          <w:bCs/>
          <w:color w:val="000000"/>
          <w:sz w:val="22"/>
          <w:szCs w:val="22"/>
          <w:lang w:val="en-US" w:eastAsia="es-MX"/>
        </w:rPr>
        <w:tab/>
      </w:r>
      <w:r w:rsidR="0073271D" w:rsidRPr="00F17180">
        <w:rPr>
          <w:rFonts w:ascii="ITC Avant Garde" w:eastAsia="Calibri" w:hAnsi="ITC Avant Garde"/>
          <w:bCs/>
          <w:color w:val="000000"/>
          <w:sz w:val="22"/>
          <w:szCs w:val="22"/>
          <w:lang w:val="en-US" w:eastAsia="es-MX"/>
        </w:rPr>
        <w:tab/>
      </w:r>
      <w:r w:rsidRPr="00F17180">
        <w:rPr>
          <w:rFonts w:ascii="ITC Avant Garde" w:eastAsia="Calibri" w:hAnsi="ITC Avant Garde"/>
          <w:bCs/>
          <w:color w:val="000000"/>
          <w:sz w:val="22"/>
          <w:szCs w:val="22"/>
          <w:lang w:val="en-US" w:eastAsia="es-MX"/>
        </w:rPr>
        <w:t>LN</w:t>
      </w:r>
      <w:r w:rsidR="00211CB8" w:rsidRPr="00F17180">
        <w:rPr>
          <w:rFonts w:ascii="ITC Avant Garde" w:eastAsia="Calibri" w:hAnsi="ITC Avant Garde"/>
          <w:bCs/>
          <w:color w:val="000000"/>
          <w:sz w:val="22"/>
          <w:szCs w:val="22"/>
          <w:lang w:val="en-US" w:eastAsia="es-MX"/>
        </w:rPr>
        <w:t>:</w:t>
      </w:r>
      <w:r w:rsidRPr="00F17180">
        <w:rPr>
          <w:rFonts w:ascii="ITC Avant Garde" w:eastAsia="Calibri" w:hAnsi="ITC Avant Garde"/>
          <w:bCs/>
          <w:color w:val="000000"/>
          <w:sz w:val="22"/>
          <w:szCs w:val="22"/>
          <w:lang w:val="en-US" w:eastAsia="es-MX"/>
        </w:rPr>
        <w:t xml:space="preserve"> 22°57’29’’ LW</w:t>
      </w:r>
      <w:r w:rsidR="00211CB8" w:rsidRPr="00F17180">
        <w:rPr>
          <w:rFonts w:ascii="ITC Avant Garde" w:eastAsia="Calibri" w:hAnsi="ITC Avant Garde"/>
          <w:bCs/>
          <w:color w:val="000000"/>
          <w:sz w:val="22"/>
          <w:szCs w:val="22"/>
          <w:lang w:val="en-US" w:eastAsia="es-MX"/>
        </w:rPr>
        <w:t>:</w:t>
      </w:r>
      <w:r w:rsidRPr="00F17180">
        <w:rPr>
          <w:rFonts w:ascii="ITC Avant Garde" w:eastAsia="Calibri" w:hAnsi="ITC Avant Garde"/>
          <w:bCs/>
          <w:color w:val="000000"/>
          <w:sz w:val="22"/>
          <w:szCs w:val="22"/>
          <w:lang w:val="en-US" w:eastAsia="es-MX"/>
        </w:rPr>
        <w:t xml:space="preserve"> 98°00’42’’</w:t>
      </w:r>
    </w:p>
    <w:p w14:paraId="5BBF05FA" w14:textId="11259719" w:rsidR="00BD5DC5" w:rsidRPr="00F17180" w:rsidRDefault="00BD5DC5" w:rsidP="00B53D4B">
      <w:pPr>
        <w:ind w:left="567"/>
        <w:jc w:val="both"/>
        <w:rPr>
          <w:rFonts w:ascii="ITC Avant Garde" w:eastAsia="Calibri" w:hAnsi="ITC Avant Garde"/>
          <w:bCs/>
          <w:color w:val="000000"/>
          <w:sz w:val="22"/>
          <w:szCs w:val="22"/>
          <w:lang w:eastAsia="es-MX"/>
        </w:rPr>
      </w:pPr>
      <w:proofErr w:type="spellStart"/>
      <w:r w:rsidRPr="00F17180">
        <w:rPr>
          <w:rFonts w:ascii="ITC Avant Garde" w:eastAsia="Calibri" w:hAnsi="ITC Avant Garde"/>
          <w:bCs/>
          <w:color w:val="000000"/>
          <w:sz w:val="22"/>
          <w:szCs w:val="22"/>
          <w:lang w:eastAsia="es-MX"/>
        </w:rPr>
        <w:t>Est</w:t>
      </w:r>
      <w:proofErr w:type="spellEnd"/>
      <w:r w:rsidRPr="00F17180">
        <w:rPr>
          <w:rFonts w:ascii="ITC Avant Garde" w:eastAsia="Calibri" w:hAnsi="ITC Avant Garde"/>
          <w:bCs/>
          <w:color w:val="000000"/>
          <w:sz w:val="22"/>
          <w:szCs w:val="22"/>
          <w:lang w:eastAsia="es-MX"/>
        </w:rPr>
        <w:t>. Miguel Alemán</w:t>
      </w:r>
      <w:r w:rsidR="0073271D" w:rsidRPr="00F17180">
        <w:rPr>
          <w:rFonts w:ascii="ITC Avant Garde" w:eastAsia="Calibri" w:hAnsi="ITC Avant Garde"/>
          <w:bCs/>
          <w:color w:val="000000"/>
          <w:sz w:val="22"/>
          <w:szCs w:val="22"/>
          <w:lang w:eastAsia="es-MX"/>
        </w:rPr>
        <w:tab/>
      </w:r>
      <w:r w:rsidR="0073271D" w:rsidRPr="00F17180">
        <w:rPr>
          <w:rFonts w:ascii="ITC Avant Garde" w:eastAsia="Calibri" w:hAnsi="ITC Avant Garde"/>
          <w:bCs/>
          <w:color w:val="000000"/>
          <w:sz w:val="22"/>
          <w:szCs w:val="22"/>
          <w:lang w:eastAsia="es-MX"/>
        </w:rPr>
        <w:tab/>
      </w:r>
      <w:r w:rsidRPr="00F17180">
        <w:rPr>
          <w:rFonts w:ascii="ITC Avant Garde" w:eastAsia="Calibri" w:hAnsi="ITC Avant Garde"/>
          <w:bCs/>
          <w:color w:val="000000"/>
          <w:sz w:val="22"/>
          <w:szCs w:val="22"/>
          <w:lang w:eastAsia="es-MX"/>
        </w:rPr>
        <w:t>LN</w:t>
      </w:r>
      <w:r w:rsidR="00211CB8" w:rsidRPr="00F17180">
        <w:rPr>
          <w:rFonts w:ascii="ITC Avant Garde" w:eastAsia="Calibri" w:hAnsi="ITC Avant Garde"/>
          <w:bCs/>
          <w:color w:val="000000"/>
          <w:sz w:val="22"/>
          <w:szCs w:val="22"/>
          <w:lang w:eastAsia="es-MX"/>
        </w:rPr>
        <w:t>:</w:t>
      </w:r>
      <w:r w:rsidRPr="00F17180">
        <w:rPr>
          <w:rFonts w:ascii="ITC Avant Garde" w:eastAsia="Calibri" w:hAnsi="ITC Avant Garde"/>
          <w:bCs/>
          <w:color w:val="000000"/>
          <w:sz w:val="22"/>
          <w:szCs w:val="22"/>
          <w:lang w:eastAsia="es-MX"/>
        </w:rPr>
        <w:t xml:space="preserve"> 26°21’00’’ LW</w:t>
      </w:r>
      <w:r w:rsidR="00211CB8" w:rsidRPr="00F17180">
        <w:rPr>
          <w:rFonts w:ascii="ITC Avant Garde" w:eastAsia="Calibri" w:hAnsi="ITC Avant Garde"/>
          <w:bCs/>
          <w:color w:val="000000"/>
          <w:sz w:val="22"/>
          <w:szCs w:val="22"/>
          <w:lang w:eastAsia="es-MX"/>
        </w:rPr>
        <w:t>:</w:t>
      </w:r>
      <w:r w:rsidRPr="00F17180">
        <w:rPr>
          <w:rFonts w:ascii="ITC Avant Garde" w:eastAsia="Calibri" w:hAnsi="ITC Avant Garde"/>
          <w:bCs/>
          <w:color w:val="000000"/>
          <w:sz w:val="22"/>
          <w:szCs w:val="22"/>
          <w:lang w:eastAsia="es-MX"/>
        </w:rPr>
        <w:t xml:space="preserve"> 99°01’40’’</w:t>
      </w:r>
    </w:p>
    <w:p w14:paraId="684DBE0A" w14:textId="70C26EA3" w:rsidR="000660C0" w:rsidRPr="005902FA" w:rsidRDefault="005902FA" w:rsidP="005902FA">
      <w:pPr>
        <w:ind w:left="567"/>
        <w:jc w:val="center"/>
        <w:rPr>
          <w:rFonts w:ascii="ITC Avant Garde" w:eastAsia="Calibri" w:hAnsi="ITC Avant Garde"/>
          <w:bCs/>
          <w:color w:val="000000"/>
          <w:sz w:val="20"/>
          <w:lang w:eastAsia="es-MX"/>
        </w:rPr>
      </w:pPr>
      <w:r w:rsidRPr="005902FA">
        <w:rPr>
          <w:rFonts w:ascii="ITC Avant Garde" w:hAnsi="ITC Avant Garde" w:cs="Arial"/>
          <w:b/>
          <w:sz w:val="20"/>
        </w:rPr>
        <w:t>GRUPO 7 E</w:t>
      </w:r>
    </w:p>
    <w:tbl>
      <w:tblPr>
        <w:tblStyle w:val="Tablaconcuadrcula"/>
        <w:tblW w:w="2385" w:type="dxa"/>
        <w:jc w:val="center"/>
        <w:tblLook w:val="0000" w:firstRow="0" w:lastRow="0" w:firstColumn="0" w:lastColumn="0" w:noHBand="0" w:noVBand="0"/>
        <w:tblCaption w:val="Utilización de frecuencias en Est. Aldama y Est. Miguel Alemán."/>
        <w:tblDescription w:val="SERIE 427 E&#10;Rx (MHz)&#10;816.675&#10;817.675&#10;818.675&#10;819.675&#10;820.675&#10;"/>
      </w:tblPr>
      <w:tblGrid>
        <w:gridCol w:w="1155"/>
        <w:gridCol w:w="1230"/>
      </w:tblGrid>
      <w:tr w:rsidR="005902FA" w:rsidRPr="00F17180" w14:paraId="1A9EDF9B" w14:textId="77777777" w:rsidTr="005902FA">
        <w:trPr>
          <w:trHeight w:val="22"/>
          <w:tblHeader/>
          <w:jc w:val="center"/>
        </w:trPr>
        <w:tc>
          <w:tcPr>
            <w:tcW w:w="1155" w:type="dxa"/>
            <w:shd w:val="clear" w:color="auto" w:fill="A6A6A6" w:themeFill="background1" w:themeFillShade="A6"/>
          </w:tcPr>
          <w:p w14:paraId="0650797D" w14:textId="77777777" w:rsidR="005902FA" w:rsidRPr="00F17180" w:rsidRDefault="005902FA" w:rsidP="005902FA">
            <w:pPr>
              <w:jc w:val="center"/>
              <w:rPr>
                <w:rFonts w:ascii="ITC Avant Garde" w:hAnsi="ITC Avant Garde" w:cs="Arial"/>
                <w:b/>
                <w:sz w:val="16"/>
                <w:szCs w:val="16"/>
              </w:rPr>
            </w:pPr>
            <w:r w:rsidRPr="00F17180">
              <w:rPr>
                <w:rFonts w:ascii="ITC Avant Garde" w:hAnsi="ITC Avant Garde" w:cs="Arial"/>
                <w:b/>
                <w:sz w:val="16"/>
                <w:szCs w:val="16"/>
              </w:rPr>
              <w:t>SERIE 427 E</w:t>
            </w:r>
          </w:p>
        </w:tc>
        <w:tc>
          <w:tcPr>
            <w:tcW w:w="1230" w:type="dxa"/>
            <w:shd w:val="clear" w:color="auto" w:fill="A6A6A6" w:themeFill="background1" w:themeFillShade="A6"/>
          </w:tcPr>
          <w:p w14:paraId="0C364FC5" w14:textId="3A76742A" w:rsidR="005902FA" w:rsidRPr="00F17180" w:rsidRDefault="005902FA" w:rsidP="005902FA">
            <w:pPr>
              <w:jc w:val="center"/>
              <w:rPr>
                <w:rFonts w:ascii="ITC Avant Garde" w:hAnsi="ITC Avant Garde" w:cs="Arial"/>
                <w:b/>
                <w:sz w:val="16"/>
                <w:szCs w:val="16"/>
              </w:rPr>
            </w:pPr>
            <w:r w:rsidRPr="00F17180">
              <w:rPr>
                <w:rFonts w:ascii="ITC Avant Garde" w:hAnsi="ITC Avant Garde" w:cs="Arial"/>
                <w:b/>
                <w:sz w:val="16"/>
                <w:szCs w:val="16"/>
              </w:rPr>
              <w:t>SERIE 427 E</w:t>
            </w:r>
          </w:p>
        </w:tc>
      </w:tr>
      <w:tr w:rsidR="00BD5DC5" w:rsidRPr="00F17180" w14:paraId="71456E27" w14:textId="77777777" w:rsidTr="005902FA">
        <w:trPr>
          <w:trHeight w:val="184"/>
          <w:jc w:val="center"/>
        </w:trPr>
        <w:tc>
          <w:tcPr>
            <w:tcW w:w="1155" w:type="dxa"/>
            <w:shd w:val="clear" w:color="auto" w:fill="A6A6A6" w:themeFill="background1" w:themeFillShade="A6"/>
          </w:tcPr>
          <w:p w14:paraId="5BF50922" w14:textId="77777777" w:rsidR="00BD5DC5" w:rsidRPr="00F17180" w:rsidRDefault="00BD5DC5" w:rsidP="00B53D4B">
            <w:pPr>
              <w:jc w:val="center"/>
              <w:rPr>
                <w:rFonts w:ascii="ITC Avant Garde" w:hAnsi="ITC Avant Garde" w:cs="Arial"/>
                <w:b/>
                <w:sz w:val="16"/>
                <w:szCs w:val="16"/>
              </w:rPr>
            </w:pPr>
            <w:proofErr w:type="spellStart"/>
            <w:r w:rsidRPr="00F17180">
              <w:rPr>
                <w:rFonts w:ascii="ITC Avant Garde" w:hAnsi="ITC Avant Garde" w:cs="Arial"/>
                <w:b/>
                <w:sz w:val="16"/>
                <w:szCs w:val="16"/>
              </w:rPr>
              <w:t>Rx</w:t>
            </w:r>
            <w:proofErr w:type="spellEnd"/>
            <w:r w:rsidRPr="00F17180">
              <w:rPr>
                <w:rFonts w:ascii="ITC Avant Garde" w:hAnsi="ITC Avant Garde" w:cs="Arial"/>
                <w:b/>
                <w:sz w:val="16"/>
                <w:szCs w:val="16"/>
              </w:rPr>
              <w:t xml:space="preserve"> (MHz)</w:t>
            </w:r>
          </w:p>
        </w:tc>
        <w:tc>
          <w:tcPr>
            <w:tcW w:w="1230" w:type="dxa"/>
            <w:shd w:val="clear" w:color="auto" w:fill="A6A6A6" w:themeFill="background1" w:themeFillShade="A6"/>
          </w:tcPr>
          <w:p w14:paraId="626C56A9" w14:textId="77777777" w:rsidR="00BD5DC5" w:rsidRPr="00F17180" w:rsidRDefault="00BD5DC5" w:rsidP="00B53D4B">
            <w:pPr>
              <w:jc w:val="center"/>
              <w:rPr>
                <w:rFonts w:ascii="ITC Avant Garde" w:hAnsi="ITC Avant Garde" w:cs="Arial"/>
                <w:b/>
                <w:sz w:val="16"/>
                <w:szCs w:val="16"/>
              </w:rPr>
            </w:pPr>
            <w:proofErr w:type="spellStart"/>
            <w:r w:rsidRPr="00F17180">
              <w:rPr>
                <w:rFonts w:ascii="ITC Avant Garde" w:hAnsi="ITC Avant Garde" w:cs="Arial"/>
                <w:b/>
                <w:sz w:val="16"/>
                <w:szCs w:val="16"/>
              </w:rPr>
              <w:t>Rx</w:t>
            </w:r>
            <w:proofErr w:type="spellEnd"/>
            <w:r w:rsidRPr="00F17180">
              <w:rPr>
                <w:rFonts w:ascii="ITC Avant Garde" w:hAnsi="ITC Avant Garde" w:cs="Arial"/>
                <w:b/>
                <w:sz w:val="16"/>
                <w:szCs w:val="16"/>
              </w:rPr>
              <w:t xml:space="preserve"> (MHz)</w:t>
            </w:r>
          </w:p>
        </w:tc>
      </w:tr>
      <w:tr w:rsidR="00BD5DC5" w:rsidRPr="00F17180" w14:paraId="7B664B8C" w14:textId="77777777" w:rsidTr="005902FA">
        <w:trPr>
          <w:trHeight w:val="177"/>
          <w:jc w:val="center"/>
        </w:trPr>
        <w:tc>
          <w:tcPr>
            <w:tcW w:w="1155" w:type="dxa"/>
          </w:tcPr>
          <w:p w14:paraId="0F9FC96E" w14:textId="77777777" w:rsidR="00BD5DC5" w:rsidRPr="00F17180" w:rsidRDefault="00BD5DC5" w:rsidP="00B53D4B">
            <w:pPr>
              <w:jc w:val="center"/>
              <w:rPr>
                <w:rFonts w:ascii="ITC Avant Garde" w:hAnsi="ITC Avant Garde" w:cs="Arial"/>
                <w:sz w:val="16"/>
                <w:szCs w:val="16"/>
              </w:rPr>
            </w:pPr>
            <w:r w:rsidRPr="00F17180">
              <w:rPr>
                <w:rFonts w:ascii="ITC Avant Garde" w:hAnsi="ITC Avant Garde" w:cs="Arial"/>
                <w:sz w:val="16"/>
                <w:szCs w:val="16"/>
              </w:rPr>
              <w:t>816.675</w:t>
            </w:r>
          </w:p>
        </w:tc>
        <w:tc>
          <w:tcPr>
            <w:tcW w:w="1230" w:type="dxa"/>
          </w:tcPr>
          <w:p w14:paraId="7FFF2CCA" w14:textId="77777777" w:rsidR="00BD5DC5" w:rsidRPr="00F17180" w:rsidRDefault="00BD5DC5" w:rsidP="00B53D4B">
            <w:pPr>
              <w:jc w:val="center"/>
              <w:rPr>
                <w:rFonts w:ascii="ITC Avant Garde" w:hAnsi="ITC Avant Garde" w:cs="Arial"/>
                <w:sz w:val="16"/>
                <w:szCs w:val="16"/>
              </w:rPr>
            </w:pPr>
            <w:r w:rsidRPr="00F17180">
              <w:rPr>
                <w:rFonts w:ascii="ITC Avant Garde" w:hAnsi="ITC Avant Garde" w:cs="Arial"/>
                <w:sz w:val="16"/>
                <w:szCs w:val="16"/>
              </w:rPr>
              <w:t>861.675</w:t>
            </w:r>
          </w:p>
        </w:tc>
      </w:tr>
      <w:tr w:rsidR="00BD5DC5" w:rsidRPr="00F17180" w14:paraId="6FB43E5E" w14:textId="77777777" w:rsidTr="005902FA">
        <w:trPr>
          <w:trHeight w:val="140"/>
          <w:jc w:val="center"/>
        </w:trPr>
        <w:tc>
          <w:tcPr>
            <w:tcW w:w="1155" w:type="dxa"/>
          </w:tcPr>
          <w:p w14:paraId="1E6D37F7" w14:textId="77777777" w:rsidR="00BD5DC5" w:rsidRPr="00F17180" w:rsidRDefault="00BD5DC5" w:rsidP="00B53D4B">
            <w:pPr>
              <w:jc w:val="center"/>
              <w:rPr>
                <w:rFonts w:ascii="ITC Avant Garde" w:hAnsi="ITC Avant Garde" w:cs="Arial"/>
                <w:sz w:val="16"/>
                <w:szCs w:val="16"/>
              </w:rPr>
            </w:pPr>
            <w:r w:rsidRPr="00F17180">
              <w:rPr>
                <w:rFonts w:ascii="ITC Avant Garde" w:hAnsi="ITC Avant Garde" w:cs="Arial"/>
                <w:sz w:val="16"/>
                <w:szCs w:val="16"/>
              </w:rPr>
              <w:t>817.675</w:t>
            </w:r>
          </w:p>
        </w:tc>
        <w:tc>
          <w:tcPr>
            <w:tcW w:w="1230" w:type="dxa"/>
          </w:tcPr>
          <w:p w14:paraId="5F08CD2E" w14:textId="77777777" w:rsidR="00BD5DC5" w:rsidRPr="00F17180" w:rsidRDefault="00BD5DC5" w:rsidP="00B53D4B">
            <w:pPr>
              <w:jc w:val="center"/>
              <w:rPr>
                <w:rFonts w:ascii="ITC Avant Garde" w:hAnsi="ITC Avant Garde" w:cs="Arial"/>
                <w:sz w:val="16"/>
                <w:szCs w:val="16"/>
              </w:rPr>
            </w:pPr>
            <w:r w:rsidRPr="00F17180">
              <w:rPr>
                <w:rFonts w:ascii="ITC Avant Garde" w:hAnsi="ITC Avant Garde" w:cs="Arial"/>
                <w:sz w:val="16"/>
                <w:szCs w:val="16"/>
              </w:rPr>
              <w:t>862.675</w:t>
            </w:r>
          </w:p>
        </w:tc>
      </w:tr>
      <w:tr w:rsidR="00BD5DC5" w:rsidRPr="00F17180" w14:paraId="6172DBC0" w14:textId="77777777" w:rsidTr="005902FA">
        <w:trPr>
          <w:trHeight w:val="119"/>
          <w:jc w:val="center"/>
        </w:trPr>
        <w:tc>
          <w:tcPr>
            <w:tcW w:w="1155" w:type="dxa"/>
          </w:tcPr>
          <w:p w14:paraId="70C98220" w14:textId="77777777" w:rsidR="00BD5DC5" w:rsidRPr="00F17180" w:rsidRDefault="00BD5DC5" w:rsidP="00B53D4B">
            <w:pPr>
              <w:jc w:val="center"/>
              <w:rPr>
                <w:rFonts w:ascii="ITC Avant Garde" w:hAnsi="ITC Avant Garde" w:cs="Arial"/>
                <w:sz w:val="16"/>
                <w:szCs w:val="16"/>
              </w:rPr>
            </w:pPr>
            <w:r w:rsidRPr="00F17180">
              <w:rPr>
                <w:rFonts w:ascii="ITC Avant Garde" w:hAnsi="ITC Avant Garde" w:cs="Arial"/>
                <w:sz w:val="16"/>
                <w:szCs w:val="16"/>
              </w:rPr>
              <w:lastRenderedPageBreak/>
              <w:t>818.675</w:t>
            </w:r>
          </w:p>
        </w:tc>
        <w:tc>
          <w:tcPr>
            <w:tcW w:w="1230" w:type="dxa"/>
          </w:tcPr>
          <w:p w14:paraId="7D91E7B4" w14:textId="77777777" w:rsidR="00BD5DC5" w:rsidRPr="00F17180" w:rsidRDefault="00BD5DC5" w:rsidP="00B53D4B">
            <w:pPr>
              <w:jc w:val="center"/>
              <w:rPr>
                <w:rFonts w:ascii="ITC Avant Garde" w:hAnsi="ITC Avant Garde" w:cs="Arial"/>
                <w:sz w:val="16"/>
                <w:szCs w:val="16"/>
              </w:rPr>
            </w:pPr>
            <w:r w:rsidRPr="00F17180">
              <w:rPr>
                <w:rFonts w:ascii="ITC Avant Garde" w:hAnsi="ITC Avant Garde" w:cs="Arial"/>
                <w:sz w:val="16"/>
                <w:szCs w:val="16"/>
              </w:rPr>
              <w:t>863.675</w:t>
            </w:r>
          </w:p>
        </w:tc>
      </w:tr>
      <w:tr w:rsidR="00BD5DC5" w:rsidRPr="00F17180" w14:paraId="7263E488" w14:textId="77777777" w:rsidTr="005902FA">
        <w:trPr>
          <w:trHeight w:val="48"/>
          <w:jc w:val="center"/>
        </w:trPr>
        <w:tc>
          <w:tcPr>
            <w:tcW w:w="1155" w:type="dxa"/>
          </w:tcPr>
          <w:p w14:paraId="0E653C3B" w14:textId="77777777" w:rsidR="00BD5DC5" w:rsidRPr="00F17180" w:rsidRDefault="00BD5DC5" w:rsidP="00B53D4B">
            <w:pPr>
              <w:jc w:val="center"/>
              <w:rPr>
                <w:rFonts w:ascii="ITC Avant Garde" w:hAnsi="ITC Avant Garde" w:cs="Arial"/>
                <w:sz w:val="16"/>
                <w:szCs w:val="16"/>
              </w:rPr>
            </w:pPr>
            <w:r w:rsidRPr="00F17180">
              <w:rPr>
                <w:rFonts w:ascii="ITC Avant Garde" w:hAnsi="ITC Avant Garde" w:cs="Arial"/>
                <w:sz w:val="16"/>
                <w:szCs w:val="16"/>
              </w:rPr>
              <w:t>819.675</w:t>
            </w:r>
          </w:p>
        </w:tc>
        <w:tc>
          <w:tcPr>
            <w:tcW w:w="1230" w:type="dxa"/>
          </w:tcPr>
          <w:p w14:paraId="5CC450FD" w14:textId="77777777" w:rsidR="00BD5DC5" w:rsidRPr="00F17180" w:rsidRDefault="00BD5DC5" w:rsidP="00B53D4B">
            <w:pPr>
              <w:jc w:val="center"/>
              <w:rPr>
                <w:rFonts w:ascii="ITC Avant Garde" w:hAnsi="ITC Avant Garde" w:cs="Arial"/>
                <w:sz w:val="16"/>
                <w:szCs w:val="16"/>
              </w:rPr>
            </w:pPr>
            <w:r w:rsidRPr="00F17180">
              <w:rPr>
                <w:rFonts w:ascii="ITC Avant Garde" w:hAnsi="ITC Avant Garde" w:cs="Arial"/>
                <w:sz w:val="16"/>
                <w:szCs w:val="16"/>
              </w:rPr>
              <w:t>864.675</w:t>
            </w:r>
          </w:p>
        </w:tc>
      </w:tr>
      <w:tr w:rsidR="00BD5DC5" w:rsidRPr="00F17180" w14:paraId="799A4B95" w14:textId="77777777" w:rsidTr="005902FA">
        <w:trPr>
          <w:trHeight w:val="22"/>
          <w:jc w:val="center"/>
        </w:trPr>
        <w:tc>
          <w:tcPr>
            <w:tcW w:w="1155" w:type="dxa"/>
          </w:tcPr>
          <w:p w14:paraId="7D432173" w14:textId="77777777" w:rsidR="00BD5DC5" w:rsidRPr="00F17180" w:rsidRDefault="00BD5DC5" w:rsidP="00B53D4B">
            <w:pPr>
              <w:jc w:val="center"/>
              <w:rPr>
                <w:rFonts w:ascii="ITC Avant Garde" w:hAnsi="ITC Avant Garde" w:cs="Arial"/>
                <w:sz w:val="16"/>
                <w:szCs w:val="16"/>
              </w:rPr>
            </w:pPr>
            <w:r w:rsidRPr="00F17180">
              <w:rPr>
                <w:rFonts w:ascii="ITC Avant Garde" w:hAnsi="ITC Avant Garde" w:cs="Arial"/>
                <w:sz w:val="16"/>
                <w:szCs w:val="16"/>
              </w:rPr>
              <w:t>820.675</w:t>
            </w:r>
          </w:p>
        </w:tc>
        <w:tc>
          <w:tcPr>
            <w:tcW w:w="1230" w:type="dxa"/>
          </w:tcPr>
          <w:p w14:paraId="13673649" w14:textId="77777777" w:rsidR="00BD5DC5" w:rsidRPr="00F17180" w:rsidRDefault="00BD5DC5" w:rsidP="00B53D4B">
            <w:pPr>
              <w:jc w:val="center"/>
              <w:rPr>
                <w:rFonts w:ascii="ITC Avant Garde" w:hAnsi="ITC Avant Garde" w:cs="Arial"/>
                <w:sz w:val="16"/>
                <w:szCs w:val="16"/>
              </w:rPr>
            </w:pPr>
            <w:r w:rsidRPr="00F17180">
              <w:rPr>
                <w:rFonts w:ascii="ITC Avant Garde" w:hAnsi="ITC Avant Garde" w:cs="Arial"/>
                <w:sz w:val="16"/>
                <w:szCs w:val="16"/>
              </w:rPr>
              <w:t>865.675</w:t>
            </w:r>
          </w:p>
        </w:tc>
      </w:tr>
    </w:tbl>
    <w:p w14:paraId="403F180D" w14:textId="77777777" w:rsidR="00AD437E" w:rsidRPr="00F17180" w:rsidRDefault="00AD437E" w:rsidP="00B53D4B">
      <w:pPr>
        <w:ind w:left="567"/>
        <w:jc w:val="both"/>
        <w:rPr>
          <w:rFonts w:ascii="ITC Avant Garde" w:eastAsia="Calibri" w:hAnsi="ITC Avant Garde"/>
          <w:bCs/>
          <w:color w:val="000000"/>
          <w:sz w:val="22"/>
          <w:szCs w:val="22"/>
          <w:lang w:eastAsia="es-MX"/>
        </w:rPr>
      </w:pPr>
    </w:p>
    <w:p w14:paraId="4F8A7D5E" w14:textId="77777777" w:rsidR="00AD437E" w:rsidRPr="00F17180" w:rsidRDefault="00AD437E" w:rsidP="00B53D4B">
      <w:pPr>
        <w:ind w:left="567"/>
        <w:jc w:val="both"/>
        <w:rPr>
          <w:rFonts w:ascii="ITC Avant Garde" w:eastAsia="Calibri" w:hAnsi="ITC Avant Garde"/>
          <w:bCs/>
          <w:color w:val="000000"/>
          <w:sz w:val="22"/>
          <w:szCs w:val="22"/>
          <w:lang w:eastAsia="es-MX"/>
        </w:rPr>
      </w:pPr>
    </w:p>
    <w:p w14:paraId="7816CB38" w14:textId="4320579B" w:rsidR="00BF215B" w:rsidRPr="00F17180" w:rsidRDefault="00BF215B" w:rsidP="00BF215B">
      <w:pPr>
        <w:pStyle w:val="Prrafodelista"/>
        <w:numPr>
          <w:ilvl w:val="0"/>
          <w:numId w:val="43"/>
        </w:numPr>
        <w:ind w:left="567" w:hanging="425"/>
        <w:jc w:val="both"/>
        <w:rPr>
          <w:rFonts w:ascii="ITC Avant Garde" w:eastAsia="Calibri" w:hAnsi="ITC Avant Garde"/>
          <w:b/>
          <w:bCs/>
          <w:color w:val="000000"/>
          <w:sz w:val="22"/>
          <w:szCs w:val="22"/>
          <w:lang w:eastAsia="es-MX"/>
        </w:rPr>
      </w:pPr>
      <w:r w:rsidRPr="00F17180">
        <w:rPr>
          <w:rFonts w:ascii="ITC Avant Garde" w:eastAsia="Calibri" w:hAnsi="ITC Avant Garde"/>
          <w:b/>
          <w:bCs/>
          <w:color w:val="000000"/>
          <w:sz w:val="22"/>
          <w:szCs w:val="22"/>
          <w:lang w:eastAsia="es-MX"/>
        </w:rPr>
        <w:t>Modificaciones a la Concesión</w:t>
      </w:r>
      <w:r w:rsidR="00E11BDB" w:rsidRPr="00F17180">
        <w:rPr>
          <w:rFonts w:ascii="ITC Avant Garde" w:eastAsia="Calibri" w:hAnsi="ITC Avant Garde"/>
          <w:b/>
          <w:bCs/>
          <w:color w:val="000000"/>
          <w:sz w:val="22"/>
          <w:szCs w:val="22"/>
          <w:lang w:eastAsia="es-MX"/>
        </w:rPr>
        <w:t xml:space="preserve">.- </w:t>
      </w:r>
      <w:r w:rsidR="00E11BDB" w:rsidRPr="00F17180">
        <w:rPr>
          <w:rFonts w:ascii="ITC Avant Garde" w:eastAsia="Calibri" w:hAnsi="ITC Avant Garde"/>
          <w:bCs/>
          <w:color w:val="000000"/>
          <w:sz w:val="22"/>
          <w:szCs w:val="22"/>
          <w:lang w:eastAsia="es-MX"/>
        </w:rPr>
        <w:t xml:space="preserve">Mediante el oficio CFT/D04/DGIAE/191/98 de fecha 16 de marzo de 1998, </w:t>
      </w:r>
      <w:r w:rsidR="0073271D" w:rsidRPr="00F17180">
        <w:rPr>
          <w:rFonts w:ascii="ITC Avant Garde" w:eastAsia="Calibri" w:hAnsi="ITC Avant Garde"/>
          <w:bCs/>
          <w:color w:val="000000"/>
          <w:sz w:val="22"/>
          <w:szCs w:val="22"/>
          <w:lang w:eastAsia="es-MX"/>
        </w:rPr>
        <w:t xml:space="preserve">la </w:t>
      </w:r>
      <w:r w:rsidR="00E11BDB" w:rsidRPr="00F17180">
        <w:rPr>
          <w:rFonts w:ascii="ITC Avant Garde" w:eastAsia="Calibri" w:hAnsi="ITC Avant Garde"/>
          <w:bCs/>
          <w:color w:val="000000"/>
          <w:sz w:val="22"/>
          <w:szCs w:val="22"/>
          <w:lang w:eastAsia="es-MX"/>
        </w:rPr>
        <w:t>Dirección General de Ingeniería y Administración del Espectro adscrita al Área General de Ingeniería y Tecnología de la extinta Comisión Federal de Telecomunicaciones (la “Comisión”), autorizó a</w:t>
      </w:r>
      <w:r w:rsidR="006A5950" w:rsidRPr="00F17180">
        <w:rPr>
          <w:rFonts w:ascii="ITC Avant Garde" w:eastAsia="Calibri" w:hAnsi="ITC Avant Garde"/>
          <w:bCs/>
          <w:color w:val="000000"/>
          <w:sz w:val="22"/>
          <w:szCs w:val="22"/>
          <w:lang w:eastAsia="es-MX"/>
        </w:rPr>
        <w:t xml:space="preserve"> Radio Sistemas de Tamaulipas, S.A. de C.V.,</w:t>
      </w:r>
      <w:r w:rsidR="00E11BDB" w:rsidRPr="00F17180">
        <w:rPr>
          <w:rFonts w:ascii="ITC Avant Garde" w:eastAsia="Calibri" w:hAnsi="ITC Avant Garde"/>
          <w:bCs/>
          <w:color w:val="000000"/>
          <w:sz w:val="22"/>
          <w:szCs w:val="22"/>
          <w:lang w:eastAsia="es-MX"/>
        </w:rPr>
        <w:t xml:space="preserve"> el cambio de ubicación de una estación de la </w:t>
      </w:r>
      <w:r w:rsidR="00FD05F2" w:rsidRPr="00F17180">
        <w:rPr>
          <w:rFonts w:ascii="ITC Avant Garde" w:eastAsia="Calibri" w:hAnsi="ITC Avant Garde"/>
          <w:bCs/>
          <w:color w:val="000000"/>
          <w:sz w:val="22"/>
          <w:szCs w:val="22"/>
          <w:lang w:eastAsia="es-MX"/>
        </w:rPr>
        <w:t>Concesión</w:t>
      </w:r>
      <w:r w:rsidR="00E11BDB" w:rsidRPr="00F17180">
        <w:rPr>
          <w:rFonts w:ascii="ITC Avant Garde" w:eastAsia="Calibri" w:hAnsi="ITC Avant Garde"/>
          <w:bCs/>
          <w:color w:val="000000"/>
          <w:sz w:val="22"/>
          <w:szCs w:val="22"/>
          <w:lang w:eastAsia="es-MX"/>
        </w:rPr>
        <w:t>, para operar en</w:t>
      </w:r>
      <w:r w:rsidR="008A4BC6" w:rsidRPr="00F17180">
        <w:rPr>
          <w:rFonts w:ascii="ITC Avant Garde" w:eastAsia="Calibri" w:hAnsi="ITC Avant Garde"/>
          <w:bCs/>
          <w:color w:val="000000"/>
          <w:sz w:val="22"/>
          <w:szCs w:val="22"/>
          <w:lang w:eastAsia="es-MX"/>
        </w:rPr>
        <w:t xml:space="preserve"> la Ciudad de Pueblo Viejo, Veracruz</w:t>
      </w:r>
      <w:r w:rsidR="00E11BDB" w:rsidRPr="00F17180">
        <w:rPr>
          <w:rFonts w:ascii="ITC Avant Garde" w:eastAsia="Calibri" w:hAnsi="ITC Avant Garde"/>
          <w:bCs/>
          <w:color w:val="000000"/>
          <w:sz w:val="22"/>
          <w:szCs w:val="22"/>
          <w:lang w:eastAsia="es-MX"/>
        </w:rPr>
        <w:t>, con l</w:t>
      </w:r>
      <w:r w:rsidR="008A4BC6" w:rsidRPr="00F17180">
        <w:rPr>
          <w:rFonts w:ascii="ITC Avant Garde" w:eastAsia="Calibri" w:hAnsi="ITC Avant Garde"/>
          <w:bCs/>
          <w:color w:val="000000"/>
          <w:sz w:val="22"/>
          <w:szCs w:val="22"/>
          <w:lang w:eastAsia="es-MX"/>
        </w:rPr>
        <w:t>a</w:t>
      </w:r>
      <w:r w:rsidR="00E11BDB" w:rsidRPr="00F17180">
        <w:rPr>
          <w:rFonts w:ascii="ITC Avant Garde" w:eastAsia="Calibri" w:hAnsi="ITC Avant Garde"/>
          <w:bCs/>
          <w:color w:val="000000"/>
          <w:sz w:val="22"/>
          <w:szCs w:val="22"/>
          <w:lang w:eastAsia="es-MX"/>
        </w:rPr>
        <w:t xml:space="preserve"> finalidad de no interferir con las operaciones del Aeropuerto Internacional de Tampico, T</w:t>
      </w:r>
      <w:r w:rsidR="008A4BC6" w:rsidRPr="00F17180">
        <w:rPr>
          <w:rFonts w:ascii="ITC Avant Garde" w:eastAsia="Calibri" w:hAnsi="ITC Avant Garde"/>
          <w:bCs/>
          <w:color w:val="000000"/>
          <w:sz w:val="22"/>
          <w:szCs w:val="22"/>
          <w:lang w:eastAsia="es-MX"/>
        </w:rPr>
        <w:t>amaulipas</w:t>
      </w:r>
      <w:r w:rsidR="00E11BDB" w:rsidRPr="00F17180">
        <w:rPr>
          <w:rFonts w:ascii="ITC Avant Garde" w:eastAsia="Calibri" w:hAnsi="ITC Avant Garde"/>
          <w:bCs/>
          <w:color w:val="000000"/>
          <w:sz w:val="22"/>
          <w:szCs w:val="22"/>
          <w:lang w:eastAsia="es-MX"/>
        </w:rPr>
        <w:t>.</w:t>
      </w:r>
    </w:p>
    <w:p w14:paraId="2DDD4DB7" w14:textId="77777777" w:rsidR="00BF215B" w:rsidRPr="00F17180" w:rsidRDefault="00BF215B" w:rsidP="00BF215B">
      <w:pPr>
        <w:pStyle w:val="Prrafodelista"/>
        <w:ind w:left="567"/>
        <w:jc w:val="both"/>
        <w:rPr>
          <w:rFonts w:ascii="ITC Avant Garde" w:eastAsia="Calibri" w:hAnsi="ITC Avant Garde"/>
          <w:b/>
          <w:bCs/>
          <w:color w:val="000000"/>
          <w:sz w:val="22"/>
          <w:szCs w:val="22"/>
          <w:lang w:eastAsia="es-MX"/>
        </w:rPr>
      </w:pPr>
    </w:p>
    <w:p w14:paraId="0E3258E8" w14:textId="7791637F" w:rsidR="00CA6494" w:rsidRPr="00F17180" w:rsidRDefault="00BF215B" w:rsidP="00BF215B">
      <w:pPr>
        <w:pStyle w:val="Prrafodelista"/>
        <w:ind w:left="567"/>
        <w:jc w:val="both"/>
        <w:rPr>
          <w:rFonts w:ascii="ITC Avant Garde" w:eastAsia="Calibri" w:hAnsi="ITC Avant Garde"/>
          <w:b/>
          <w:bCs/>
          <w:color w:val="000000"/>
          <w:sz w:val="22"/>
          <w:szCs w:val="22"/>
          <w:lang w:eastAsia="es-MX"/>
        </w:rPr>
      </w:pPr>
      <w:r w:rsidRPr="00F17180">
        <w:rPr>
          <w:rFonts w:ascii="ITC Avant Garde" w:eastAsia="Calibri" w:hAnsi="ITC Avant Garde"/>
          <w:bCs/>
          <w:color w:val="000000"/>
          <w:sz w:val="22"/>
          <w:szCs w:val="22"/>
          <w:lang w:eastAsia="es-MX"/>
        </w:rPr>
        <w:t>Asimismo, con</w:t>
      </w:r>
      <w:r w:rsidR="0073271D" w:rsidRPr="00F17180">
        <w:rPr>
          <w:rFonts w:ascii="ITC Avant Garde" w:eastAsia="Calibri" w:hAnsi="ITC Avant Garde"/>
          <w:bCs/>
          <w:color w:val="000000"/>
          <w:sz w:val="22"/>
          <w:szCs w:val="22"/>
          <w:lang w:eastAsia="es-MX"/>
        </w:rPr>
        <w:t xml:space="preserve"> oficio CFT/D04/DGPAE/4154/02 de fecha 27 de febrero de 2002, la Dirección General de Planeación y Administración del Espectro de la Comisión</w:t>
      </w:r>
      <w:r w:rsidR="00552353" w:rsidRPr="00F17180">
        <w:rPr>
          <w:rFonts w:ascii="ITC Avant Garde" w:eastAsia="Calibri" w:hAnsi="ITC Avant Garde"/>
          <w:bCs/>
          <w:color w:val="000000"/>
          <w:sz w:val="22"/>
          <w:szCs w:val="22"/>
          <w:lang w:eastAsia="es-MX"/>
        </w:rPr>
        <w:t>,</w:t>
      </w:r>
      <w:r w:rsidR="0073271D" w:rsidRPr="00F17180">
        <w:rPr>
          <w:rFonts w:ascii="ITC Avant Garde" w:eastAsia="Calibri" w:hAnsi="ITC Avant Garde"/>
          <w:bCs/>
          <w:color w:val="000000"/>
          <w:sz w:val="22"/>
          <w:szCs w:val="22"/>
          <w:lang w:eastAsia="es-MX"/>
        </w:rPr>
        <w:t xml:space="preserve"> autorizó el cambio de ubicación solicitado de la estación denominada No.7 (Carretera Nuevo Laredo Piedras Negras), así como </w:t>
      </w:r>
      <w:r w:rsidR="00552353" w:rsidRPr="00F17180">
        <w:rPr>
          <w:rFonts w:ascii="ITC Avant Garde" w:eastAsia="Calibri" w:hAnsi="ITC Avant Garde"/>
          <w:bCs/>
          <w:color w:val="000000"/>
          <w:sz w:val="22"/>
          <w:szCs w:val="22"/>
          <w:lang w:eastAsia="es-MX"/>
        </w:rPr>
        <w:t xml:space="preserve">la </w:t>
      </w:r>
      <w:r w:rsidR="0073271D" w:rsidRPr="00F17180">
        <w:rPr>
          <w:rFonts w:ascii="ITC Avant Garde" w:eastAsia="Calibri" w:hAnsi="ITC Avant Garde"/>
          <w:bCs/>
          <w:color w:val="000000"/>
          <w:sz w:val="22"/>
          <w:szCs w:val="22"/>
          <w:lang w:eastAsia="es-MX"/>
        </w:rPr>
        <w:t>opera</w:t>
      </w:r>
      <w:r w:rsidR="00552353" w:rsidRPr="00F17180">
        <w:rPr>
          <w:rFonts w:ascii="ITC Avant Garde" w:eastAsia="Calibri" w:hAnsi="ITC Avant Garde"/>
          <w:bCs/>
          <w:color w:val="000000"/>
          <w:sz w:val="22"/>
          <w:szCs w:val="22"/>
          <w:lang w:eastAsia="es-MX"/>
        </w:rPr>
        <w:t>ción</w:t>
      </w:r>
      <w:r w:rsidR="0073271D" w:rsidRPr="00F17180">
        <w:rPr>
          <w:rFonts w:ascii="ITC Avant Garde" w:eastAsia="Calibri" w:hAnsi="ITC Avant Garde"/>
          <w:bCs/>
          <w:color w:val="000000"/>
          <w:sz w:val="22"/>
          <w:szCs w:val="22"/>
          <w:lang w:eastAsia="es-MX"/>
        </w:rPr>
        <w:t xml:space="preserve"> </w:t>
      </w:r>
      <w:r w:rsidR="00552353" w:rsidRPr="00F17180">
        <w:rPr>
          <w:rFonts w:ascii="ITC Avant Garde" w:eastAsia="Calibri" w:hAnsi="ITC Avant Garde"/>
          <w:bCs/>
          <w:color w:val="000000"/>
          <w:sz w:val="22"/>
          <w:szCs w:val="22"/>
          <w:lang w:eastAsia="es-MX"/>
        </w:rPr>
        <w:t>d</w:t>
      </w:r>
      <w:r w:rsidR="0073271D" w:rsidRPr="00F17180">
        <w:rPr>
          <w:rFonts w:ascii="ITC Avant Garde" w:eastAsia="Calibri" w:hAnsi="ITC Avant Garde"/>
          <w:bCs/>
          <w:color w:val="000000"/>
          <w:sz w:val="22"/>
          <w:szCs w:val="22"/>
          <w:lang w:eastAsia="es-MX"/>
        </w:rPr>
        <w:t>el sitio denominado Ciudad Mante</w:t>
      </w:r>
      <w:r w:rsidR="00552353" w:rsidRPr="00F17180">
        <w:rPr>
          <w:rFonts w:ascii="ITC Avant Garde" w:eastAsia="Calibri" w:hAnsi="ITC Avant Garde"/>
          <w:bCs/>
          <w:color w:val="000000"/>
          <w:sz w:val="22"/>
          <w:szCs w:val="22"/>
          <w:lang w:eastAsia="es-MX"/>
        </w:rPr>
        <w:t>.</w:t>
      </w:r>
    </w:p>
    <w:p w14:paraId="283E0203" w14:textId="77777777" w:rsidR="00B53D4B" w:rsidRPr="00F17180" w:rsidRDefault="00B53D4B" w:rsidP="00B53D4B">
      <w:pPr>
        <w:pStyle w:val="Prrafodelista"/>
        <w:ind w:left="567"/>
        <w:jc w:val="both"/>
        <w:rPr>
          <w:rFonts w:ascii="ITC Avant Garde" w:eastAsia="Calibri" w:hAnsi="ITC Avant Garde"/>
          <w:bCs/>
          <w:color w:val="000000"/>
          <w:sz w:val="22"/>
          <w:szCs w:val="22"/>
          <w:lang w:eastAsia="es-MX"/>
        </w:rPr>
      </w:pPr>
    </w:p>
    <w:p w14:paraId="657AD311" w14:textId="77777777" w:rsidR="00552353" w:rsidRPr="00F17180" w:rsidRDefault="00552353" w:rsidP="00B53D4B">
      <w:pPr>
        <w:pStyle w:val="Prrafodelista"/>
        <w:ind w:left="567"/>
        <w:jc w:val="both"/>
        <w:rPr>
          <w:rFonts w:ascii="ITC Avant Garde" w:eastAsia="Calibri" w:hAnsi="ITC Avant Garde"/>
          <w:bCs/>
          <w:color w:val="000000"/>
          <w:sz w:val="22"/>
          <w:szCs w:val="22"/>
          <w:lang w:eastAsia="es-MX"/>
        </w:rPr>
      </w:pPr>
    </w:p>
    <w:p w14:paraId="64F18A66" w14:textId="24F15444" w:rsidR="00552353" w:rsidRPr="00331ADC" w:rsidRDefault="005131CB" w:rsidP="00A14D7B">
      <w:pPr>
        <w:numPr>
          <w:ilvl w:val="0"/>
          <w:numId w:val="44"/>
        </w:numPr>
        <w:jc w:val="both"/>
        <w:rPr>
          <w:rFonts w:ascii="ITC Avant Garde" w:eastAsia="Calibri" w:hAnsi="ITC Avant Garde"/>
          <w:bCs/>
          <w:color w:val="000000"/>
          <w:sz w:val="22"/>
          <w:szCs w:val="22"/>
          <w:lang w:eastAsia="es-MX"/>
        </w:rPr>
      </w:pPr>
      <w:r w:rsidRPr="00331ADC">
        <w:rPr>
          <w:rFonts w:ascii="ITC Avant Garde" w:eastAsia="Calibri" w:hAnsi="ITC Avant Garde"/>
          <w:b/>
          <w:bCs/>
          <w:color w:val="000000"/>
          <w:sz w:val="22"/>
          <w:szCs w:val="22"/>
          <w:lang w:eastAsia="es-MX"/>
        </w:rPr>
        <w:t>Solicitud de Prórroga</w:t>
      </w:r>
      <w:r w:rsidR="00650806" w:rsidRPr="00331ADC">
        <w:rPr>
          <w:rFonts w:ascii="ITC Avant Garde" w:eastAsia="Calibri" w:hAnsi="ITC Avant Garde"/>
          <w:b/>
          <w:bCs/>
          <w:color w:val="000000"/>
          <w:sz w:val="22"/>
          <w:szCs w:val="22"/>
          <w:lang w:eastAsia="es-MX"/>
        </w:rPr>
        <w:t xml:space="preserve"> de Vigencia</w:t>
      </w:r>
      <w:r w:rsidRPr="00331ADC">
        <w:rPr>
          <w:rFonts w:ascii="ITC Avant Garde" w:eastAsia="Calibri" w:hAnsi="ITC Avant Garde"/>
          <w:b/>
          <w:bCs/>
          <w:color w:val="000000"/>
          <w:sz w:val="22"/>
          <w:szCs w:val="22"/>
          <w:lang w:eastAsia="es-MX"/>
        </w:rPr>
        <w:t>.-</w:t>
      </w:r>
      <w:r w:rsidR="00096AAA" w:rsidRPr="00331ADC">
        <w:rPr>
          <w:rFonts w:ascii="ITC Avant Garde" w:hAnsi="ITC Avant Garde"/>
          <w:b/>
          <w:bCs/>
          <w:color w:val="000000"/>
          <w:sz w:val="22"/>
          <w:szCs w:val="22"/>
          <w:lang w:val="es-ES" w:eastAsia="es-MX"/>
        </w:rPr>
        <w:t xml:space="preserve"> </w:t>
      </w:r>
      <w:r w:rsidR="00DC72BA" w:rsidRPr="00331ADC">
        <w:rPr>
          <w:rFonts w:ascii="ITC Avant Garde" w:eastAsia="Calibri" w:hAnsi="ITC Avant Garde"/>
          <w:bCs/>
          <w:color w:val="000000"/>
          <w:sz w:val="22"/>
          <w:szCs w:val="22"/>
          <w:lang w:eastAsia="es-MX"/>
        </w:rPr>
        <w:t>Mediante el oficio 112.20</w:t>
      </w:r>
      <w:r w:rsidR="00C15E78" w:rsidRPr="00331ADC">
        <w:rPr>
          <w:rFonts w:ascii="ITC Avant Garde" w:eastAsia="Calibri" w:hAnsi="ITC Avant Garde"/>
          <w:bCs/>
          <w:color w:val="000000"/>
          <w:sz w:val="22"/>
          <w:szCs w:val="22"/>
          <w:lang w:eastAsia="es-MX"/>
        </w:rPr>
        <w:t>1</w:t>
      </w:r>
      <w:r w:rsidR="00DC72BA" w:rsidRPr="00331ADC">
        <w:rPr>
          <w:rFonts w:ascii="ITC Avant Garde" w:eastAsia="Calibri" w:hAnsi="ITC Avant Garde"/>
          <w:bCs/>
          <w:color w:val="000000"/>
          <w:sz w:val="22"/>
          <w:szCs w:val="22"/>
          <w:lang w:eastAsia="es-MX"/>
        </w:rPr>
        <w:t>.</w:t>
      </w:r>
      <w:r w:rsidR="00C15E78" w:rsidRPr="00331ADC">
        <w:rPr>
          <w:rFonts w:ascii="ITC Avant Garde" w:eastAsia="Calibri" w:hAnsi="ITC Avant Garde"/>
          <w:bCs/>
          <w:color w:val="000000"/>
          <w:sz w:val="22"/>
          <w:szCs w:val="22"/>
          <w:lang w:eastAsia="es-MX"/>
        </w:rPr>
        <w:t>0192</w:t>
      </w:r>
      <w:r w:rsidR="00DC72BA" w:rsidRPr="00331ADC">
        <w:rPr>
          <w:rFonts w:ascii="ITC Avant Garde" w:eastAsia="Calibri" w:hAnsi="ITC Avant Garde"/>
          <w:bCs/>
          <w:color w:val="000000"/>
          <w:sz w:val="22"/>
          <w:szCs w:val="22"/>
          <w:lang w:eastAsia="es-MX"/>
        </w:rPr>
        <w:t xml:space="preserve"> de fecha </w:t>
      </w:r>
      <w:r w:rsidR="00C15E78" w:rsidRPr="00331ADC">
        <w:rPr>
          <w:rFonts w:ascii="ITC Avant Garde" w:eastAsia="Calibri" w:hAnsi="ITC Avant Garde"/>
          <w:bCs/>
          <w:color w:val="000000"/>
          <w:sz w:val="22"/>
          <w:szCs w:val="22"/>
          <w:lang w:eastAsia="es-MX"/>
        </w:rPr>
        <w:t>20</w:t>
      </w:r>
      <w:r w:rsidR="00DC72BA" w:rsidRPr="00331ADC">
        <w:rPr>
          <w:rFonts w:ascii="ITC Avant Garde" w:eastAsia="Calibri" w:hAnsi="ITC Avant Garde"/>
          <w:bCs/>
          <w:color w:val="000000"/>
          <w:sz w:val="22"/>
          <w:szCs w:val="22"/>
          <w:lang w:eastAsia="es-MX"/>
        </w:rPr>
        <w:t xml:space="preserve"> de </w:t>
      </w:r>
      <w:r w:rsidR="00C15E78" w:rsidRPr="00331ADC">
        <w:rPr>
          <w:rFonts w:ascii="ITC Avant Garde" w:eastAsia="Calibri" w:hAnsi="ITC Avant Garde"/>
          <w:bCs/>
          <w:color w:val="000000"/>
          <w:sz w:val="22"/>
          <w:szCs w:val="22"/>
          <w:lang w:eastAsia="es-MX"/>
        </w:rPr>
        <w:t xml:space="preserve">enero </w:t>
      </w:r>
      <w:r w:rsidR="00DC72BA" w:rsidRPr="00331ADC">
        <w:rPr>
          <w:rFonts w:ascii="ITC Avant Garde" w:eastAsia="Calibri" w:hAnsi="ITC Avant Garde"/>
          <w:bCs/>
          <w:color w:val="000000"/>
          <w:sz w:val="22"/>
          <w:szCs w:val="22"/>
          <w:lang w:eastAsia="es-MX"/>
        </w:rPr>
        <w:t xml:space="preserve">de 2004, </w:t>
      </w:r>
      <w:r w:rsidR="00DF49BE" w:rsidRPr="00331ADC">
        <w:rPr>
          <w:rFonts w:ascii="ITC Avant Garde" w:eastAsia="Calibri" w:hAnsi="ITC Avant Garde"/>
          <w:bCs/>
          <w:color w:val="000000"/>
          <w:sz w:val="22"/>
          <w:szCs w:val="22"/>
          <w:lang w:eastAsia="es-MX"/>
        </w:rPr>
        <w:t xml:space="preserve">la </w:t>
      </w:r>
      <w:r w:rsidR="00867F86" w:rsidRPr="00331ADC">
        <w:rPr>
          <w:rFonts w:ascii="ITC Avant Garde" w:eastAsia="Calibri" w:hAnsi="ITC Avant Garde"/>
          <w:bCs/>
          <w:color w:val="000000"/>
          <w:sz w:val="22"/>
          <w:szCs w:val="22"/>
          <w:lang w:eastAsia="es-MX"/>
        </w:rPr>
        <w:t xml:space="preserve">Dirección General de Política de Telecomunicaciones de la </w:t>
      </w:r>
      <w:r w:rsidR="00DC72BA" w:rsidRPr="00331ADC">
        <w:rPr>
          <w:rFonts w:ascii="ITC Avant Garde" w:eastAsia="Calibri" w:hAnsi="ITC Avant Garde"/>
          <w:bCs/>
          <w:color w:val="000000"/>
          <w:sz w:val="22"/>
          <w:szCs w:val="22"/>
          <w:lang w:eastAsia="es-MX"/>
        </w:rPr>
        <w:t xml:space="preserve">Secretaría solicitó opinión a </w:t>
      </w:r>
      <w:r w:rsidR="00E75D9E" w:rsidRPr="00331ADC">
        <w:rPr>
          <w:rFonts w:ascii="ITC Avant Garde" w:eastAsia="Calibri" w:hAnsi="ITC Avant Garde"/>
          <w:bCs/>
          <w:color w:val="000000"/>
          <w:sz w:val="22"/>
          <w:szCs w:val="22"/>
          <w:lang w:eastAsia="es-MX"/>
        </w:rPr>
        <w:t xml:space="preserve">la </w:t>
      </w:r>
      <w:r w:rsidR="00357CCA" w:rsidRPr="00331ADC">
        <w:rPr>
          <w:rFonts w:ascii="ITC Avant Garde" w:eastAsia="Calibri" w:hAnsi="ITC Avant Garde"/>
          <w:bCs/>
          <w:color w:val="000000"/>
          <w:sz w:val="22"/>
          <w:szCs w:val="22"/>
          <w:lang w:eastAsia="es-MX"/>
        </w:rPr>
        <w:t xml:space="preserve">extinta </w:t>
      </w:r>
      <w:r w:rsidR="00E75D9E" w:rsidRPr="00331ADC">
        <w:rPr>
          <w:rFonts w:ascii="ITC Avant Garde" w:eastAsia="Calibri" w:hAnsi="ITC Avant Garde"/>
          <w:bCs/>
          <w:color w:val="000000"/>
          <w:sz w:val="22"/>
          <w:szCs w:val="22"/>
          <w:lang w:eastAsia="es-MX"/>
        </w:rPr>
        <w:t>Comisión</w:t>
      </w:r>
      <w:r w:rsidR="00DC72BA" w:rsidRPr="00331ADC">
        <w:rPr>
          <w:rFonts w:ascii="ITC Avant Garde" w:eastAsia="Calibri" w:hAnsi="ITC Avant Garde"/>
          <w:bCs/>
          <w:color w:val="000000"/>
          <w:sz w:val="22"/>
          <w:szCs w:val="22"/>
          <w:lang w:eastAsia="es-MX"/>
        </w:rPr>
        <w:t xml:space="preserve">, respecto </w:t>
      </w:r>
      <w:r w:rsidR="00357CCA" w:rsidRPr="00331ADC">
        <w:rPr>
          <w:rFonts w:ascii="ITC Avant Garde" w:eastAsia="Calibri" w:hAnsi="ITC Avant Garde"/>
          <w:bCs/>
          <w:color w:val="000000"/>
          <w:sz w:val="22"/>
          <w:szCs w:val="22"/>
          <w:lang w:eastAsia="es-MX"/>
        </w:rPr>
        <w:t xml:space="preserve">a </w:t>
      </w:r>
      <w:r w:rsidR="00DC72BA" w:rsidRPr="00331ADC">
        <w:rPr>
          <w:rFonts w:ascii="ITC Avant Garde" w:eastAsia="Calibri" w:hAnsi="ITC Avant Garde"/>
          <w:bCs/>
          <w:color w:val="000000"/>
          <w:sz w:val="22"/>
          <w:szCs w:val="22"/>
          <w:lang w:eastAsia="es-MX"/>
        </w:rPr>
        <w:t xml:space="preserve">la solicitud de prórroga </w:t>
      </w:r>
      <w:r w:rsidR="006070B6" w:rsidRPr="00331ADC">
        <w:rPr>
          <w:rFonts w:ascii="ITC Avant Garde" w:eastAsia="Calibri" w:hAnsi="ITC Avant Garde"/>
          <w:bCs/>
          <w:color w:val="000000"/>
          <w:sz w:val="22"/>
          <w:szCs w:val="22"/>
          <w:lang w:eastAsia="es-MX"/>
        </w:rPr>
        <w:t xml:space="preserve">de vigencia de la Concesión (la “Solicitud de Prórroga”), </w:t>
      </w:r>
      <w:r w:rsidR="00DC72BA" w:rsidRPr="00331ADC">
        <w:rPr>
          <w:rFonts w:ascii="ITC Avant Garde" w:eastAsia="Calibri" w:hAnsi="ITC Avant Garde"/>
          <w:bCs/>
          <w:color w:val="000000"/>
          <w:sz w:val="22"/>
          <w:szCs w:val="22"/>
          <w:lang w:eastAsia="es-MX"/>
        </w:rPr>
        <w:t xml:space="preserve">presentada </w:t>
      </w:r>
      <w:r w:rsidR="006070B6" w:rsidRPr="00331ADC">
        <w:rPr>
          <w:rFonts w:ascii="ITC Avant Garde" w:eastAsia="Calibri" w:hAnsi="ITC Avant Garde"/>
          <w:bCs/>
          <w:color w:val="000000"/>
          <w:sz w:val="22"/>
          <w:szCs w:val="22"/>
          <w:lang w:eastAsia="es-MX"/>
        </w:rPr>
        <w:t xml:space="preserve">por </w:t>
      </w:r>
      <w:r w:rsidR="00B44CBE" w:rsidRPr="00331ADC">
        <w:rPr>
          <w:rFonts w:ascii="ITC Avant Garde" w:eastAsia="Calibri" w:hAnsi="ITC Avant Garde"/>
          <w:bCs/>
          <w:color w:val="000000"/>
          <w:sz w:val="22"/>
          <w:szCs w:val="22"/>
          <w:lang w:eastAsia="es-MX"/>
        </w:rPr>
        <w:t xml:space="preserve">Radio Sistemas de Tamaulipas S.A. de C.V., </w:t>
      </w:r>
      <w:r w:rsidR="006070B6" w:rsidRPr="00331ADC">
        <w:rPr>
          <w:rFonts w:ascii="ITC Avant Garde" w:eastAsia="Calibri" w:hAnsi="ITC Avant Garde"/>
          <w:bCs/>
          <w:color w:val="000000"/>
          <w:sz w:val="22"/>
          <w:szCs w:val="22"/>
          <w:lang w:eastAsia="es-MX"/>
        </w:rPr>
        <w:t>ante esa Dependencia</w:t>
      </w:r>
      <w:r w:rsidR="00FD05F2" w:rsidRPr="00331ADC">
        <w:rPr>
          <w:rFonts w:ascii="ITC Avant Garde" w:eastAsia="Calibri" w:hAnsi="ITC Avant Garde"/>
          <w:bCs/>
          <w:color w:val="000000"/>
          <w:sz w:val="22"/>
          <w:szCs w:val="22"/>
          <w:lang w:eastAsia="es-MX"/>
        </w:rPr>
        <w:t xml:space="preserve">, </w:t>
      </w:r>
      <w:r w:rsidR="00357CCA" w:rsidRPr="00331ADC">
        <w:rPr>
          <w:rFonts w:ascii="ITC Avant Garde" w:eastAsia="Calibri" w:hAnsi="ITC Avant Garde"/>
          <w:bCs/>
          <w:color w:val="000000"/>
          <w:sz w:val="22"/>
          <w:szCs w:val="22"/>
          <w:lang w:eastAsia="es-MX"/>
        </w:rPr>
        <w:t xml:space="preserve">el 18 de diciembre de </w:t>
      </w:r>
      <w:r w:rsidR="00FD05F2" w:rsidRPr="00331ADC">
        <w:rPr>
          <w:rFonts w:ascii="ITC Avant Garde" w:eastAsia="Calibri" w:hAnsi="ITC Avant Garde"/>
          <w:bCs/>
          <w:color w:val="000000"/>
          <w:sz w:val="22"/>
          <w:szCs w:val="22"/>
          <w:lang w:eastAsia="es-MX"/>
        </w:rPr>
        <w:t xml:space="preserve">2003. </w:t>
      </w:r>
    </w:p>
    <w:p w14:paraId="215748AE" w14:textId="77777777" w:rsidR="00552353" w:rsidRPr="00F17180" w:rsidRDefault="00552353" w:rsidP="00552353">
      <w:pPr>
        <w:jc w:val="both"/>
        <w:rPr>
          <w:rFonts w:ascii="ITC Avant Garde" w:eastAsia="Calibri" w:hAnsi="ITC Avant Garde"/>
          <w:bCs/>
          <w:color w:val="000000"/>
          <w:sz w:val="22"/>
          <w:szCs w:val="22"/>
          <w:lang w:eastAsia="es-MX"/>
        </w:rPr>
      </w:pPr>
    </w:p>
    <w:p w14:paraId="128A5C32" w14:textId="7D3BF9DF" w:rsidR="00415ED0" w:rsidRPr="00F17180" w:rsidRDefault="00415ED0" w:rsidP="00B53D4B">
      <w:pPr>
        <w:numPr>
          <w:ilvl w:val="0"/>
          <w:numId w:val="44"/>
        </w:numPr>
        <w:jc w:val="both"/>
        <w:rPr>
          <w:rFonts w:ascii="ITC Avant Garde" w:eastAsia="Calibri" w:hAnsi="ITC Avant Garde"/>
          <w:bCs/>
          <w:color w:val="000000"/>
          <w:sz w:val="22"/>
          <w:szCs w:val="22"/>
          <w:lang w:eastAsia="es-MX"/>
        </w:rPr>
      </w:pPr>
      <w:r w:rsidRPr="00F17180">
        <w:rPr>
          <w:rFonts w:ascii="ITC Avant Garde" w:eastAsia="Calibri" w:hAnsi="ITC Avant Garde"/>
          <w:b/>
          <w:bCs/>
          <w:color w:val="000000"/>
          <w:sz w:val="22"/>
          <w:szCs w:val="22"/>
          <w:lang w:eastAsia="es-MX"/>
        </w:rPr>
        <w:t>Cumplimiento de Obligaciones.</w:t>
      </w:r>
      <w:r w:rsidRPr="00F17180">
        <w:rPr>
          <w:rFonts w:ascii="ITC Avant Garde" w:hAnsi="ITC Avant Garde"/>
          <w:b/>
          <w:bCs/>
          <w:color w:val="000000"/>
          <w:sz w:val="22"/>
          <w:szCs w:val="22"/>
          <w:lang w:val="es-ES" w:eastAsia="es-MX"/>
        </w:rPr>
        <w:t xml:space="preserve"> </w:t>
      </w:r>
      <w:r w:rsidRPr="00F17180">
        <w:rPr>
          <w:rFonts w:ascii="ITC Avant Garde" w:eastAsia="Calibri" w:hAnsi="ITC Avant Garde"/>
          <w:bCs/>
          <w:color w:val="000000"/>
          <w:sz w:val="22"/>
          <w:szCs w:val="22"/>
          <w:lang w:eastAsia="es-MX"/>
        </w:rPr>
        <w:t>Con oficio CFT/D04/USV/</w:t>
      </w:r>
      <w:r w:rsidR="001A3E09" w:rsidRPr="00F17180">
        <w:rPr>
          <w:rFonts w:ascii="ITC Avant Garde" w:eastAsia="Calibri" w:hAnsi="ITC Avant Garde"/>
          <w:bCs/>
          <w:color w:val="000000"/>
          <w:sz w:val="22"/>
          <w:szCs w:val="22"/>
          <w:lang w:eastAsia="es-MX"/>
        </w:rPr>
        <w:t>212</w:t>
      </w:r>
      <w:r w:rsidRPr="00F17180">
        <w:rPr>
          <w:rFonts w:ascii="ITC Avant Garde" w:eastAsia="Calibri" w:hAnsi="ITC Avant Garde"/>
          <w:bCs/>
          <w:color w:val="000000"/>
          <w:sz w:val="22"/>
          <w:szCs w:val="22"/>
          <w:lang w:eastAsia="es-MX"/>
        </w:rPr>
        <w:t>/20</w:t>
      </w:r>
      <w:r w:rsidR="001A3E09" w:rsidRPr="00F17180">
        <w:rPr>
          <w:rFonts w:ascii="ITC Avant Garde" w:eastAsia="Calibri" w:hAnsi="ITC Avant Garde"/>
          <w:bCs/>
          <w:color w:val="000000"/>
          <w:sz w:val="22"/>
          <w:szCs w:val="22"/>
          <w:lang w:eastAsia="es-MX"/>
        </w:rPr>
        <w:t>1</w:t>
      </w:r>
      <w:r w:rsidRPr="00F17180">
        <w:rPr>
          <w:rFonts w:ascii="ITC Avant Garde" w:eastAsia="Calibri" w:hAnsi="ITC Avant Garde"/>
          <w:bCs/>
          <w:color w:val="000000"/>
          <w:sz w:val="22"/>
          <w:szCs w:val="22"/>
          <w:lang w:eastAsia="es-MX"/>
        </w:rPr>
        <w:t xml:space="preserve">0 de fecha </w:t>
      </w:r>
      <w:r w:rsidR="001A3E09" w:rsidRPr="00F17180">
        <w:rPr>
          <w:rFonts w:ascii="ITC Avant Garde" w:eastAsia="Calibri" w:hAnsi="ITC Avant Garde"/>
          <w:bCs/>
          <w:color w:val="000000"/>
          <w:sz w:val="22"/>
          <w:szCs w:val="22"/>
          <w:lang w:eastAsia="es-MX"/>
        </w:rPr>
        <w:t>7</w:t>
      </w:r>
      <w:r w:rsidRPr="00F17180">
        <w:rPr>
          <w:rFonts w:ascii="ITC Avant Garde" w:eastAsia="Calibri" w:hAnsi="ITC Avant Garde"/>
          <w:bCs/>
          <w:color w:val="000000"/>
          <w:sz w:val="22"/>
          <w:szCs w:val="22"/>
          <w:lang w:eastAsia="es-MX"/>
        </w:rPr>
        <w:t xml:space="preserve"> de </w:t>
      </w:r>
      <w:r w:rsidR="001A3E09" w:rsidRPr="00F17180">
        <w:rPr>
          <w:rFonts w:ascii="ITC Avant Garde" w:eastAsia="Calibri" w:hAnsi="ITC Avant Garde"/>
          <w:bCs/>
          <w:color w:val="000000"/>
          <w:sz w:val="22"/>
          <w:szCs w:val="22"/>
          <w:lang w:eastAsia="es-MX"/>
        </w:rPr>
        <w:t xml:space="preserve">junio </w:t>
      </w:r>
      <w:r w:rsidRPr="00F17180">
        <w:rPr>
          <w:rFonts w:ascii="ITC Avant Garde" w:eastAsia="Calibri" w:hAnsi="ITC Avant Garde"/>
          <w:bCs/>
          <w:color w:val="000000"/>
          <w:sz w:val="22"/>
          <w:szCs w:val="22"/>
          <w:lang w:eastAsia="es-MX"/>
        </w:rPr>
        <w:t>de 20</w:t>
      </w:r>
      <w:r w:rsidR="001A3E09" w:rsidRPr="00F17180">
        <w:rPr>
          <w:rFonts w:ascii="ITC Avant Garde" w:eastAsia="Calibri" w:hAnsi="ITC Avant Garde"/>
          <w:bCs/>
          <w:color w:val="000000"/>
          <w:sz w:val="22"/>
          <w:szCs w:val="22"/>
          <w:lang w:eastAsia="es-MX"/>
        </w:rPr>
        <w:t>1</w:t>
      </w:r>
      <w:r w:rsidRPr="00F17180">
        <w:rPr>
          <w:rFonts w:ascii="ITC Avant Garde" w:eastAsia="Calibri" w:hAnsi="ITC Avant Garde"/>
          <w:bCs/>
          <w:color w:val="000000"/>
          <w:sz w:val="22"/>
          <w:szCs w:val="22"/>
          <w:lang w:eastAsia="es-MX"/>
        </w:rPr>
        <w:t>0</w:t>
      </w:r>
      <w:r w:rsidR="004D5872" w:rsidRPr="00F17180">
        <w:rPr>
          <w:rFonts w:ascii="ITC Avant Garde" w:eastAsia="Calibri" w:hAnsi="ITC Avant Garde"/>
          <w:bCs/>
          <w:color w:val="000000"/>
          <w:sz w:val="22"/>
          <w:szCs w:val="22"/>
          <w:lang w:eastAsia="es-MX"/>
        </w:rPr>
        <w:t xml:space="preserve">, la entonces Unidad de Supervisión y Verificación </w:t>
      </w:r>
      <w:r w:rsidR="00357CCA" w:rsidRPr="00F17180">
        <w:rPr>
          <w:rFonts w:ascii="ITC Avant Garde" w:eastAsia="Calibri" w:hAnsi="ITC Avant Garde"/>
          <w:bCs/>
          <w:color w:val="000000"/>
          <w:sz w:val="22"/>
          <w:szCs w:val="22"/>
          <w:lang w:eastAsia="es-MX"/>
        </w:rPr>
        <w:t>de la Comisión</w:t>
      </w:r>
      <w:r w:rsidR="004D5872" w:rsidRPr="00F17180">
        <w:rPr>
          <w:rFonts w:ascii="ITC Avant Garde" w:eastAsia="Calibri" w:hAnsi="ITC Avant Garde"/>
          <w:bCs/>
          <w:color w:val="000000"/>
          <w:sz w:val="22"/>
          <w:szCs w:val="22"/>
          <w:lang w:eastAsia="es-MX"/>
        </w:rPr>
        <w:t xml:space="preserve">, </w:t>
      </w:r>
      <w:r w:rsidR="00FD05F2" w:rsidRPr="00F17180">
        <w:rPr>
          <w:rFonts w:ascii="ITC Avant Garde" w:eastAsia="Calibri" w:hAnsi="ITC Avant Garde"/>
          <w:bCs/>
          <w:color w:val="000000"/>
          <w:sz w:val="22"/>
          <w:szCs w:val="22"/>
          <w:lang w:eastAsia="es-MX"/>
        </w:rPr>
        <w:t>señaló</w:t>
      </w:r>
      <w:r w:rsidR="001A3E09" w:rsidRPr="00F17180">
        <w:rPr>
          <w:rFonts w:ascii="ITC Avant Garde" w:eastAsia="Calibri" w:hAnsi="ITC Avant Garde"/>
          <w:bCs/>
          <w:color w:val="000000"/>
          <w:sz w:val="22"/>
          <w:szCs w:val="22"/>
          <w:lang w:eastAsia="es-MX"/>
        </w:rPr>
        <w:t xml:space="preserve"> que al 26 de agosto de 2009, </w:t>
      </w:r>
      <w:r w:rsidR="00B44CBE" w:rsidRPr="00F17180">
        <w:rPr>
          <w:rFonts w:ascii="ITC Avant Garde" w:eastAsia="Calibri" w:hAnsi="ITC Avant Garde"/>
          <w:bCs/>
          <w:color w:val="000000"/>
          <w:sz w:val="22"/>
          <w:szCs w:val="22"/>
          <w:lang w:eastAsia="es-MX"/>
        </w:rPr>
        <w:t>Radio Sistemas de Tamaulipas, S.A. de C.V.</w:t>
      </w:r>
      <w:r w:rsidR="00FD05F2" w:rsidRPr="00F17180">
        <w:rPr>
          <w:rFonts w:ascii="ITC Avant Garde" w:eastAsia="Calibri" w:hAnsi="ITC Avant Garde"/>
          <w:bCs/>
          <w:color w:val="000000"/>
          <w:sz w:val="22"/>
          <w:szCs w:val="22"/>
          <w:lang w:eastAsia="es-MX"/>
        </w:rPr>
        <w:t xml:space="preserve"> se encontraba en cumplimiento de las obligaciones a su cargo derivadas de la Concesión y demás disposiciones aplicables, </w:t>
      </w:r>
      <w:r w:rsidR="001A3E09" w:rsidRPr="00F17180">
        <w:rPr>
          <w:rFonts w:ascii="ITC Avant Garde" w:eastAsia="Calibri" w:hAnsi="ITC Avant Garde"/>
          <w:bCs/>
          <w:color w:val="000000"/>
          <w:sz w:val="22"/>
          <w:szCs w:val="22"/>
          <w:lang w:eastAsia="es-MX"/>
        </w:rPr>
        <w:t>no obstante que la fecha de vencimiento de la Concesión fue el 22 de diciembre de 2008</w:t>
      </w:r>
      <w:r w:rsidR="007C1189" w:rsidRPr="00F17180">
        <w:rPr>
          <w:rFonts w:ascii="ITC Avant Garde" w:eastAsia="Calibri" w:hAnsi="ITC Avant Garde"/>
          <w:bCs/>
          <w:color w:val="000000"/>
          <w:sz w:val="22"/>
          <w:szCs w:val="22"/>
          <w:lang w:eastAsia="es-MX"/>
        </w:rPr>
        <w:t>.</w:t>
      </w:r>
    </w:p>
    <w:p w14:paraId="71F70F72" w14:textId="77777777" w:rsidR="00552353" w:rsidRPr="00F17180" w:rsidRDefault="00552353" w:rsidP="00552353">
      <w:pPr>
        <w:ind w:left="567"/>
        <w:jc w:val="both"/>
        <w:rPr>
          <w:rFonts w:ascii="ITC Avant Garde" w:eastAsia="Calibri" w:hAnsi="ITC Avant Garde"/>
          <w:bCs/>
          <w:color w:val="000000"/>
          <w:sz w:val="22"/>
          <w:szCs w:val="22"/>
          <w:lang w:eastAsia="es-MX"/>
        </w:rPr>
      </w:pPr>
    </w:p>
    <w:p w14:paraId="48AB959F" w14:textId="0FD7395C" w:rsidR="003D744E" w:rsidRPr="00F17180" w:rsidRDefault="001A3E09" w:rsidP="00B53D4B">
      <w:pPr>
        <w:ind w:left="567"/>
        <w:jc w:val="both"/>
        <w:rPr>
          <w:rFonts w:ascii="ITC Avant Garde" w:eastAsia="Calibri" w:hAnsi="ITC Avant Garde"/>
          <w:bCs/>
          <w:color w:val="000000"/>
          <w:sz w:val="22"/>
          <w:szCs w:val="22"/>
          <w:lang w:eastAsia="es-MX"/>
        </w:rPr>
      </w:pPr>
      <w:r w:rsidRPr="00F17180">
        <w:rPr>
          <w:rFonts w:ascii="ITC Avant Garde" w:eastAsia="Calibri" w:hAnsi="ITC Avant Garde"/>
          <w:bCs/>
          <w:color w:val="000000"/>
          <w:sz w:val="22"/>
          <w:szCs w:val="22"/>
          <w:lang w:eastAsia="es-MX"/>
        </w:rPr>
        <w:t xml:space="preserve">Asimismo, con oficio </w:t>
      </w:r>
      <w:r w:rsidR="003D744E" w:rsidRPr="00F17180">
        <w:rPr>
          <w:rFonts w:ascii="ITC Avant Garde" w:eastAsia="Calibri" w:hAnsi="ITC Avant Garde"/>
          <w:bCs/>
          <w:color w:val="000000"/>
          <w:sz w:val="22"/>
          <w:szCs w:val="22"/>
          <w:lang w:eastAsia="es-MX"/>
        </w:rPr>
        <w:t>CFT/D04/USV/</w:t>
      </w:r>
      <w:r w:rsidRPr="00F17180">
        <w:rPr>
          <w:rFonts w:ascii="ITC Avant Garde" w:eastAsia="Calibri" w:hAnsi="ITC Avant Garde"/>
          <w:bCs/>
          <w:color w:val="000000"/>
          <w:sz w:val="22"/>
          <w:szCs w:val="22"/>
          <w:lang w:eastAsia="es-MX"/>
        </w:rPr>
        <w:t>229</w:t>
      </w:r>
      <w:r w:rsidR="003D744E" w:rsidRPr="00F17180">
        <w:rPr>
          <w:rFonts w:ascii="ITC Avant Garde" w:eastAsia="Calibri" w:hAnsi="ITC Avant Garde"/>
          <w:bCs/>
          <w:color w:val="000000"/>
          <w:sz w:val="22"/>
          <w:szCs w:val="22"/>
          <w:lang w:eastAsia="es-MX"/>
        </w:rPr>
        <w:t>/</w:t>
      </w:r>
      <w:r w:rsidRPr="00F17180">
        <w:rPr>
          <w:rFonts w:ascii="ITC Avant Garde" w:eastAsia="Calibri" w:hAnsi="ITC Avant Garde"/>
          <w:bCs/>
          <w:color w:val="000000"/>
          <w:sz w:val="22"/>
          <w:szCs w:val="22"/>
          <w:lang w:eastAsia="es-MX"/>
        </w:rPr>
        <w:t>2013</w:t>
      </w:r>
      <w:r w:rsidR="003D744E" w:rsidRPr="00F17180">
        <w:rPr>
          <w:rFonts w:ascii="ITC Avant Garde" w:eastAsia="Calibri" w:hAnsi="ITC Avant Garde"/>
          <w:bCs/>
          <w:color w:val="000000"/>
          <w:sz w:val="22"/>
          <w:szCs w:val="22"/>
          <w:lang w:eastAsia="es-MX"/>
        </w:rPr>
        <w:t xml:space="preserve"> de fecha </w:t>
      </w:r>
      <w:r w:rsidRPr="00F17180">
        <w:rPr>
          <w:rFonts w:ascii="ITC Avant Garde" w:eastAsia="Calibri" w:hAnsi="ITC Avant Garde"/>
          <w:bCs/>
          <w:color w:val="000000"/>
          <w:sz w:val="22"/>
          <w:szCs w:val="22"/>
          <w:lang w:eastAsia="es-MX"/>
        </w:rPr>
        <w:t>7</w:t>
      </w:r>
      <w:r w:rsidR="003D744E" w:rsidRPr="00F17180">
        <w:rPr>
          <w:rFonts w:ascii="ITC Avant Garde" w:eastAsia="Calibri" w:hAnsi="ITC Avant Garde"/>
          <w:bCs/>
          <w:color w:val="000000"/>
          <w:sz w:val="22"/>
          <w:szCs w:val="22"/>
          <w:lang w:eastAsia="es-MX"/>
        </w:rPr>
        <w:t xml:space="preserve"> de </w:t>
      </w:r>
      <w:r w:rsidRPr="00F17180">
        <w:rPr>
          <w:rFonts w:ascii="ITC Avant Garde" w:eastAsia="Calibri" w:hAnsi="ITC Avant Garde"/>
          <w:bCs/>
          <w:color w:val="000000"/>
          <w:sz w:val="22"/>
          <w:szCs w:val="22"/>
          <w:lang w:eastAsia="es-MX"/>
        </w:rPr>
        <w:t>marzo</w:t>
      </w:r>
      <w:r w:rsidR="003D744E" w:rsidRPr="00F17180">
        <w:rPr>
          <w:rFonts w:ascii="ITC Avant Garde" w:eastAsia="Calibri" w:hAnsi="ITC Avant Garde"/>
          <w:bCs/>
          <w:color w:val="000000"/>
          <w:sz w:val="22"/>
          <w:szCs w:val="22"/>
          <w:lang w:eastAsia="es-MX"/>
        </w:rPr>
        <w:t xml:space="preserve"> de 20</w:t>
      </w:r>
      <w:r w:rsidRPr="00F17180">
        <w:rPr>
          <w:rFonts w:ascii="ITC Avant Garde" w:eastAsia="Calibri" w:hAnsi="ITC Avant Garde"/>
          <w:bCs/>
          <w:color w:val="000000"/>
          <w:sz w:val="22"/>
          <w:szCs w:val="22"/>
          <w:lang w:eastAsia="es-MX"/>
        </w:rPr>
        <w:t>13</w:t>
      </w:r>
      <w:r w:rsidR="003D744E" w:rsidRPr="00F17180">
        <w:rPr>
          <w:rFonts w:ascii="ITC Avant Garde" w:eastAsia="Calibri" w:hAnsi="ITC Avant Garde"/>
          <w:bCs/>
          <w:color w:val="000000"/>
          <w:sz w:val="22"/>
          <w:szCs w:val="22"/>
          <w:lang w:eastAsia="es-MX"/>
        </w:rPr>
        <w:t xml:space="preserve">, </w:t>
      </w:r>
      <w:r w:rsidRPr="00F17180">
        <w:rPr>
          <w:rFonts w:ascii="ITC Avant Garde" w:eastAsia="Calibri" w:hAnsi="ITC Avant Garde"/>
          <w:bCs/>
          <w:color w:val="000000"/>
          <w:sz w:val="22"/>
          <w:szCs w:val="22"/>
          <w:lang w:eastAsia="es-MX"/>
        </w:rPr>
        <w:t xml:space="preserve">dicha Unidad informó que con oficio CFT/D04/USV/DGS/0579/2013 de fecha 1 de marzo de 2013, la Dirección General de Supervisión </w:t>
      </w:r>
      <w:r w:rsidR="00712919" w:rsidRPr="00F17180">
        <w:rPr>
          <w:rFonts w:ascii="ITC Avant Garde" w:eastAsia="Calibri" w:hAnsi="ITC Avant Garde"/>
          <w:bCs/>
          <w:color w:val="000000"/>
          <w:sz w:val="22"/>
          <w:szCs w:val="22"/>
          <w:lang w:eastAsia="es-MX"/>
        </w:rPr>
        <w:t>comunicó que de la revisión del expediente abierto a nombre de</w:t>
      </w:r>
      <w:r w:rsidR="00552353" w:rsidRPr="00F17180">
        <w:rPr>
          <w:rFonts w:ascii="ITC Avant Garde" w:eastAsia="Calibri" w:hAnsi="ITC Avant Garde"/>
          <w:bCs/>
          <w:color w:val="000000"/>
          <w:sz w:val="22"/>
          <w:szCs w:val="22"/>
          <w:lang w:eastAsia="es-MX"/>
        </w:rPr>
        <w:t xml:space="preserve"> Radio Sistemas de Tamaulipas, S.A. de C.V.</w:t>
      </w:r>
      <w:r w:rsidR="00712919" w:rsidRPr="00F17180">
        <w:rPr>
          <w:rFonts w:ascii="ITC Avant Garde" w:eastAsia="Calibri" w:hAnsi="ITC Avant Garde"/>
          <w:bCs/>
          <w:color w:val="000000"/>
          <w:sz w:val="22"/>
          <w:szCs w:val="22"/>
          <w:lang w:eastAsia="es-MX"/>
        </w:rPr>
        <w:t>, al día 26 de agosto de 2009</w:t>
      </w:r>
      <w:r w:rsidR="00DD459F" w:rsidRPr="00F17180">
        <w:rPr>
          <w:rFonts w:ascii="ITC Avant Garde" w:eastAsia="Calibri" w:hAnsi="ITC Avant Garde"/>
          <w:bCs/>
          <w:color w:val="000000"/>
          <w:sz w:val="22"/>
          <w:szCs w:val="22"/>
          <w:lang w:eastAsia="es-MX"/>
        </w:rPr>
        <w:t>,</w:t>
      </w:r>
      <w:r w:rsidR="00712919" w:rsidRPr="00F17180">
        <w:rPr>
          <w:rFonts w:ascii="ITC Avant Garde" w:eastAsia="Calibri" w:hAnsi="ITC Avant Garde"/>
          <w:bCs/>
          <w:color w:val="000000"/>
          <w:sz w:val="22"/>
          <w:szCs w:val="22"/>
          <w:lang w:eastAsia="es-MX"/>
        </w:rPr>
        <w:t xml:space="preserve"> el mismo se encontraba al corriente en el cumplimiento de las obligaciones documentales, en términos de la Concesión y demás disposiciones legales aplicables.</w:t>
      </w:r>
    </w:p>
    <w:p w14:paraId="2E188C11" w14:textId="77777777" w:rsidR="00552353" w:rsidRPr="00F17180" w:rsidRDefault="00552353" w:rsidP="00B53D4B">
      <w:pPr>
        <w:ind w:left="567"/>
        <w:jc w:val="both"/>
        <w:rPr>
          <w:rFonts w:ascii="ITC Avant Garde" w:eastAsia="Calibri" w:hAnsi="ITC Avant Garde"/>
          <w:bCs/>
          <w:color w:val="000000"/>
          <w:sz w:val="22"/>
          <w:szCs w:val="22"/>
          <w:lang w:eastAsia="es-MX"/>
        </w:rPr>
      </w:pPr>
    </w:p>
    <w:p w14:paraId="60138B3B" w14:textId="77777777" w:rsidR="00552353" w:rsidRPr="00F17180" w:rsidRDefault="00552353" w:rsidP="00B53D4B">
      <w:pPr>
        <w:ind w:left="567"/>
        <w:jc w:val="both"/>
        <w:rPr>
          <w:rFonts w:ascii="ITC Avant Garde" w:eastAsia="Calibri" w:hAnsi="ITC Avant Garde"/>
          <w:bCs/>
          <w:color w:val="000000"/>
          <w:sz w:val="22"/>
          <w:szCs w:val="22"/>
          <w:lang w:eastAsia="es-MX"/>
        </w:rPr>
      </w:pPr>
    </w:p>
    <w:p w14:paraId="7C1231D3" w14:textId="13DBEC6B" w:rsidR="00867F86" w:rsidRPr="00331ADC" w:rsidRDefault="00DA740C" w:rsidP="0046339A">
      <w:pPr>
        <w:pStyle w:val="Prrafodelista"/>
        <w:numPr>
          <w:ilvl w:val="0"/>
          <w:numId w:val="44"/>
        </w:numPr>
        <w:jc w:val="both"/>
        <w:rPr>
          <w:rFonts w:ascii="ITC Avant Garde" w:eastAsia="Calibri" w:hAnsi="ITC Avant Garde"/>
          <w:bCs/>
          <w:color w:val="000000"/>
          <w:sz w:val="22"/>
          <w:szCs w:val="22"/>
          <w:lang w:eastAsia="es-MX"/>
        </w:rPr>
      </w:pPr>
      <w:r w:rsidRPr="00331ADC">
        <w:rPr>
          <w:rFonts w:ascii="ITC Avant Garde" w:eastAsia="Calibri" w:hAnsi="ITC Avant Garde"/>
          <w:b/>
          <w:bCs/>
          <w:color w:val="000000"/>
          <w:sz w:val="22"/>
          <w:szCs w:val="22"/>
          <w:lang w:eastAsia="es-MX"/>
        </w:rPr>
        <w:t>Decreto de Reforma Constitucional.</w:t>
      </w:r>
      <w:r w:rsidRPr="00331ADC">
        <w:rPr>
          <w:rFonts w:ascii="ITC Avant Garde" w:hAnsi="ITC Avant Garde"/>
          <w:b/>
          <w:bCs/>
          <w:color w:val="000000"/>
          <w:sz w:val="22"/>
          <w:szCs w:val="22"/>
          <w:lang w:val="es-ES" w:eastAsia="es-MX"/>
        </w:rPr>
        <w:t xml:space="preserve"> </w:t>
      </w:r>
      <w:r w:rsidR="00830379" w:rsidRPr="00331ADC">
        <w:rPr>
          <w:rFonts w:ascii="ITC Avant Garde" w:eastAsia="Calibri" w:hAnsi="ITC Avant Garde"/>
          <w:bCs/>
          <w:color w:val="000000"/>
          <w:sz w:val="22"/>
          <w:szCs w:val="22"/>
          <w:lang w:eastAsia="es-MX"/>
        </w:rPr>
        <w:t xml:space="preserve">Con fecha 11 de junio de 2013, se publicó en el Diario Oficial de la Federación el </w:t>
      </w:r>
      <w:r w:rsidR="00830379" w:rsidRPr="00331ADC">
        <w:rPr>
          <w:rFonts w:ascii="ITC Avant Garde" w:eastAsia="Calibri" w:hAnsi="ITC Avant Garde"/>
          <w:bCs/>
          <w:i/>
          <w:color w:val="000000"/>
          <w:sz w:val="22"/>
          <w:szCs w:val="22"/>
          <w:lang w:eastAsia="es-MX"/>
        </w:rPr>
        <w:t>“Decreto por el que se reforman y adicionan diversas disposiciones de los artículos 6o., 7o., 27, 28, 73, 78, 94 y 105 de la Constitución Política de los Estados Unidos Mexicanos, en materia de telecomunicaciones”</w:t>
      </w:r>
      <w:r w:rsidR="00830379" w:rsidRPr="00331ADC">
        <w:rPr>
          <w:rFonts w:ascii="ITC Avant Garde" w:eastAsia="Calibri" w:hAnsi="ITC Avant Garde"/>
          <w:bCs/>
          <w:color w:val="000000"/>
          <w:sz w:val="22"/>
          <w:szCs w:val="22"/>
          <w:lang w:eastAsia="es-MX"/>
        </w:rPr>
        <w:t xml:space="preserve"> (el “Decreto de Reforma Constitucional”), mediante el cual se creó el Instituto Federal de </w:t>
      </w:r>
      <w:r w:rsidR="00830379" w:rsidRPr="00331ADC">
        <w:rPr>
          <w:rFonts w:ascii="ITC Avant Garde" w:eastAsia="Calibri" w:hAnsi="ITC Avant Garde"/>
          <w:bCs/>
          <w:color w:val="000000"/>
          <w:sz w:val="22"/>
          <w:szCs w:val="22"/>
          <w:lang w:eastAsia="es-MX"/>
        </w:rPr>
        <w:lastRenderedPageBreak/>
        <w:t>Telecomunicaciones como un órgano autónomo encargado del desarrollo eficiente de la radiodifusión y las telecomunicaciones (el “Instituto”).</w:t>
      </w:r>
      <w:r w:rsidR="00867F86" w:rsidRPr="00331ADC">
        <w:rPr>
          <w:rFonts w:ascii="ITC Avant Garde" w:eastAsia="Calibri" w:hAnsi="ITC Avant Garde"/>
          <w:bCs/>
          <w:color w:val="000000"/>
          <w:sz w:val="22"/>
          <w:szCs w:val="22"/>
          <w:lang w:eastAsia="es-MX"/>
        </w:rPr>
        <w:t xml:space="preserve"> </w:t>
      </w:r>
    </w:p>
    <w:p w14:paraId="610E730C" w14:textId="77777777" w:rsidR="00867F86" w:rsidRPr="00F17180" w:rsidRDefault="00867F86" w:rsidP="00867F86">
      <w:pPr>
        <w:ind w:left="567"/>
        <w:jc w:val="both"/>
        <w:rPr>
          <w:rFonts w:ascii="ITC Avant Garde" w:eastAsia="Calibri" w:hAnsi="ITC Avant Garde"/>
          <w:bCs/>
          <w:color w:val="000000"/>
          <w:sz w:val="22"/>
          <w:szCs w:val="22"/>
          <w:lang w:eastAsia="es-MX"/>
        </w:rPr>
      </w:pPr>
    </w:p>
    <w:p w14:paraId="6574A185" w14:textId="5AAA8013" w:rsidR="00867F86" w:rsidRPr="00331ADC" w:rsidRDefault="00552353" w:rsidP="00353969">
      <w:pPr>
        <w:numPr>
          <w:ilvl w:val="0"/>
          <w:numId w:val="44"/>
        </w:numPr>
        <w:jc w:val="both"/>
        <w:rPr>
          <w:rFonts w:ascii="ITC Avant Garde" w:eastAsia="Calibri" w:hAnsi="ITC Avant Garde"/>
          <w:bCs/>
          <w:color w:val="000000"/>
          <w:sz w:val="22"/>
          <w:szCs w:val="22"/>
          <w:lang w:eastAsia="es-MX"/>
        </w:rPr>
      </w:pPr>
      <w:r w:rsidRPr="00331ADC">
        <w:rPr>
          <w:rFonts w:ascii="ITC Avant Garde" w:eastAsia="Calibri" w:hAnsi="ITC Avant Garde"/>
          <w:b/>
          <w:bCs/>
          <w:color w:val="000000"/>
          <w:sz w:val="22"/>
          <w:szCs w:val="22"/>
          <w:lang w:eastAsia="es-MX"/>
        </w:rPr>
        <w:t>Opinión</w:t>
      </w:r>
      <w:r w:rsidR="00830379" w:rsidRPr="00331ADC">
        <w:rPr>
          <w:rFonts w:ascii="ITC Avant Garde" w:eastAsia="Calibri" w:hAnsi="ITC Avant Garde"/>
          <w:b/>
          <w:bCs/>
          <w:color w:val="000000"/>
          <w:sz w:val="22"/>
          <w:szCs w:val="22"/>
          <w:lang w:eastAsia="es-MX"/>
        </w:rPr>
        <w:t xml:space="preserve"> Técnica-</w:t>
      </w:r>
      <w:r w:rsidR="00546626" w:rsidRPr="00331ADC">
        <w:rPr>
          <w:rFonts w:ascii="ITC Avant Garde" w:eastAsia="Calibri" w:hAnsi="ITC Avant Garde"/>
          <w:b/>
          <w:bCs/>
          <w:color w:val="000000"/>
          <w:sz w:val="22"/>
          <w:szCs w:val="22"/>
          <w:lang w:eastAsia="es-MX"/>
        </w:rPr>
        <w:t>Regulatoria.</w:t>
      </w:r>
      <w:r w:rsidR="00546626" w:rsidRPr="00331ADC">
        <w:rPr>
          <w:rFonts w:ascii="ITC Avant Garde" w:hAnsi="ITC Avant Garde"/>
          <w:b/>
          <w:bCs/>
          <w:color w:val="000000"/>
          <w:sz w:val="22"/>
          <w:szCs w:val="22"/>
          <w:lang w:val="es-ES" w:eastAsia="es-MX"/>
        </w:rPr>
        <w:t xml:space="preserve"> </w:t>
      </w:r>
      <w:r w:rsidR="000859EA" w:rsidRPr="00331ADC">
        <w:rPr>
          <w:rFonts w:ascii="ITC Avant Garde" w:eastAsia="Calibri" w:hAnsi="ITC Avant Garde"/>
          <w:bCs/>
          <w:color w:val="000000"/>
          <w:sz w:val="22"/>
          <w:szCs w:val="22"/>
          <w:lang w:eastAsia="es-MX"/>
        </w:rPr>
        <w:t xml:space="preserve">Con oficio CFT/D05/UPR/DGRA/109/2013 de fecha 13 de junio de 2013, la entonces Dirección General de Regulación “A”, adscrita a la Unidad de Prospectiva y Regulación de la Comisión, opinó </w:t>
      </w:r>
      <w:r w:rsidR="00867F86" w:rsidRPr="00331ADC">
        <w:rPr>
          <w:rFonts w:ascii="ITC Avant Garde" w:eastAsia="Calibri" w:hAnsi="ITC Avant Garde"/>
          <w:bCs/>
          <w:color w:val="000000"/>
          <w:sz w:val="22"/>
          <w:szCs w:val="22"/>
          <w:lang w:eastAsia="es-MX"/>
        </w:rPr>
        <w:t xml:space="preserve">diversas solicitudes de prórroga de vigencia de títulos de concesión para la prestación del servicio móvil de radiocomunicación especializada de flotillas, entre la que se encontraba la Solicitud de Prórroga. Al respecto, dicha Dirección General señaló que </w:t>
      </w:r>
      <w:r w:rsidR="000859EA" w:rsidRPr="00331ADC">
        <w:rPr>
          <w:rFonts w:ascii="ITC Avant Garde" w:eastAsia="Calibri" w:hAnsi="ITC Avant Garde"/>
          <w:bCs/>
          <w:color w:val="000000"/>
          <w:sz w:val="22"/>
          <w:szCs w:val="22"/>
          <w:lang w:eastAsia="es-MX"/>
        </w:rPr>
        <w:t>la Solicitud de Prórroga resultaba procedente desde el punto de vista regulatorio y de planificación del espectro, sujeto al cumplimiento de diversas condiciones y reservas entre las que se señaló que la prórroga que se concediera debería otorgarse dentro de la banda de frecuencias de 410-430 MHz.</w:t>
      </w:r>
      <w:r w:rsidR="00867F86" w:rsidRPr="00331ADC">
        <w:rPr>
          <w:rFonts w:ascii="ITC Avant Garde" w:eastAsia="Calibri" w:hAnsi="ITC Avant Garde"/>
          <w:bCs/>
          <w:color w:val="000000"/>
          <w:sz w:val="22"/>
          <w:szCs w:val="22"/>
          <w:lang w:eastAsia="es-MX"/>
        </w:rPr>
        <w:t xml:space="preserve"> </w:t>
      </w:r>
    </w:p>
    <w:p w14:paraId="1BE3E803" w14:textId="77777777" w:rsidR="00074FE7" w:rsidRPr="00F17180" w:rsidRDefault="00074FE7" w:rsidP="00867F86">
      <w:pPr>
        <w:ind w:left="567"/>
        <w:jc w:val="both"/>
        <w:rPr>
          <w:rFonts w:ascii="ITC Avant Garde" w:eastAsia="Calibri" w:hAnsi="ITC Avant Garde"/>
          <w:bCs/>
          <w:color w:val="000000"/>
          <w:sz w:val="22"/>
          <w:szCs w:val="22"/>
          <w:lang w:eastAsia="es-MX"/>
        </w:rPr>
      </w:pPr>
    </w:p>
    <w:p w14:paraId="6F53A344" w14:textId="2010DCC9" w:rsidR="00867F86" w:rsidRPr="00F17180" w:rsidRDefault="00867F86" w:rsidP="00867F86">
      <w:pPr>
        <w:numPr>
          <w:ilvl w:val="0"/>
          <w:numId w:val="44"/>
        </w:numPr>
        <w:jc w:val="both"/>
        <w:rPr>
          <w:rFonts w:ascii="ITC Avant Garde" w:eastAsia="Calibri" w:hAnsi="ITC Avant Garde"/>
          <w:bCs/>
          <w:color w:val="000000"/>
          <w:sz w:val="22"/>
          <w:szCs w:val="22"/>
          <w:lang w:eastAsia="es-MX"/>
        </w:rPr>
      </w:pPr>
      <w:r w:rsidRPr="00F17180">
        <w:rPr>
          <w:rFonts w:ascii="ITC Avant Garde" w:eastAsia="Calibri" w:hAnsi="ITC Avant Garde"/>
          <w:b/>
          <w:bCs/>
          <w:color w:val="000000"/>
          <w:sz w:val="22"/>
          <w:szCs w:val="22"/>
          <w:lang w:eastAsia="es-MX"/>
        </w:rPr>
        <w:t>Integración del Instituto.</w:t>
      </w:r>
      <w:r w:rsidRPr="00F17180">
        <w:rPr>
          <w:rFonts w:ascii="ITC Avant Garde" w:eastAsia="Calibri" w:hAnsi="ITC Avant Garde"/>
          <w:bCs/>
          <w:color w:val="000000"/>
          <w:sz w:val="22"/>
          <w:szCs w:val="22"/>
          <w:lang w:eastAsia="es-MX"/>
        </w:rPr>
        <w:t xml:space="preserve"> El 10 de septiembre de 2013 quedó debidamente integrado el Instituto, en términos de lo dispuesto por el artículo Sexto Transitorio del Decreto de Reforma Constitucional, mediante la ratificación, por parte del Senado de la República, de los nombramientos de los Comisionados que integran su órgano de gobierno y la designación de su Presidente.</w:t>
      </w:r>
    </w:p>
    <w:p w14:paraId="6428B7A3" w14:textId="77777777" w:rsidR="000859EA" w:rsidRPr="00F17180" w:rsidRDefault="000859EA" w:rsidP="00B53D4B">
      <w:pPr>
        <w:jc w:val="both"/>
        <w:rPr>
          <w:rFonts w:ascii="ITC Avant Garde" w:eastAsia="Calibri" w:hAnsi="ITC Avant Garde"/>
          <w:bCs/>
          <w:color w:val="000000"/>
          <w:sz w:val="22"/>
          <w:szCs w:val="22"/>
          <w:lang w:eastAsia="es-MX"/>
        </w:rPr>
      </w:pPr>
    </w:p>
    <w:p w14:paraId="080880F4" w14:textId="77777777" w:rsidR="00867F86" w:rsidRPr="00F17180" w:rsidRDefault="00867F86" w:rsidP="00B53D4B">
      <w:pPr>
        <w:jc w:val="both"/>
        <w:rPr>
          <w:rFonts w:ascii="ITC Avant Garde" w:eastAsia="Calibri" w:hAnsi="ITC Avant Garde"/>
          <w:bCs/>
          <w:color w:val="000000"/>
          <w:sz w:val="22"/>
          <w:szCs w:val="22"/>
          <w:lang w:eastAsia="es-MX"/>
        </w:rPr>
      </w:pPr>
    </w:p>
    <w:p w14:paraId="1507D9E5" w14:textId="2F767C67" w:rsidR="001F60A7" w:rsidRPr="00F17180" w:rsidRDefault="00C67180" w:rsidP="00B53D4B">
      <w:pPr>
        <w:numPr>
          <w:ilvl w:val="0"/>
          <w:numId w:val="44"/>
        </w:numPr>
        <w:jc w:val="both"/>
        <w:rPr>
          <w:rFonts w:ascii="ITC Avant Garde" w:eastAsia="Calibri" w:hAnsi="ITC Avant Garde"/>
          <w:bCs/>
          <w:color w:val="000000"/>
          <w:sz w:val="22"/>
          <w:szCs w:val="22"/>
          <w:lang w:eastAsia="es-MX"/>
        </w:rPr>
      </w:pPr>
      <w:r w:rsidRPr="00F17180">
        <w:rPr>
          <w:rFonts w:ascii="ITC Avant Garde" w:eastAsia="Calibri" w:hAnsi="ITC Avant Garde"/>
          <w:b/>
          <w:bCs/>
          <w:color w:val="000000"/>
          <w:sz w:val="22"/>
          <w:szCs w:val="22"/>
          <w:lang w:eastAsia="es-MX"/>
        </w:rPr>
        <w:t xml:space="preserve">Decreto de </w:t>
      </w:r>
      <w:r w:rsidR="002F65B4" w:rsidRPr="00F17180">
        <w:rPr>
          <w:rFonts w:ascii="ITC Avant Garde" w:eastAsia="Calibri" w:hAnsi="ITC Avant Garde"/>
          <w:b/>
          <w:bCs/>
          <w:color w:val="000000"/>
          <w:sz w:val="22"/>
          <w:szCs w:val="22"/>
          <w:lang w:eastAsia="es-MX"/>
        </w:rPr>
        <w:t>Ley</w:t>
      </w:r>
      <w:r w:rsidR="001C3587" w:rsidRPr="00F17180">
        <w:rPr>
          <w:rFonts w:ascii="ITC Avant Garde" w:eastAsia="Calibri" w:hAnsi="ITC Avant Garde"/>
          <w:b/>
          <w:bCs/>
          <w:color w:val="000000"/>
          <w:sz w:val="22"/>
          <w:szCs w:val="22"/>
          <w:lang w:eastAsia="es-MX"/>
        </w:rPr>
        <w:t xml:space="preserve">. </w:t>
      </w:r>
      <w:r w:rsidR="000859EA" w:rsidRPr="00F17180">
        <w:rPr>
          <w:rFonts w:ascii="ITC Avant Garde" w:eastAsia="Calibri" w:hAnsi="ITC Avant Garde"/>
          <w:bCs/>
          <w:color w:val="000000"/>
          <w:sz w:val="22"/>
          <w:szCs w:val="22"/>
          <w:lang w:eastAsia="es-MX"/>
        </w:rPr>
        <w:t xml:space="preserve">El 14 de julio de 2014, se publicó en el Diario Oficial de la Federación el </w:t>
      </w:r>
      <w:r w:rsidR="000859EA" w:rsidRPr="00F17180">
        <w:rPr>
          <w:rFonts w:ascii="ITC Avant Garde" w:eastAsia="Calibri" w:hAnsi="ITC Avant Garde"/>
          <w:bCs/>
          <w:i/>
          <w:color w:val="000000"/>
          <w:sz w:val="22"/>
          <w:szCs w:val="22"/>
          <w:lang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000859EA" w:rsidRPr="00F17180">
        <w:rPr>
          <w:rFonts w:ascii="ITC Avant Garde" w:eastAsia="Calibri" w:hAnsi="ITC Avant Garde"/>
          <w:bCs/>
          <w:color w:val="000000"/>
          <w:sz w:val="22"/>
          <w:szCs w:val="22"/>
          <w:lang w:eastAsia="es-MX"/>
        </w:rPr>
        <w:t xml:space="preserve"> (el “Decreto de Ley”)</w:t>
      </w:r>
      <w:r w:rsidR="000859EA" w:rsidRPr="00F17180">
        <w:rPr>
          <w:rFonts w:ascii="ITC Avant Garde" w:hAnsi="ITC Avant Garde"/>
          <w:bCs/>
          <w:color w:val="000000" w:themeColor="text1"/>
          <w:sz w:val="22"/>
          <w:szCs w:val="22"/>
          <w:lang w:eastAsia="es-MX"/>
        </w:rPr>
        <w:t>, mismo que entró en vigor el 13 de agosto de 2014</w:t>
      </w:r>
      <w:r w:rsidR="000859EA" w:rsidRPr="00F17180">
        <w:rPr>
          <w:rFonts w:ascii="ITC Avant Garde" w:eastAsia="Calibri" w:hAnsi="ITC Avant Garde"/>
          <w:bCs/>
          <w:color w:val="000000"/>
          <w:sz w:val="22"/>
          <w:szCs w:val="22"/>
          <w:lang w:eastAsia="es-MX"/>
        </w:rPr>
        <w:t>.</w:t>
      </w:r>
    </w:p>
    <w:p w14:paraId="1D6397C5" w14:textId="77777777" w:rsidR="00552353" w:rsidRPr="00F17180" w:rsidRDefault="00552353" w:rsidP="00552353">
      <w:pPr>
        <w:pStyle w:val="Prrafodelista"/>
        <w:rPr>
          <w:rFonts w:ascii="ITC Avant Garde" w:eastAsia="Calibri" w:hAnsi="ITC Avant Garde"/>
          <w:bCs/>
          <w:color w:val="000000"/>
          <w:sz w:val="22"/>
          <w:szCs w:val="22"/>
          <w:lang w:eastAsia="es-MX"/>
        </w:rPr>
      </w:pPr>
    </w:p>
    <w:p w14:paraId="755A1EFC" w14:textId="77777777" w:rsidR="00552353" w:rsidRPr="00F17180" w:rsidRDefault="00552353" w:rsidP="00552353">
      <w:pPr>
        <w:jc w:val="both"/>
        <w:rPr>
          <w:rFonts w:ascii="ITC Avant Garde" w:eastAsia="Calibri" w:hAnsi="ITC Avant Garde"/>
          <w:bCs/>
          <w:color w:val="000000"/>
          <w:sz w:val="22"/>
          <w:szCs w:val="22"/>
          <w:lang w:eastAsia="es-MX"/>
        </w:rPr>
      </w:pPr>
    </w:p>
    <w:p w14:paraId="0691C1F3" w14:textId="4E89F044" w:rsidR="000859EA" w:rsidRPr="00F17180" w:rsidRDefault="005F4709" w:rsidP="00D05909">
      <w:pPr>
        <w:pStyle w:val="Prrafodelista"/>
        <w:numPr>
          <w:ilvl w:val="0"/>
          <w:numId w:val="44"/>
        </w:numPr>
        <w:jc w:val="both"/>
        <w:rPr>
          <w:rFonts w:ascii="ITC Avant Garde" w:eastAsia="Calibri" w:hAnsi="ITC Avant Garde"/>
          <w:bCs/>
          <w:color w:val="000000"/>
          <w:sz w:val="22"/>
          <w:szCs w:val="22"/>
          <w:lang w:eastAsia="es-MX"/>
        </w:rPr>
      </w:pPr>
      <w:r w:rsidRPr="00F17180">
        <w:rPr>
          <w:rFonts w:ascii="ITC Avant Garde" w:eastAsia="Calibri" w:hAnsi="ITC Avant Garde"/>
          <w:b/>
          <w:bCs/>
          <w:color w:val="000000"/>
          <w:sz w:val="22"/>
          <w:szCs w:val="22"/>
          <w:lang w:eastAsia="es-MX"/>
        </w:rPr>
        <w:t>Estatuto Orgánico.</w:t>
      </w:r>
      <w:r w:rsidRPr="00F17180">
        <w:rPr>
          <w:rFonts w:ascii="ITC Avant Garde" w:hAnsi="ITC Avant Garde"/>
          <w:bCs/>
          <w:color w:val="000000" w:themeColor="text1"/>
          <w:sz w:val="22"/>
          <w:szCs w:val="22"/>
          <w:lang w:eastAsia="es-MX"/>
        </w:rPr>
        <w:t xml:space="preserve"> </w:t>
      </w:r>
      <w:r w:rsidR="000859EA" w:rsidRPr="00F17180">
        <w:rPr>
          <w:rFonts w:ascii="ITC Avant Garde" w:eastAsia="Calibri" w:hAnsi="ITC Avant Garde"/>
          <w:bCs/>
          <w:color w:val="000000"/>
          <w:sz w:val="22"/>
          <w:szCs w:val="22"/>
          <w:lang w:eastAsia="es-MX"/>
        </w:rPr>
        <w:t>El 4 de septiembre de 2014, se publicó en el Diario Oficial de la Federación el “</w:t>
      </w:r>
      <w:r w:rsidR="000859EA" w:rsidRPr="00F17180">
        <w:rPr>
          <w:rFonts w:ascii="ITC Avant Garde" w:eastAsia="Calibri" w:hAnsi="ITC Avant Garde"/>
          <w:bCs/>
          <w:i/>
          <w:color w:val="000000"/>
          <w:sz w:val="22"/>
          <w:szCs w:val="22"/>
          <w:lang w:eastAsia="es-MX"/>
        </w:rPr>
        <w:t>Estatuto Orgánico del Instituto Federal de Telecomunicaciones</w:t>
      </w:r>
      <w:r w:rsidR="000859EA" w:rsidRPr="00F17180">
        <w:rPr>
          <w:rFonts w:ascii="ITC Avant Garde" w:eastAsia="Calibri" w:hAnsi="ITC Avant Garde"/>
          <w:bCs/>
          <w:color w:val="000000"/>
          <w:sz w:val="22"/>
          <w:szCs w:val="22"/>
          <w:lang w:eastAsia="es-MX"/>
        </w:rPr>
        <w:t>” (el “Estatuto Orgánico”), mismo que entró en vigor el 26 de septiembre de 2014 y fue modificado el 17 de octubre del mismo año.</w:t>
      </w:r>
    </w:p>
    <w:p w14:paraId="10C21B8A" w14:textId="77777777" w:rsidR="00552353" w:rsidRPr="00F17180" w:rsidRDefault="00552353" w:rsidP="00552353">
      <w:pPr>
        <w:jc w:val="both"/>
        <w:rPr>
          <w:rFonts w:ascii="ITC Avant Garde" w:eastAsia="Calibri" w:hAnsi="ITC Avant Garde"/>
          <w:bCs/>
          <w:color w:val="000000"/>
          <w:sz w:val="22"/>
          <w:szCs w:val="22"/>
          <w:lang w:eastAsia="es-MX"/>
        </w:rPr>
      </w:pPr>
    </w:p>
    <w:p w14:paraId="01A72EBD" w14:textId="77777777" w:rsidR="00552353" w:rsidRPr="00F17180" w:rsidRDefault="00552353" w:rsidP="00552353">
      <w:pPr>
        <w:jc w:val="both"/>
        <w:rPr>
          <w:rFonts w:ascii="ITC Avant Garde" w:eastAsia="Calibri" w:hAnsi="ITC Avant Garde"/>
          <w:bCs/>
          <w:color w:val="000000"/>
          <w:sz w:val="22"/>
          <w:szCs w:val="22"/>
          <w:lang w:eastAsia="es-MX"/>
        </w:rPr>
      </w:pPr>
    </w:p>
    <w:p w14:paraId="7A74BC78" w14:textId="013FEBEF" w:rsidR="0085684A" w:rsidRPr="00F17180" w:rsidRDefault="0085684A" w:rsidP="00B53D4B">
      <w:pPr>
        <w:numPr>
          <w:ilvl w:val="0"/>
          <w:numId w:val="44"/>
        </w:numPr>
        <w:jc w:val="both"/>
        <w:rPr>
          <w:rFonts w:ascii="ITC Avant Garde" w:hAnsi="ITC Avant Garde"/>
          <w:bCs/>
          <w:color w:val="000000"/>
          <w:sz w:val="22"/>
          <w:szCs w:val="22"/>
          <w:lang w:val="es-ES" w:eastAsia="es-MX"/>
        </w:rPr>
      </w:pPr>
      <w:r w:rsidRPr="00F17180">
        <w:rPr>
          <w:rFonts w:ascii="ITC Avant Garde" w:hAnsi="ITC Avant Garde"/>
          <w:b/>
          <w:bCs/>
          <w:color w:val="000000"/>
          <w:sz w:val="22"/>
          <w:szCs w:val="22"/>
          <w:lang w:val="es-ES" w:eastAsia="es-MX"/>
        </w:rPr>
        <w:t>Opinión de la Dirección General de Ingeniería del Espectro y Estudios Técnicos</w:t>
      </w:r>
      <w:r w:rsidR="000859EA" w:rsidRPr="00F17180">
        <w:rPr>
          <w:rFonts w:ascii="ITC Avant Garde" w:hAnsi="ITC Avant Garde"/>
          <w:b/>
          <w:bCs/>
          <w:color w:val="000000"/>
          <w:sz w:val="22"/>
          <w:szCs w:val="22"/>
          <w:lang w:val="es-ES" w:eastAsia="es-MX"/>
        </w:rPr>
        <w:t xml:space="preserve"> respecto de la Solicitud de Prórroga</w:t>
      </w:r>
      <w:r w:rsidRPr="00F17180">
        <w:rPr>
          <w:rFonts w:ascii="ITC Avant Garde" w:hAnsi="ITC Avant Garde"/>
          <w:b/>
          <w:bCs/>
          <w:color w:val="000000"/>
          <w:sz w:val="22"/>
          <w:szCs w:val="22"/>
          <w:lang w:val="es-ES" w:eastAsia="es-MX"/>
        </w:rPr>
        <w:t xml:space="preserve">. </w:t>
      </w:r>
      <w:r w:rsidRPr="00F17180">
        <w:rPr>
          <w:rFonts w:ascii="ITC Avant Garde" w:hAnsi="ITC Avant Garde"/>
          <w:bCs/>
          <w:color w:val="000000"/>
          <w:sz w:val="22"/>
          <w:szCs w:val="22"/>
          <w:lang w:val="es-ES" w:eastAsia="es-MX"/>
        </w:rPr>
        <w:t>Con oficio IFT/222/UER/DG-IEET/625/2015 de fecha 19 de junio de 2015, la Dirección General de Ingeniería del Espectro y Estudios Técnicos</w:t>
      </w:r>
      <w:r w:rsidR="00867F86" w:rsidRPr="00F17180">
        <w:rPr>
          <w:rFonts w:ascii="ITC Avant Garde" w:hAnsi="ITC Avant Garde"/>
          <w:bCs/>
          <w:color w:val="000000"/>
          <w:sz w:val="22"/>
          <w:szCs w:val="22"/>
          <w:lang w:val="es-ES" w:eastAsia="es-MX"/>
        </w:rPr>
        <w:t>, adscrita a la Unidad de Espectro radioeléctrico</w:t>
      </w:r>
      <w:r w:rsidRPr="00F17180">
        <w:rPr>
          <w:rFonts w:ascii="ITC Avant Garde" w:hAnsi="ITC Avant Garde"/>
          <w:bCs/>
          <w:color w:val="000000"/>
          <w:sz w:val="22"/>
          <w:szCs w:val="22"/>
          <w:lang w:val="es-ES" w:eastAsia="es-MX"/>
        </w:rPr>
        <w:t xml:space="preserve"> del Instituto propuso la canalización del segmento 410-430 MHz, así como las frecuencias de operación, área de cobertura y las características técnico-operativas que busquen evitar o minimizar riesgos de interferencias perjudiciales para diversas empresas que solicitan prórroga de vigencia de títulos de concesión para la prestación del servicio móvil de radiocomunicación </w:t>
      </w:r>
      <w:r w:rsidR="00867F86" w:rsidRPr="00F17180">
        <w:rPr>
          <w:rFonts w:ascii="ITC Avant Garde" w:hAnsi="ITC Avant Garde"/>
          <w:bCs/>
          <w:color w:val="000000"/>
          <w:sz w:val="22"/>
          <w:szCs w:val="22"/>
          <w:lang w:val="es-ES" w:eastAsia="es-MX"/>
        </w:rPr>
        <w:t>especializada de flotillas, entre las que se encontraba la Solicitud de Prórroga</w:t>
      </w:r>
    </w:p>
    <w:p w14:paraId="05B8C595" w14:textId="77777777" w:rsidR="00552353" w:rsidRPr="00F17180" w:rsidRDefault="00552353" w:rsidP="00552353">
      <w:pPr>
        <w:jc w:val="both"/>
        <w:rPr>
          <w:rFonts w:ascii="ITC Avant Garde" w:hAnsi="ITC Avant Garde"/>
          <w:bCs/>
          <w:color w:val="000000"/>
          <w:sz w:val="22"/>
          <w:szCs w:val="22"/>
          <w:lang w:val="es-ES" w:eastAsia="es-MX"/>
        </w:rPr>
      </w:pPr>
    </w:p>
    <w:p w14:paraId="1C808C18" w14:textId="77777777" w:rsidR="00552353" w:rsidRPr="00F17180" w:rsidRDefault="00552353" w:rsidP="00552353">
      <w:pPr>
        <w:jc w:val="both"/>
        <w:rPr>
          <w:rFonts w:ascii="ITC Avant Garde" w:hAnsi="ITC Avant Garde"/>
          <w:bCs/>
          <w:color w:val="000000"/>
          <w:sz w:val="22"/>
          <w:szCs w:val="22"/>
          <w:lang w:val="es-ES" w:eastAsia="es-MX"/>
        </w:rPr>
      </w:pPr>
    </w:p>
    <w:p w14:paraId="6FB96A0D" w14:textId="18320F32" w:rsidR="00AD437E" w:rsidRPr="00331ADC" w:rsidRDefault="001B350A" w:rsidP="00036FBB">
      <w:pPr>
        <w:numPr>
          <w:ilvl w:val="0"/>
          <w:numId w:val="44"/>
        </w:numPr>
        <w:jc w:val="both"/>
        <w:rPr>
          <w:rFonts w:ascii="ITC Avant Garde" w:hAnsi="ITC Avant Garde"/>
          <w:bCs/>
          <w:color w:val="000000"/>
          <w:sz w:val="22"/>
          <w:szCs w:val="22"/>
          <w:lang w:val="es-ES" w:eastAsia="es-MX"/>
        </w:rPr>
      </w:pPr>
      <w:r w:rsidRPr="00331ADC">
        <w:rPr>
          <w:rFonts w:ascii="ITC Avant Garde" w:eastAsia="Calibri" w:hAnsi="ITC Avant Garde"/>
          <w:b/>
          <w:bCs/>
          <w:color w:val="000000"/>
          <w:sz w:val="22"/>
          <w:szCs w:val="22"/>
          <w:lang w:eastAsia="es-MX"/>
        </w:rPr>
        <w:lastRenderedPageBreak/>
        <w:t>Opinión en materia de competencia económica</w:t>
      </w:r>
      <w:r w:rsidR="00D4119B" w:rsidRPr="00331ADC">
        <w:rPr>
          <w:rFonts w:ascii="ITC Avant Garde" w:eastAsia="Calibri" w:hAnsi="ITC Avant Garde"/>
          <w:b/>
          <w:bCs/>
          <w:color w:val="000000"/>
          <w:sz w:val="22"/>
          <w:szCs w:val="22"/>
          <w:lang w:eastAsia="es-MX"/>
        </w:rPr>
        <w:t xml:space="preserve"> respecto de la Solicitud de Prórroga</w:t>
      </w:r>
      <w:r w:rsidRPr="00331ADC">
        <w:rPr>
          <w:rFonts w:ascii="ITC Avant Garde" w:eastAsia="Calibri" w:hAnsi="ITC Avant Garde"/>
          <w:b/>
          <w:bCs/>
          <w:color w:val="000000"/>
          <w:sz w:val="22"/>
          <w:szCs w:val="22"/>
          <w:lang w:eastAsia="es-MX"/>
        </w:rPr>
        <w:t>.</w:t>
      </w:r>
      <w:r w:rsidRPr="00331ADC">
        <w:rPr>
          <w:rFonts w:ascii="ITC Avant Garde" w:eastAsia="Calibri" w:hAnsi="ITC Avant Garde"/>
          <w:bCs/>
          <w:color w:val="000000"/>
          <w:sz w:val="22"/>
          <w:szCs w:val="22"/>
          <w:lang w:eastAsia="es-MX"/>
        </w:rPr>
        <w:t xml:space="preserve"> Con oficio IFT/226/UCE/DG-CCON/136/2015 de fecha 30 junio de 2015, la Dirección General de Concentraciones y Concesiones, adscrita a la Unidad de Competencia Económica del Instituto, </w:t>
      </w:r>
      <w:r w:rsidR="00445A30" w:rsidRPr="00331ADC">
        <w:rPr>
          <w:rFonts w:ascii="ITC Avant Garde" w:eastAsia="Calibri" w:hAnsi="ITC Avant Garde"/>
          <w:bCs/>
          <w:color w:val="000000"/>
          <w:sz w:val="22"/>
          <w:szCs w:val="22"/>
          <w:lang w:eastAsia="es-MX"/>
        </w:rPr>
        <w:t>emitió opinión respecto a la Solicitud de Prórroga señalando</w:t>
      </w:r>
      <w:r w:rsidR="00867F86" w:rsidRPr="00331ADC">
        <w:rPr>
          <w:rFonts w:ascii="ITC Avant Garde" w:eastAsia="Calibri" w:hAnsi="ITC Avant Garde"/>
          <w:bCs/>
          <w:color w:val="000000"/>
          <w:sz w:val="22"/>
          <w:szCs w:val="22"/>
          <w:lang w:eastAsia="es-MX"/>
        </w:rPr>
        <w:t>, entre otros aspectos,</w:t>
      </w:r>
      <w:r w:rsidR="00445A30" w:rsidRPr="00331ADC">
        <w:rPr>
          <w:rFonts w:ascii="ITC Avant Garde" w:eastAsia="Calibri" w:hAnsi="ITC Avant Garde"/>
          <w:bCs/>
          <w:color w:val="000000"/>
          <w:sz w:val="22"/>
          <w:szCs w:val="22"/>
          <w:lang w:eastAsia="es-MX"/>
        </w:rPr>
        <w:t xml:space="preserve"> que </w:t>
      </w:r>
      <w:r w:rsidR="00867F86" w:rsidRPr="00331ADC">
        <w:rPr>
          <w:rFonts w:ascii="ITC Avant Garde" w:eastAsia="Calibri" w:hAnsi="ITC Avant Garde"/>
          <w:bCs/>
          <w:color w:val="000000"/>
          <w:sz w:val="22"/>
          <w:szCs w:val="22"/>
          <w:lang w:eastAsia="es-MX"/>
        </w:rPr>
        <w:t xml:space="preserve">con base en la información disponible, </w:t>
      </w:r>
      <w:r w:rsidR="00445A30" w:rsidRPr="00331ADC">
        <w:rPr>
          <w:rFonts w:ascii="ITC Avant Garde" w:eastAsia="Calibri" w:hAnsi="ITC Avant Garde"/>
          <w:bCs/>
          <w:color w:val="000000"/>
          <w:sz w:val="22"/>
          <w:szCs w:val="22"/>
          <w:lang w:eastAsia="es-MX"/>
        </w:rPr>
        <w:t xml:space="preserve">no se identificaban elementos ni indicios de que la autorización de la prórroga solicitada por </w:t>
      </w:r>
      <w:r w:rsidR="00552353" w:rsidRPr="00331ADC">
        <w:rPr>
          <w:rFonts w:ascii="ITC Avant Garde" w:eastAsia="Calibri" w:hAnsi="ITC Avant Garde"/>
          <w:bCs/>
          <w:color w:val="000000"/>
          <w:sz w:val="22"/>
          <w:szCs w:val="22"/>
          <w:lang w:eastAsia="es-MX"/>
        </w:rPr>
        <w:t>Radio Sistemas de Tamaulipas</w:t>
      </w:r>
      <w:r w:rsidR="00445A30" w:rsidRPr="00331ADC">
        <w:rPr>
          <w:rFonts w:ascii="ITC Avant Garde" w:eastAsia="Calibri" w:hAnsi="ITC Avant Garde"/>
          <w:bCs/>
          <w:color w:val="000000"/>
          <w:sz w:val="22"/>
          <w:szCs w:val="22"/>
          <w:lang w:eastAsia="es-MX"/>
        </w:rPr>
        <w:t xml:space="preserve">, S.A. de C.V., pudiera tener efectos contrarios en el proceso de competencia y libre concurrencia en los mercados. </w:t>
      </w:r>
    </w:p>
    <w:p w14:paraId="0A8B4514" w14:textId="77777777" w:rsidR="00552353" w:rsidRPr="00F17180" w:rsidRDefault="00552353" w:rsidP="00B53D4B">
      <w:pPr>
        <w:ind w:left="567"/>
        <w:jc w:val="both"/>
        <w:rPr>
          <w:rFonts w:ascii="ITC Avant Garde" w:hAnsi="ITC Avant Garde"/>
          <w:bCs/>
          <w:color w:val="000000"/>
          <w:sz w:val="22"/>
          <w:szCs w:val="22"/>
          <w:lang w:val="es-ES" w:eastAsia="es-MX"/>
        </w:rPr>
      </w:pPr>
    </w:p>
    <w:p w14:paraId="159B7000" w14:textId="76053F2A" w:rsidR="00D4119B" w:rsidRPr="00F17180" w:rsidRDefault="0085684A" w:rsidP="00D05909">
      <w:pPr>
        <w:numPr>
          <w:ilvl w:val="0"/>
          <w:numId w:val="44"/>
        </w:numPr>
        <w:jc w:val="both"/>
        <w:rPr>
          <w:rFonts w:ascii="ITC Avant Garde" w:eastAsia="Calibri" w:hAnsi="ITC Avant Garde"/>
          <w:bCs/>
          <w:color w:val="000000"/>
          <w:sz w:val="22"/>
          <w:szCs w:val="22"/>
          <w:lang w:eastAsia="es-MX"/>
        </w:rPr>
      </w:pPr>
      <w:r w:rsidRPr="00F17180">
        <w:rPr>
          <w:rFonts w:ascii="ITC Avant Garde" w:eastAsia="Calibri" w:hAnsi="ITC Avant Garde"/>
          <w:b/>
          <w:bCs/>
          <w:color w:val="000000"/>
          <w:sz w:val="22"/>
          <w:szCs w:val="22"/>
          <w:lang w:eastAsia="es-MX"/>
        </w:rPr>
        <w:t>Aprovechamiento autorizado por la Secretaría de Hacienda y Crédito Público.</w:t>
      </w:r>
      <w:r w:rsidRPr="00F17180">
        <w:rPr>
          <w:rFonts w:ascii="ITC Avant Garde" w:hAnsi="ITC Avant Garde"/>
          <w:b/>
          <w:bCs/>
          <w:color w:val="000000"/>
          <w:sz w:val="22"/>
          <w:szCs w:val="22"/>
          <w:lang w:val="es-ES" w:eastAsia="es-MX"/>
        </w:rPr>
        <w:t xml:space="preserve"> </w:t>
      </w:r>
      <w:r w:rsidR="00D4119B" w:rsidRPr="00F17180">
        <w:rPr>
          <w:rFonts w:ascii="ITC Avant Garde" w:eastAsia="Calibri" w:hAnsi="ITC Avant Garde"/>
          <w:bCs/>
          <w:color w:val="000000"/>
          <w:sz w:val="22"/>
          <w:szCs w:val="22"/>
          <w:lang w:eastAsia="es-MX"/>
        </w:rPr>
        <w:t>Con oficios IFT/222/UER/010/2014 e IFT/222/UER/154/2015 de fechas 6 de octubre de 2014 y 24 de junio de 2015, respectivamente, la Unidad de Espectro Radioeléctrico solicitó a la Unidad de Política de Ingresos No Tributarios de la Secretaría de Hacienda y Crédito Público, autorizar el aprovechamiento que debería</w:t>
      </w:r>
      <w:r w:rsidR="00867F86" w:rsidRPr="00F17180">
        <w:rPr>
          <w:rFonts w:ascii="ITC Avant Garde" w:eastAsia="Calibri" w:hAnsi="ITC Avant Garde"/>
          <w:bCs/>
          <w:color w:val="000000"/>
          <w:sz w:val="22"/>
          <w:szCs w:val="22"/>
          <w:lang w:eastAsia="es-MX"/>
        </w:rPr>
        <w:t>n</w:t>
      </w:r>
      <w:r w:rsidR="00D4119B" w:rsidRPr="00F17180">
        <w:rPr>
          <w:rFonts w:ascii="ITC Avant Garde" w:eastAsia="Calibri" w:hAnsi="ITC Avant Garde"/>
          <w:bCs/>
          <w:color w:val="000000"/>
          <w:sz w:val="22"/>
          <w:szCs w:val="22"/>
          <w:lang w:eastAsia="es-MX"/>
        </w:rPr>
        <w:t xml:space="preserve"> pagar </w:t>
      </w:r>
      <w:r w:rsidR="00867F86" w:rsidRPr="00F17180">
        <w:rPr>
          <w:rFonts w:ascii="ITC Avant Garde" w:hAnsi="ITC Avant Garde"/>
          <w:bCs/>
          <w:color w:val="000000"/>
          <w:sz w:val="22"/>
          <w:szCs w:val="22"/>
          <w:lang w:val="es-ES" w:eastAsia="es-MX"/>
        </w:rPr>
        <w:t xml:space="preserve">diversos concesionarios que habían presentado solicitudes de prórroga de títulos de concesión para prestar el servicio móvil de radiocomunicación especializada de flotillas, entre los que se encontraba </w:t>
      </w:r>
      <w:r w:rsidR="00D4119B" w:rsidRPr="00F17180">
        <w:rPr>
          <w:rFonts w:ascii="ITC Avant Garde" w:hAnsi="ITC Avant Garde"/>
          <w:bCs/>
          <w:color w:val="000000"/>
          <w:sz w:val="22"/>
          <w:szCs w:val="22"/>
          <w:lang w:val="es-ES" w:eastAsia="es-MX"/>
        </w:rPr>
        <w:t>Radio Sistemas de Tamaulipas, S.A. de C.V.</w:t>
      </w:r>
      <w:r w:rsidR="00D4119B" w:rsidRPr="00F17180">
        <w:rPr>
          <w:rFonts w:ascii="ITC Avant Garde" w:eastAsia="Calibri" w:hAnsi="ITC Avant Garde"/>
          <w:bCs/>
          <w:color w:val="000000"/>
          <w:sz w:val="22"/>
          <w:szCs w:val="22"/>
          <w:lang w:eastAsia="es-MX"/>
        </w:rPr>
        <w:t xml:space="preserve">, considerando, entre otras, las nuevas condiciones técnico-operativas que al efecto se </w:t>
      </w:r>
      <w:r w:rsidR="00867F86" w:rsidRPr="00F17180">
        <w:rPr>
          <w:rFonts w:ascii="ITC Avant Garde" w:eastAsia="Calibri" w:hAnsi="ITC Avant Garde"/>
          <w:bCs/>
          <w:color w:val="000000"/>
          <w:sz w:val="22"/>
          <w:szCs w:val="22"/>
          <w:lang w:eastAsia="es-MX"/>
        </w:rPr>
        <w:t>establezcan</w:t>
      </w:r>
      <w:r w:rsidR="00D4119B" w:rsidRPr="00F17180">
        <w:rPr>
          <w:rFonts w:ascii="ITC Avant Garde" w:eastAsia="Calibri" w:hAnsi="ITC Avant Garde"/>
          <w:bCs/>
          <w:color w:val="000000"/>
          <w:sz w:val="22"/>
          <w:szCs w:val="22"/>
          <w:lang w:eastAsia="es-MX"/>
        </w:rPr>
        <w:t>.</w:t>
      </w:r>
    </w:p>
    <w:p w14:paraId="07246341" w14:textId="77777777" w:rsidR="00D4119B" w:rsidRPr="00F17180" w:rsidRDefault="00D4119B" w:rsidP="00D4119B">
      <w:pPr>
        <w:ind w:left="567"/>
        <w:jc w:val="both"/>
        <w:rPr>
          <w:rFonts w:ascii="ITC Avant Garde" w:eastAsia="Calibri" w:hAnsi="ITC Avant Garde"/>
          <w:bCs/>
          <w:color w:val="000000"/>
          <w:sz w:val="22"/>
          <w:szCs w:val="22"/>
          <w:lang w:eastAsia="es-MX"/>
        </w:rPr>
      </w:pPr>
    </w:p>
    <w:p w14:paraId="1A007162" w14:textId="1A8A4404" w:rsidR="00D4119B" w:rsidRPr="00F17180" w:rsidRDefault="00D4119B" w:rsidP="00D4119B">
      <w:pPr>
        <w:ind w:left="567"/>
        <w:jc w:val="both"/>
        <w:rPr>
          <w:rFonts w:ascii="ITC Avant Garde" w:eastAsia="Calibri" w:hAnsi="ITC Avant Garde"/>
          <w:bCs/>
          <w:color w:val="000000"/>
          <w:sz w:val="22"/>
          <w:szCs w:val="22"/>
          <w:lang w:eastAsia="es-MX"/>
        </w:rPr>
      </w:pPr>
      <w:r w:rsidRPr="00F17180">
        <w:rPr>
          <w:rFonts w:ascii="ITC Avant Garde" w:eastAsia="Calibri" w:hAnsi="ITC Avant Garde"/>
          <w:bCs/>
          <w:color w:val="000000"/>
          <w:sz w:val="22"/>
          <w:szCs w:val="22"/>
          <w:lang w:eastAsia="es-MX"/>
        </w:rPr>
        <w:t xml:space="preserve">Con oficios 349-B-367 y 349-B-264 de fechas 28 de octubre de 2014 y 1 de julio de 2015, respectivamente, la Unidad de Política de Ingresos No Tributarios de la Secretaría de Hacienda y Crédito Público autorizó el cobro </w:t>
      </w:r>
      <w:r w:rsidR="00863B0C" w:rsidRPr="00F17180">
        <w:rPr>
          <w:rFonts w:ascii="ITC Avant Garde" w:eastAsia="Calibri" w:hAnsi="ITC Avant Garde"/>
          <w:bCs/>
          <w:color w:val="000000"/>
          <w:sz w:val="22"/>
          <w:szCs w:val="22"/>
          <w:lang w:eastAsia="es-MX"/>
        </w:rPr>
        <w:t>del</w:t>
      </w:r>
      <w:r w:rsidRPr="00F17180">
        <w:rPr>
          <w:rFonts w:ascii="ITC Avant Garde" w:eastAsia="Calibri" w:hAnsi="ITC Avant Garde"/>
          <w:bCs/>
          <w:color w:val="000000"/>
          <w:sz w:val="22"/>
          <w:szCs w:val="22"/>
          <w:lang w:eastAsia="es-MX"/>
        </w:rPr>
        <w:t xml:space="preserve"> aprovechamiento que </w:t>
      </w:r>
      <w:r w:rsidR="00287CDC" w:rsidRPr="00F17180">
        <w:rPr>
          <w:rFonts w:ascii="ITC Avant Garde" w:eastAsia="Calibri" w:hAnsi="ITC Avant Garde"/>
          <w:bCs/>
          <w:color w:val="000000"/>
          <w:sz w:val="22"/>
          <w:szCs w:val="22"/>
          <w:lang w:eastAsia="es-MX"/>
        </w:rPr>
        <w:t xml:space="preserve">deberían pagar diversos concesionarios por las solicitudes de prórroga relacionadas con la prestación del servicio móvil de radiocomunicación especializada de flotillas, entre los que se encontraba </w:t>
      </w:r>
      <w:r w:rsidRPr="00F17180">
        <w:rPr>
          <w:rFonts w:ascii="ITC Avant Garde" w:hAnsi="ITC Avant Garde"/>
          <w:bCs/>
          <w:color w:val="000000"/>
          <w:sz w:val="22"/>
          <w:szCs w:val="22"/>
          <w:lang w:val="es-ES" w:eastAsia="es-MX"/>
        </w:rPr>
        <w:t>Comunicaciones Radio Sistemas de Tamaulipas, S.A. de C.V.</w:t>
      </w:r>
    </w:p>
    <w:p w14:paraId="01643314" w14:textId="629BFF3B" w:rsidR="006518FA" w:rsidRPr="00F17180" w:rsidRDefault="006518FA" w:rsidP="00D4119B">
      <w:pPr>
        <w:ind w:left="567"/>
        <w:jc w:val="both"/>
        <w:rPr>
          <w:rFonts w:ascii="ITC Avant Garde" w:eastAsia="Calibri" w:hAnsi="ITC Avant Garde"/>
          <w:bCs/>
          <w:color w:val="000000"/>
          <w:sz w:val="22"/>
          <w:szCs w:val="22"/>
          <w:lang w:eastAsia="es-MX"/>
        </w:rPr>
      </w:pPr>
    </w:p>
    <w:p w14:paraId="17FC98AD" w14:textId="77777777" w:rsidR="0085684A" w:rsidRPr="00F17180" w:rsidRDefault="0085684A" w:rsidP="00B53D4B">
      <w:pPr>
        <w:ind w:right="99"/>
        <w:jc w:val="both"/>
        <w:rPr>
          <w:rFonts w:ascii="ITC Avant Garde" w:eastAsia="Calibri" w:hAnsi="ITC Avant Garde"/>
          <w:bCs/>
          <w:color w:val="000000"/>
          <w:sz w:val="22"/>
          <w:szCs w:val="22"/>
          <w:lang w:eastAsia="es-MX"/>
        </w:rPr>
      </w:pPr>
      <w:r w:rsidRPr="00F17180">
        <w:rPr>
          <w:rFonts w:ascii="ITC Avant Garde" w:eastAsia="Calibri" w:hAnsi="ITC Avant Garde"/>
          <w:bCs/>
          <w:color w:val="000000"/>
          <w:sz w:val="22"/>
          <w:szCs w:val="22"/>
          <w:lang w:eastAsia="es-MX"/>
        </w:rPr>
        <w:t xml:space="preserve">En virtud de los antecedentes referidos, y </w:t>
      </w:r>
    </w:p>
    <w:p w14:paraId="4EC045E7" w14:textId="77777777" w:rsidR="00552353" w:rsidRPr="00F17180" w:rsidRDefault="00552353" w:rsidP="00B53D4B">
      <w:pPr>
        <w:ind w:right="99"/>
        <w:jc w:val="both"/>
        <w:rPr>
          <w:rFonts w:ascii="ITC Avant Garde" w:eastAsia="Calibri" w:hAnsi="ITC Avant Garde"/>
          <w:bCs/>
          <w:color w:val="000000"/>
          <w:sz w:val="22"/>
          <w:szCs w:val="22"/>
          <w:lang w:eastAsia="es-MX"/>
        </w:rPr>
      </w:pPr>
    </w:p>
    <w:p w14:paraId="7BE0D0C6" w14:textId="77777777" w:rsidR="005131CB" w:rsidRPr="00EF3EB1" w:rsidRDefault="00A248D7" w:rsidP="00EF3EB1">
      <w:pPr>
        <w:pStyle w:val="Ttulo1"/>
        <w:jc w:val="center"/>
        <w:rPr>
          <w:rFonts w:ascii="ITC Avant Garde" w:eastAsia="Calibri" w:hAnsi="ITC Avant Garde"/>
          <w:b/>
          <w:bCs/>
          <w:color w:val="000000"/>
          <w:sz w:val="22"/>
          <w:szCs w:val="22"/>
          <w:lang w:eastAsia="es-MX"/>
        </w:rPr>
      </w:pPr>
      <w:r w:rsidRPr="00EF3EB1">
        <w:rPr>
          <w:rFonts w:ascii="ITC Avant Garde" w:eastAsia="Calibri" w:hAnsi="ITC Avant Garde"/>
          <w:b/>
          <w:bCs/>
          <w:color w:val="000000"/>
          <w:sz w:val="22"/>
          <w:szCs w:val="22"/>
          <w:lang w:eastAsia="es-MX"/>
        </w:rPr>
        <w:t>CONSIDERANDO</w:t>
      </w:r>
    </w:p>
    <w:p w14:paraId="6D3784EA" w14:textId="77777777" w:rsidR="00552353" w:rsidRPr="00F17180" w:rsidRDefault="00552353" w:rsidP="00552353">
      <w:pPr>
        <w:rPr>
          <w:rFonts w:eastAsia="Calibri"/>
          <w:lang w:eastAsia="es-MX"/>
        </w:rPr>
      </w:pPr>
    </w:p>
    <w:p w14:paraId="45EDDB09" w14:textId="77777777" w:rsidR="00AA2C6B" w:rsidRPr="00F17180" w:rsidRDefault="0085684A" w:rsidP="00AA2C6B">
      <w:pPr>
        <w:autoSpaceDE w:val="0"/>
        <w:autoSpaceDN w:val="0"/>
        <w:adjustRightInd w:val="0"/>
        <w:jc w:val="both"/>
        <w:rPr>
          <w:rFonts w:ascii="ITC Avant Garde" w:eastAsia="Calibri" w:hAnsi="ITC Avant Garde"/>
          <w:bCs/>
          <w:color w:val="000000"/>
          <w:sz w:val="22"/>
          <w:szCs w:val="22"/>
          <w:lang w:eastAsia="es-MX"/>
        </w:rPr>
      </w:pPr>
      <w:r w:rsidRPr="00F17180">
        <w:rPr>
          <w:rFonts w:ascii="ITC Avant Garde" w:eastAsia="Calibri" w:hAnsi="ITC Avant Garde"/>
          <w:b/>
          <w:bCs/>
          <w:color w:val="000000"/>
          <w:sz w:val="22"/>
          <w:szCs w:val="22"/>
          <w:lang w:eastAsia="es-MX"/>
        </w:rPr>
        <w:t>Primero.- Competencia.</w:t>
      </w:r>
      <w:r w:rsidRPr="00F17180">
        <w:rPr>
          <w:rFonts w:ascii="ITC Avant Garde" w:hAnsi="ITC Avant Garde" w:cstheme="minorHAnsi"/>
          <w:bCs/>
          <w:sz w:val="22"/>
          <w:szCs w:val="22"/>
        </w:rPr>
        <w:t xml:space="preserve"> </w:t>
      </w:r>
      <w:r w:rsidR="00AA2C6B" w:rsidRPr="00F17180">
        <w:rPr>
          <w:rFonts w:ascii="ITC Avant Garde" w:eastAsia="Calibri" w:hAnsi="ITC Avant Garde"/>
          <w:bCs/>
          <w:color w:val="000000"/>
          <w:sz w:val="22"/>
          <w:szCs w:val="22"/>
          <w:lang w:eastAsia="es-MX"/>
        </w:rPr>
        <w:t>Conforme lo dispone el artículo 28 párrafo décimo quinto de la Constitución Política de los Estados Unidos Mexicanos (la “Constitución”), el Instituto es el órgano autónomo con personalidad jurídica y patrimonio propios, que tiene por objeto el desarrollo eficiente de la radiodifusión y las telecomunicaciones, conforme a lo dispuesto por la propia Constitución y en los términos que fijen las leyes, teniendo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constitucionales.</w:t>
      </w:r>
    </w:p>
    <w:p w14:paraId="50F8CAF3" w14:textId="77777777" w:rsidR="00AA2C6B" w:rsidRPr="00F17180" w:rsidRDefault="00AA2C6B" w:rsidP="00AA2C6B">
      <w:pPr>
        <w:autoSpaceDE w:val="0"/>
        <w:autoSpaceDN w:val="0"/>
        <w:adjustRightInd w:val="0"/>
        <w:jc w:val="both"/>
        <w:rPr>
          <w:rFonts w:ascii="ITC Avant Garde" w:eastAsia="Calibri" w:hAnsi="ITC Avant Garde"/>
          <w:bCs/>
          <w:color w:val="000000"/>
          <w:sz w:val="22"/>
          <w:szCs w:val="22"/>
          <w:lang w:eastAsia="es-MX"/>
        </w:rPr>
      </w:pPr>
    </w:p>
    <w:p w14:paraId="738EAE95" w14:textId="77777777" w:rsidR="00AA2C6B" w:rsidRPr="00F17180" w:rsidRDefault="00AA2C6B" w:rsidP="00AA2C6B">
      <w:pPr>
        <w:autoSpaceDE w:val="0"/>
        <w:autoSpaceDN w:val="0"/>
        <w:adjustRightInd w:val="0"/>
        <w:jc w:val="both"/>
        <w:rPr>
          <w:rFonts w:ascii="ITC Avant Garde" w:eastAsia="Calibri" w:hAnsi="ITC Avant Garde"/>
          <w:bCs/>
          <w:color w:val="000000"/>
          <w:sz w:val="22"/>
          <w:szCs w:val="22"/>
          <w:lang w:eastAsia="es-MX"/>
        </w:rPr>
      </w:pPr>
      <w:r w:rsidRPr="00F17180">
        <w:rPr>
          <w:rFonts w:ascii="ITC Avant Garde" w:eastAsia="Calibri" w:hAnsi="ITC Avant Garde"/>
          <w:bCs/>
          <w:color w:val="000000"/>
          <w:sz w:val="22"/>
          <w:szCs w:val="22"/>
          <w:lang w:eastAsia="es-MX"/>
        </w:rPr>
        <w:t xml:space="preserve">Asimismo, en términos del párrafo décimo sexto del artículo constitucional antes mencionado, el Instituto es la autoridad en la materia de competencia económica de los sectores de radiodifusión y telecomunicaciones, por lo que entre otros aspectos, regulará de forma asimétrica a los participantes en estos mercados con el objeto de eliminar eficazmente las </w:t>
      </w:r>
      <w:r w:rsidRPr="00F17180">
        <w:rPr>
          <w:rFonts w:ascii="ITC Avant Garde" w:eastAsia="Calibri" w:hAnsi="ITC Avant Garde"/>
          <w:bCs/>
          <w:color w:val="000000"/>
          <w:sz w:val="22"/>
          <w:szCs w:val="22"/>
          <w:lang w:eastAsia="es-MX"/>
        </w:rPr>
        <w:lastRenderedPageBreak/>
        <w:t xml:space="preserve">barreras a la competencia y la libre concurrencia; impondrá límites al </w:t>
      </w:r>
      <w:proofErr w:type="spellStart"/>
      <w:r w:rsidRPr="00F17180">
        <w:rPr>
          <w:rFonts w:ascii="ITC Avant Garde" w:eastAsia="Calibri" w:hAnsi="ITC Avant Garde"/>
          <w:bCs/>
          <w:color w:val="000000"/>
          <w:sz w:val="22"/>
          <w:szCs w:val="22"/>
          <w:lang w:eastAsia="es-MX"/>
        </w:rPr>
        <w:t>concesionamiento</w:t>
      </w:r>
      <w:proofErr w:type="spellEnd"/>
      <w:r w:rsidRPr="00F17180">
        <w:rPr>
          <w:rFonts w:ascii="ITC Avant Garde" w:eastAsia="Calibri" w:hAnsi="ITC Avant Garde"/>
          <w:bCs/>
          <w:color w:val="000000"/>
          <w:sz w:val="22"/>
          <w:szCs w:val="22"/>
          <w:lang w:eastAsia="es-MX"/>
        </w:rPr>
        <w:t xml:space="preserve"> y a la propiedad cruzada que controle varios medios de comunicación que sean concesionarios de radiodifusión y telecomunicaciones que sirvan a un mismo mercado o zona de cobertura geográfica, garantizando lo dispuesto en los artículos 6o. y 7o. de la Constitución.</w:t>
      </w:r>
    </w:p>
    <w:p w14:paraId="43CC6FF5" w14:textId="77777777" w:rsidR="00AA2C6B" w:rsidRPr="00F17180" w:rsidRDefault="00AA2C6B" w:rsidP="00AA2C6B">
      <w:pPr>
        <w:autoSpaceDE w:val="0"/>
        <w:autoSpaceDN w:val="0"/>
        <w:adjustRightInd w:val="0"/>
        <w:jc w:val="both"/>
        <w:rPr>
          <w:rFonts w:ascii="ITC Avant Garde" w:eastAsia="Calibri" w:hAnsi="ITC Avant Garde"/>
          <w:bCs/>
          <w:color w:val="000000"/>
          <w:sz w:val="22"/>
          <w:szCs w:val="22"/>
          <w:lang w:eastAsia="es-MX"/>
        </w:rPr>
      </w:pPr>
    </w:p>
    <w:p w14:paraId="14EFDE27" w14:textId="77777777" w:rsidR="00AA2C6B" w:rsidRPr="00F17180" w:rsidRDefault="00AA2C6B" w:rsidP="00AA2C6B">
      <w:pPr>
        <w:autoSpaceDE w:val="0"/>
        <w:autoSpaceDN w:val="0"/>
        <w:adjustRightInd w:val="0"/>
        <w:jc w:val="both"/>
        <w:rPr>
          <w:rFonts w:ascii="ITC Avant Garde" w:eastAsia="Calibri" w:hAnsi="ITC Avant Garde"/>
          <w:bCs/>
          <w:color w:val="000000"/>
          <w:sz w:val="22"/>
          <w:szCs w:val="22"/>
          <w:lang w:eastAsia="es-MX"/>
        </w:rPr>
      </w:pPr>
      <w:r w:rsidRPr="00F17180">
        <w:rPr>
          <w:rFonts w:ascii="ITC Avant Garde" w:eastAsia="Calibri" w:hAnsi="ITC Avant Garde"/>
          <w:bCs/>
          <w:color w:val="000000"/>
          <w:sz w:val="22"/>
          <w:szCs w:val="22"/>
          <w:lang w:eastAsia="es-MX"/>
        </w:rPr>
        <w:t>Por su parte, el artículo Sexto Transitorio del Decreto de Ley establece que la atención, trámite y resolución de los asuntos y procedimientos iniciados con anterioridad a la entrada en vigor del mismo, como es el caso en particular, se realizará en los términos establecidos en el artículo Séptimo Transitorio del Decreto de Reforma Constitucional.</w:t>
      </w:r>
    </w:p>
    <w:p w14:paraId="512A30F8" w14:textId="77777777" w:rsidR="00AA2C6B" w:rsidRPr="00F17180" w:rsidRDefault="00AA2C6B" w:rsidP="00AA2C6B">
      <w:pPr>
        <w:autoSpaceDE w:val="0"/>
        <w:autoSpaceDN w:val="0"/>
        <w:adjustRightInd w:val="0"/>
        <w:jc w:val="both"/>
        <w:rPr>
          <w:rFonts w:ascii="ITC Avant Garde" w:eastAsia="Calibri" w:hAnsi="ITC Avant Garde"/>
          <w:bCs/>
          <w:color w:val="000000"/>
          <w:sz w:val="22"/>
          <w:szCs w:val="22"/>
          <w:lang w:eastAsia="es-MX"/>
        </w:rPr>
      </w:pPr>
    </w:p>
    <w:p w14:paraId="5AA579C7" w14:textId="77777777" w:rsidR="00AA2C6B" w:rsidRPr="00F17180" w:rsidRDefault="00AA2C6B" w:rsidP="00AA2C6B">
      <w:pPr>
        <w:autoSpaceDE w:val="0"/>
        <w:autoSpaceDN w:val="0"/>
        <w:adjustRightInd w:val="0"/>
        <w:jc w:val="both"/>
        <w:rPr>
          <w:rFonts w:ascii="ITC Avant Garde" w:eastAsia="Calibri" w:hAnsi="ITC Avant Garde"/>
          <w:bCs/>
          <w:color w:val="000000"/>
          <w:sz w:val="22"/>
          <w:szCs w:val="22"/>
          <w:lang w:eastAsia="es-MX"/>
        </w:rPr>
      </w:pPr>
      <w:r w:rsidRPr="00F17180">
        <w:rPr>
          <w:rFonts w:ascii="ITC Avant Garde" w:eastAsia="Calibri" w:hAnsi="ITC Avant Garde"/>
          <w:bCs/>
          <w:color w:val="000000"/>
          <w:sz w:val="22"/>
          <w:szCs w:val="22"/>
          <w:lang w:eastAsia="es-MX"/>
        </w:rPr>
        <w:t>Al respecto, el Decreto de Reforma Constitucional establece en el segundo párrafo</w:t>
      </w:r>
      <w:r w:rsidRPr="00F17180" w:rsidDel="002E62CB">
        <w:rPr>
          <w:rFonts w:ascii="ITC Avant Garde" w:eastAsia="Calibri" w:hAnsi="ITC Avant Garde"/>
          <w:bCs/>
          <w:color w:val="000000"/>
          <w:sz w:val="22"/>
          <w:szCs w:val="22"/>
          <w:lang w:eastAsia="es-MX"/>
        </w:rPr>
        <w:t xml:space="preserve"> </w:t>
      </w:r>
      <w:r w:rsidRPr="00F17180">
        <w:rPr>
          <w:rFonts w:ascii="ITC Avant Garde" w:eastAsia="Calibri" w:hAnsi="ITC Avant Garde"/>
          <w:bCs/>
          <w:color w:val="000000"/>
          <w:sz w:val="22"/>
          <w:szCs w:val="22"/>
          <w:lang w:eastAsia="es-MX"/>
        </w:rPr>
        <w:t>del artículo Séptimo Transitorio que los procedimientos iniciados con anterioridad a la integración del Instituto, siendo el caso del asunto que nos ocupa, continuarán su trámite ante dicho órgano, en los términos de la legislación aplicable al momento de su inicio.</w:t>
      </w:r>
    </w:p>
    <w:p w14:paraId="193D9F69" w14:textId="77777777" w:rsidR="00AA2C6B" w:rsidRPr="00F17180" w:rsidRDefault="00AA2C6B" w:rsidP="00AA2C6B">
      <w:pPr>
        <w:autoSpaceDE w:val="0"/>
        <w:autoSpaceDN w:val="0"/>
        <w:adjustRightInd w:val="0"/>
        <w:jc w:val="both"/>
        <w:rPr>
          <w:rFonts w:ascii="ITC Avant Garde" w:eastAsia="Calibri" w:hAnsi="ITC Avant Garde"/>
          <w:bCs/>
          <w:color w:val="000000"/>
          <w:sz w:val="22"/>
          <w:szCs w:val="22"/>
          <w:lang w:eastAsia="es-MX"/>
        </w:rPr>
      </w:pPr>
    </w:p>
    <w:p w14:paraId="6C1949FF" w14:textId="77777777" w:rsidR="00AA2C6B" w:rsidRPr="00F17180" w:rsidRDefault="00AA2C6B" w:rsidP="00AA2C6B">
      <w:pPr>
        <w:autoSpaceDE w:val="0"/>
        <w:autoSpaceDN w:val="0"/>
        <w:adjustRightInd w:val="0"/>
        <w:jc w:val="both"/>
        <w:rPr>
          <w:rFonts w:ascii="ITC Avant Garde" w:eastAsia="Calibri" w:hAnsi="ITC Avant Garde"/>
          <w:bCs/>
          <w:color w:val="000000"/>
          <w:sz w:val="22"/>
          <w:szCs w:val="22"/>
          <w:lang w:eastAsia="es-MX"/>
        </w:rPr>
      </w:pPr>
      <w:r w:rsidRPr="00F17180">
        <w:rPr>
          <w:rFonts w:ascii="ITC Avant Garde" w:eastAsia="Calibri" w:hAnsi="ITC Avant Garde"/>
          <w:bCs/>
          <w:color w:val="000000"/>
          <w:sz w:val="22"/>
          <w:szCs w:val="22"/>
          <w:lang w:eastAsia="es-MX"/>
        </w:rPr>
        <w:t>Ahora bien, corresponde al Pleno del Instituto, conforme a lo establecido en los artículos 15 fracción IV y 17 fracción I de la Ley Federal de Telecomunicaciones y Radiodifusión (la “Ley”), el otorgamiento de concesiones, así como resolver respecto de las prórrogas, modificación o terminación de las mismas.</w:t>
      </w:r>
    </w:p>
    <w:p w14:paraId="2138A716" w14:textId="77777777" w:rsidR="00AA2C6B" w:rsidRPr="00F17180" w:rsidRDefault="00AA2C6B" w:rsidP="00AA2C6B">
      <w:pPr>
        <w:autoSpaceDE w:val="0"/>
        <w:autoSpaceDN w:val="0"/>
        <w:adjustRightInd w:val="0"/>
        <w:jc w:val="both"/>
        <w:rPr>
          <w:rFonts w:ascii="ITC Avant Garde" w:eastAsia="Calibri" w:hAnsi="ITC Avant Garde"/>
          <w:bCs/>
          <w:color w:val="000000"/>
          <w:sz w:val="22"/>
          <w:szCs w:val="22"/>
          <w:lang w:eastAsia="es-MX"/>
        </w:rPr>
      </w:pPr>
    </w:p>
    <w:p w14:paraId="156EBCC1" w14:textId="77777777" w:rsidR="00AA2C6B" w:rsidRPr="00F17180" w:rsidRDefault="00AA2C6B" w:rsidP="00AA2C6B">
      <w:pPr>
        <w:autoSpaceDE w:val="0"/>
        <w:autoSpaceDN w:val="0"/>
        <w:adjustRightInd w:val="0"/>
        <w:jc w:val="both"/>
        <w:rPr>
          <w:rFonts w:ascii="ITC Avant Garde" w:eastAsia="Calibri" w:hAnsi="ITC Avant Garde"/>
          <w:bCs/>
          <w:color w:val="000000"/>
          <w:sz w:val="22"/>
          <w:szCs w:val="22"/>
          <w:lang w:eastAsia="es-MX"/>
        </w:rPr>
      </w:pPr>
      <w:r w:rsidRPr="00F17180">
        <w:rPr>
          <w:rFonts w:ascii="ITC Avant Garde" w:eastAsia="Calibri" w:hAnsi="ITC Avant Garde"/>
          <w:bCs/>
          <w:color w:val="000000"/>
          <w:sz w:val="22"/>
          <w:szCs w:val="22"/>
          <w:lang w:eastAsia="es-MX"/>
        </w:rPr>
        <w:t>Por otra parte, en términos del artículo 6 fracción, I del Estatuto Orgánico, corresponde al Pleno del Instituto la atribución de regular, promover y supervisar el uso, aprovechamiento y explotación eficiente del espectro radioeléctrico, los recursos orbitales, los servicios satelitales, las redes de telecomunicaciones y la prestación de los servicios de radiodifusión y telecomunicaciones, así como el acceso a infraestructura activa, pasiva e insumos esenciales.</w:t>
      </w:r>
    </w:p>
    <w:p w14:paraId="544BEFB6" w14:textId="77777777" w:rsidR="00AA2C6B" w:rsidRPr="00F17180" w:rsidRDefault="00AA2C6B" w:rsidP="00AA2C6B">
      <w:pPr>
        <w:autoSpaceDE w:val="0"/>
        <w:autoSpaceDN w:val="0"/>
        <w:adjustRightInd w:val="0"/>
        <w:jc w:val="both"/>
        <w:rPr>
          <w:rFonts w:ascii="ITC Avant Garde" w:eastAsia="Calibri" w:hAnsi="ITC Avant Garde"/>
          <w:bCs/>
          <w:color w:val="000000"/>
          <w:sz w:val="22"/>
          <w:szCs w:val="22"/>
          <w:lang w:eastAsia="es-MX"/>
        </w:rPr>
      </w:pPr>
    </w:p>
    <w:p w14:paraId="0037EA6B" w14:textId="77777777" w:rsidR="00AA2C6B" w:rsidRPr="00F17180" w:rsidRDefault="00AA2C6B" w:rsidP="00AA2C6B">
      <w:pPr>
        <w:autoSpaceDE w:val="0"/>
        <w:autoSpaceDN w:val="0"/>
        <w:adjustRightInd w:val="0"/>
        <w:jc w:val="both"/>
        <w:rPr>
          <w:rFonts w:ascii="ITC Avant Garde" w:eastAsia="Calibri" w:hAnsi="ITC Avant Garde"/>
          <w:bCs/>
          <w:color w:val="000000"/>
          <w:sz w:val="22"/>
          <w:szCs w:val="22"/>
          <w:lang w:eastAsia="es-MX"/>
        </w:rPr>
      </w:pPr>
      <w:r w:rsidRPr="00F17180">
        <w:rPr>
          <w:rFonts w:ascii="ITC Avant Garde" w:eastAsia="Calibri" w:hAnsi="ITC Avant Garde"/>
          <w:bCs/>
          <w:color w:val="000000"/>
          <w:sz w:val="22"/>
          <w:szCs w:val="22"/>
          <w:lang w:eastAsia="es-MX"/>
        </w:rPr>
        <w:t>Finalmente, conforme al artículo 33 fracción II del Estatuto Orgánico corresponde a la Dirección General de Concesiones de Telecomunicaciones, adscrita a la Unidad de Concesiones y Servicios, tramitar y evaluar, entre otras, las solicitudes de prórroga de las concesiones en materia de telecomunicaciones para someterlas a consideración del Pleno, previa opinión de la Unidad de Competencia Económica.</w:t>
      </w:r>
    </w:p>
    <w:p w14:paraId="7C28C16A" w14:textId="77777777" w:rsidR="00AA2C6B" w:rsidRPr="00F17180" w:rsidRDefault="00AA2C6B" w:rsidP="00AA2C6B">
      <w:pPr>
        <w:autoSpaceDE w:val="0"/>
        <w:autoSpaceDN w:val="0"/>
        <w:adjustRightInd w:val="0"/>
        <w:jc w:val="both"/>
        <w:rPr>
          <w:rFonts w:ascii="ITC Avant Garde" w:eastAsia="Calibri" w:hAnsi="ITC Avant Garde"/>
          <w:bCs/>
          <w:color w:val="000000"/>
          <w:sz w:val="22"/>
          <w:szCs w:val="22"/>
          <w:lang w:eastAsia="es-MX"/>
        </w:rPr>
      </w:pPr>
    </w:p>
    <w:p w14:paraId="429108B4" w14:textId="77777777" w:rsidR="00AA2C6B" w:rsidRPr="00F17180" w:rsidRDefault="00AA2C6B" w:rsidP="00AA2C6B">
      <w:pPr>
        <w:pStyle w:val="Textoindependiente"/>
        <w:rPr>
          <w:rFonts w:ascii="ITC Avant Garde" w:eastAsia="Calibri" w:hAnsi="ITC Avant Garde"/>
          <w:bCs/>
          <w:color w:val="000000"/>
          <w:sz w:val="22"/>
          <w:szCs w:val="22"/>
          <w:lang w:eastAsia="es-MX"/>
        </w:rPr>
      </w:pPr>
      <w:r w:rsidRPr="00F17180">
        <w:rPr>
          <w:rFonts w:ascii="ITC Avant Garde" w:eastAsia="Calibri" w:hAnsi="ITC Avant Garde"/>
          <w:bCs/>
          <w:color w:val="000000"/>
          <w:sz w:val="22"/>
          <w:szCs w:val="22"/>
          <w:lang w:eastAsia="es-MX"/>
        </w:rPr>
        <w:t>En este orden de ideas, resulta conveniente considerar que el Instituto está facultado para otorgar concesiones en materia de telecomunicaciones, así como resolver respecto de su prórroga, modificación o terminación, además de tener a su cargo la regulación, promoción y supervisión de las telecomunicaciones. En relación con lo anterior, el Pleno, como órgano máximo de gobierno y decisión del Instituto, se encuentra plenamente facultado para resolver la Solicitud de Prórroga de mérito.</w:t>
      </w:r>
    </w:p>
    <w:p w14:paraId="5BE446A3" w14:textId="77777777" w:rsidR="00AA2C6B" w:rsidRPr="00F17180" w:rsidRDefault="0085684A" w:rsidP="00AA2C6B">
      <w:pPr>
        <w:pStyle w:val="Textoindependiente"/>
        <w:rPr>
          <w:rFonts w:ascii="ITC Avant Garde" w:eastAsia="Calibri" w:hAnsi="ITC Avant Garde"/>
          <w:bCs/>
          <w:color w:val="000000"/>
          <w:sz w:val="22"/>
          <w:szCs w:val="22"/>
          <w:lang w:eastAsia="es-MX"/>
        </w:rPr>
      </w:pPr>
      <w:r w:rsidRPr="00F17180">
        <w:rPr>
          <w:rFonts w:ascii="ITC Avant Garde" w:eastAsia="Calibri" w:hAnsi="ITC Avant Garde"/>
          <w:b/>
          <w:bCs/>
          <w:color w:val="000000"/>
          <w:sz w:val="22"/>
          <w:szCs w:val="22"/>
          <w:lang w:eastAsia="es-MX"/>
        </w:rPr>
        <w:t>Segundo.- Marco legal aplicable a la Solicitud de Prórroga.</w:t>
      </w:r>
      <w:r w:rsidRPr="00F17180">
        <w:rPr>
          <w:rFonts w:ascii="ITC Avant Garde" w:hAnsi="ITC Avant Garde"/>
          <w:bCs/>
          <w:sz w:val="22"/>
          <w:szCs w:val="22"/>
        </w:rPr>
        <w:t xml:space="preserve"> </w:t>
      </w:r>
      <w:r w:rsidR="00AA2C6B" w:rsidRPr="00F17180">
        <w:rPr>
          <w:rFonts w:ascii="ITC Avant Garde" w:eastAsia="Calibri" w:hAnsi="ITC Avant Garde"/>
          <w:bCs/>
          <w:color w:val="000000"/>
          <w:sz w:val="22"/>
          <w:szCs w:val="22"/>
          <w:lang w:eastAsia="es-MX"/>
        </w:rPr>
        <w:t>Como quedó señalado en el Considerando Primero, la atención, trámite y resolución de los asuntos y procedimientos iniciados con anterioridad a la entrada en vigor de la Ley, serán resueltos en los términos establecidos en el artículo Séptimo Transitorio del Decreto de Reforma Constitucional, por lo que la normatividad aplicable que establece los requisitos de procedencia para el análisis de la Solicitud de Prórroga se encuentra contenida en la Ley Federal de Telecomunicaciones (la “LFT)”.</w:t>
      </w:r>
    </w:p>
    <w:p w14:paraId="5F76CCCE" w14:textId="77777777" w:rsidR="00AA2C6B" w:rsidRPr="00D42A38" w:rsidRDefault="00AA2C6B" w:rsidP="00AA2C6B">
      <w:pPr>
        <w:autoSpaceDE w:val="0"/>
        <w:autoSpaceDN w:val="0"/>
        <w:adjustRightInd w:val="0"/>
        <w:jc w:val="both"/>
        <w:rPr>
          <w:rFonts w:ascii="ITC Avant Garde" w:eastAsia="Calibri" w:hAnsi="ITC Avant Garde"/>
          <w:bCs/>
          <w:color w:val="000000"/>
          <w:sz w:val="20"/>
          <w:szCs w:val="22"/>
          <w:lang w:eastAsia="es-MX"/>
        </w:rPr>
      </w:pPr>
    </w:p>
    <w:p w14:paraId="6B9BE2C2" w14:textId="77777777" w:rsidR="00AA2C6B" w:rsidRPr="00F17180" w:rsidRDefault="00AA2C6B" w:rsidP="00AA2C6B">
      <w:pPr>
        <w:pStyle w:val="Textoindependiente"/>
        <w:rPr>
          <w:rFonts w:ascii="ITC Avant Garde" w:eastAsia="Calibri" w:hAnsi="ITC Avant Garde"/>
          <w:bCs/>
          <w:color w:val="000000"/>
          <w:sz w:val="22"/>
          <w:szCs w:val="22"/>
          <w:lang w:eastAsia="es-MX"/>
        </w:rPr>
      </w:pPr>
      <w:r w:rsidRPr="00F17180">
        <w:rPr>
          <w:rFonts w:ascii="ITC Avant Garde" w:eastAsia="Calibri" w:hAnsi="ITC Avant Garde"/>
          <w:bCs/>
          <w:color w:val="000000"/>
          <w:sz w:val="22"/>
          <w:szCs w:val="22"/>
          <w:lang w:eastAsia="es-MX"/>
        </w:rPr>
        <w:t>En virtud de que la Solicitud de Prórroga se presentó durante la vigencia de la LFT, es aplicable lo señalado en los artículos 19 y 27 del citado ordenamiento, los cuales disponen lo siguiente:</w:t>
      </w:r>
    </w:p>
    <w:p w14:paraId="56572A35" w14:textId="77777777" w:rsidR="00AA2C6B" w:rsidRPr="00D42A38" w:rsidRDefault="00AA2C6B" w:rsidP="00AA2C6B">
      <w:pPr>
        <w:pStyle w:val="Textoindependiente"/>
        <w:rPr>
          <w:rFonts w:ascii="ITC Avant Garde" w:eastAsia="Calibri" w:hAnsi="ITC Avant Garde"/>
          <w:bCs/>
          <w:color w:val="000000"/>
          <w:sz w:val="16"/>
          <w:szCs w:val="22"/>
          <w:lang w:eastAsia="es-MX"/>
        </w:rPr>
      </w:pPr>
    </w:p>
    <w:p w14:paraId="68FB054C" w14:textId="77777777" w:rsidR="00AA2C6B" w:rsidRPr="00F17180" w:rsidRDefault="00AA2C6B" w:rsidP="00AA2C6B">
      <w:pPr>
        <w:pStyle w:val="texto"/>
        <w:spacing w:after="0" w:line="240" w:lineRule="auto"/>
        <w:ind w:left="567" w:right="670" w:firstLine="4"/>
        <w:rPr>
          <w:rFonts w:ascii="ITC Avant Garde" w:eastAsia="Calibri" w:hAnsi="ITC Avant Garde" w:cs="Times New Roman"/>
          <w:bCs/>
          <w:i/>
          <w:color w:val="000000"/>
          <w:sz w:val="16"/>
          <w:szCs w:val="16"/>
          <w:lang w:val="es-MX"/>
        </w:rPr>
      </w:pPr>
      <w:r w:rsidRPr="00F17180">
        <w:rPr>
          <w:rFonts w:ascii="ITC Avant Garde" w:eastAsia="Calibri" w:hAnsi="ITC Avant Garde" w:cs="Times New Roman"/>
          <w:bCs/>
          <w:i/>
          <w:color w:val="000000"/>
          <w:sz w:val="16"/>
          <w:szCs w:val="16"/>
          <w:lang w:val="es-MX"/>
        </w:rPr>
        <w:t>“</w:t>
      </w:r>
      <w:r w:rsidRPr="00F17180">
        <w:rPr>
          <w:rFonts w:ascii="ITC Avant Garde" w:eastAsia="Calibri" w:hAnsi="ITC Avant Garde" w:cs="Times New Roman"/>
          <w:b/>
          <w:bCs/>
          <w:i/>
          <w:color w:val="000000"/>
          <w:sz w:val="16"/>
          <w:szCs w:val="16"/>
          <w:lang w:val="es-MX"/>
        </w:rPr>
        <w:t>Artículo 19.</w:t>
      </w:r>
      <w:r w:rsidRPr="00F17180">
        <w:rPr>
          <w:rFonts w:ascii="ITC Avant Garde" w:hAnsi="ITC Avant Garde" w:cs="Times New Roman"/>
          <w:b/>
          <w:bCs/>
          <w:i/>
          <w:color w:val="000000"/>
          <w:sz w:val="16"/>
          <w:szCs w:val="16"/>
          <w:lang w:val="es-ES"/>
        </w:rPr>
        <w:t xml:space="preserve"> </w:t>
      </w:r>
      <w:r w:rsidRPr="00F17180">
        <w:rPr>
          <w:rFonts w:ascii="ITC Avant Garde" w:eastAsia="Calibri" w:hAnsi="ITC Avant Garde" w:cs="Times New Roman"/>
          <w:bCs/>
          <w:i/>
          <w:color w:val="000000"/>
          <w:sz w:val="16"/>
          <w:szCs w:val="16"/>
          <w:lang w:val="es-MX"/>
        </w:rPr>
        <w:t>Las concesiones sobre bandas de frecuencias se otorgarán por un plazo hasta de 20 años y podrán ser prorrogadas hasta por plazos iguales a los originalmente establecidos, a juicio de la Secretaría.</w:t>
      </w:r>
    </w:p>
    <w:p w14:paraId="010730D8" w14:textId="77777777" w:rsidR="00AA2C6B" w:rsidRPr="00F17180" w:rsidRDefault="00AA2C6B" w:rsidP="00AA2C6B">
      <w:pPr>
        <w:pStyle w:val="texto"/>
        <w:spacing w:after="0" w:line="240" w:lineRule="auto"/>
        <w:ind w:left="567" w:right="670" w:firstLine="4"/>
        <w:rPr>
          <w:rFonts w:ascii="ITC Avant Garde" w:eastAsia="Calibri" w:hAnsi="ITC Avant Garde" w:cs="Times New Roman"/>
          <w:bCs/>
          <w:i/>
          <w:color w:val="000000"/>
          <w:sz w:val="16"/>
          <w:szCs w:val="16"/>
          <w:lang w:val="es-MX"/>
        </w:rPr>
      </w:pPr>
    </w:p>
    <w:p w14:paraId="0BE98818" w14:textId="77777777" w:rsidR="00AA2C6B" w:rsidRPr="00F17180" w:rsidRDefault="00AA2C6B" w:rsidP="00AA2C6B">
      <w:pPr>
        <w:pStyle w:val="texto"/>
        <w:spacing w:after="0" w:line="240" w:lineRule="auto"/>
        <w:ind w:left="567" w:right="670" w:firstLine="4"/>
        <w:rPr>
          <w:rFonts w:ascii="ITC Avant Garde" w:eastAsia="Calibri" w:hAnsi="ITC Avant Garde" w:cs="Times New Roman"/>
          <w:bCs/>
          <w:i/>
          <w:color w:val="000000"/>
          <w:sz w:val="16"/>
          <w:szCs w:val="16"/>
          <w:lang w:val="es-MX"/>
        </w:rPr>
      </w:pPr>
      <w:r w:rsidRPr="00F17180">
        <w:rPr>
          <w:rFonts w:ascii="ITC Avant Garde" w:eastAsia="Calibri" w:hAnsi="ITC Avant Garde" w:cs="Times New Roman"/>
          <w:bCs/>
          <w:i/>
          <w:color w:val="000000"/>
          <w:sz w:val="16"/>
          <w:szCs w:val="16"/>
          <w:lang w:val="es-MX"/>
        </w:rPr>
        <w:t>Para el otorgamiento de las prórrogas será necesario que el concesionario hubiere cumplido con las condiciones previstas en la concesión que se pretenda prorrogar; lo solicite antes de que inicie la última quinta parte del plazo de la concesión, y acepte las nuevas condiciones que establezca la propia Secretaría de acuerdo a la presente Ley y demás disposiciones aplicables. La Secretaría resolverá lo conducente en un plazo no mayor a 180 días naturales.”</w:t>
      </w:r>
    </w:p>
    <w:p w14:paraId="1916A7FC" w14:textId="77777777" w:rsidR="00AA2C6B" w:rsidRPr="00F17180" w:rsidRDefault="00AA2C6B" w:rsidP="00AA2C6B">
      <w:pPr>
        <w:pStyle w:val="texto"/>
        <w:spacing w:after="0" w:line="240" w:lineRule="auto"/>
        <w:ind w:left="567" w:right="670" w:firstLine="4"/>
        <w:rPr>
          <w:rFonts w:ascii="ITC Avant Garde" w:eastAsia="Calibri" w:hAnsi="ITC Avant Garde" w:cs="Times New Roman"/>
          <w:bCs/>
          <w:i/>
          <w:color w:val="000000"/>
          <w:sz w:val="16"/>
          <w:szCs w:val="16"/>
          <w:lang w:val="es-MX"/>
        </w:rPr>
      </w:pPr>
    </w:p>
    <w:p w14:paraId="01E2C21B" w14:textId="77777777" w:rsidR="00AA2C6B" w:rsidRPr="00F17180" w:rsidRDefault="00AA2C6B" w:rsidP="00AA2C6B">
      <w:pPr>
        <w:pStyle w:val="texto"/>
        <w:spacing w:after="0" w:line="240" w:lineRule="auto"/>
        <w:ind w:left="567" w:right="670" w:firstLine="4"/>
        <w:rPr>
          <w:rFonts w:ascii="ITC Avant Garde" w:eastAsia="Calibri" w:hAnsi="ITC Avant Garde" w:cs="Times New Roman"/>
          <w:bCs/>
          <w:i/>
          <w:color w:val="000000"/>
          <w:sz w:val="16"/>
          <w:szCs w:val="16"/>
          <w:lang w:val="es-MX"/>
        </w:rPr>
      </w:pPr>
      <w:r w:rsidRPr="00F17180">
        <w:rPr>
          <w:rFonts w:ascii="ITC Avant Garde" w:eastAsia="Calibri" w:hAnsi="ITC Avant Garde" w:cs="Times New Roman"/>
          <w:bCs/>
          <w:i/>
          <w:color w:val="000000"/>
          <w:sz w:val="16"/>
          <w:szCs w:val="16"/>
          <w:lang w:val="es-MX"/>
        </w:rPr>
        <w:t>“</w:t>
      </w:r>
      <w:r w:rsidRPr="00F17180">
        <w:rPr>
          <w:rFonts w:ascii="ITC Avant Garde" w:eastAsia="Calibri" w:hAnsi="ITC Avant Garde" w:cs="Times New Roman"/>
          <w:b/>
          <w:bCs/>
          <w:i/>
          <w:color w:val="000000"/>
          <w:sz w:val="16"/>
          <w:szCs w:val="16"/>
          <w:lang w:val="es-MX"/>
        </w:rPr>
        <w:t>Artículo 27.</w:t>
      </w:r>
      <w:r w:rsidRPr="00F17180">
        <w:rPr>
          <w:rFonts w:ascii="ITC Avant Garde" w:hAnsi="ITC Avant Garde" w:cs="Times New Roman"/>
          <w:b/>
          <w:bCs/>
          <w:i/>
          <w:color w:val="000000"/>
          <w:sz w:val="16"/>
          <w:szCs w:val="16"/>
          <w:lang w:val="es-ES"/>
        </w:rPr>
        <w:t xml:space="preserve"> </w:t>
      </w:r>
      <w:r w:rsidRPr="00F17180">
        <w:rPr>
          <w:rFonts w:ascii="ITC Avant Garde" w:eastAsia="Calibri" w:hAnsi="ITC Avant Garde" w:cs="Times New Roman"/>
          <w:bCs/>
          <w:i/>
          <w:color w:val="000000"/>
          <w:sz w:val="16"/>
          <w:szCs w:val="16"/>
          <w:lang w:val="es-MX"/>
        </w:rPr>
        <w:t>Las concesiones sobre redes públicas de telecomunicaciones se otorgarán por un plazo hasta de 30 años y podrán ser prorrogadas hasta por plazos iguales a los originalmente establecidos.</w:t>
      </w:r>
    </w:p>
    <w:p w14:paraId="733D3DBD" w14:textId="77777777" w:rsidR="00AA2C6B" w:rsidRPr="00F17180" w:rsidRDefault="00AA2C6B" w:rsidP="00AA2C6B">
      <w:pPr>
        <w:pStyle w:val="texto"/>
        <w:spacing w:after="0" w:line="240" w:lineRule="auto"/>
        <w:ind w:left="567" w:right="670" w:firstLine="4"/>
        <w:rPr>
          <w:rFonts w:ascii="ITC Avant Garde" w:eastAsia="Calibri" w:hAnsi="ITC Avant Garde" w:cs="Times New Roman"/>
          <w:bCs/>
          <w:i/>
          <w:color w:val="000000"/>
          <w:sz w:val="16"/>
          <w:szCs w:val="16"/>
          <w:lang w:val="es-MX"/>
        </w:rPr>
      </w:pPr>
    </w:p>
    <w:p w14:paraId="0F767F81" w14:textId="77777777" w:rsidR="00AA2C6B" w:rsidRPr="00F17180" w:rsidRDefault="00AA2C6B" w:rsidP="00AA2C6B">
      <w:pPr>
        <w:pStyle w:val="texto"/>
        <w:spacing w:after="0" w:line="240" w:lineRule="auto"/>
        <w:ind w:left="567" w:right="670" w:firstLine="4"/>
        <w:rPr>
          <w:rFonts w:ascii="ITC Avant Garde" w:eastAsia="Calibri" w:hAnsi="ITC Avant Garde" w:cs="Times New Roman"/>
          <w:bCs/>
          <w:i/>
          <w:color w:val="000000"/>
          <w:sz w:val="22"/>
          <w:szCs w:val="22"/>
          <w:lang w:val="es-MX"/>
        </w:rPr>
      </w:pPr>
      <w:r w:rsidRPr="00F17180">
        <w:rPr>
          <w:rFonts w:ascii="ITC Avant Garde" w:eastAsia="Calibri" w:hAnsi="ITC Avant Garde" w:cs="Times New Roman"/>
          <w:bCs/>
          <w:i/>
          <w:color w:val="000000"/>
          <w:sz w:val="16"/>
          <w:szCs w:val="16"/>
          <w:lang w:val="es-MX"/>
        </w:rPr>
        <w:t>Para el otorgamiento de las prórrogas será necesario que el concesionario hubiere cumplido con las condiciones previstas en la concesión que se pretenda prorrogar, lo solicite antes de que inicie la última quinta parte del plazo de la concesión, y acepte las nuevas condiciones que establezca la propia Secretaría de acuerdo a la presente Ley y demás disposiciones aplicables. La Secretaría resolverá lo conducente en un plazo no mayor a 180 días naturales.”</w:t>
      </w:r>
    </w:p>
    <w:p w14:paraId="2DFDE125" w14:textId="77777777" w:rsidR="00D2656D" w:rsidRPr="00D2656D" w:rsidRDefault="00D2656D" w:rsidP="00AA2C6B">
      <w:pPr>
        <w:autoSpaceDE w:val="0"/>
        <w:autoSpaceDN w:val="0"/>
        <w:adjustRightInd w:val="0"/>
        <w:jc w:val="both"/>
        <w:rPr>
          <w:rFonts w:ascii="ITC Avant Garde" w:eastAsia="Calibri" w:hAnsi="ITC Avant Garde"/>
          <w:bCs/>
          <w:color w:val="000000"/>
          <w:sz w:val="18"/>
          <w:szCs w:val="22"/>
          <w:lang w:eastAsia="es-MX"/>
        </w:rPr>
      </w:pPr>
    </w:p>
    <w:p w14:paraId="4101CE63" w14:textId="77777777" w:rsidR="00863B0C" w:rsidRPr="00F17180" w:rsidRDefault="00863B0C" w:rsidP="00863B0C">
      <w:pPr>
        <w:autoSpaceDE w:val="0"/>
        <w:autoSpaceDN w:val="0"/>
        <w:adjustRightInd w:val="0"/>
        <w:jc w:val="both"/>
        <w:rPr>
          <w:rFonts w:ascii="ITC Avant Garde" w:hAnsi="ITC Avant Garde"/>
          <w:bCs/>
          <w:sz w:val="22"/>
          <w:szCs w:val="22"/>
        </w:rPr>
      </w:pPr>
      <w:r w:rsidRPr="00F17180">
        <w:rPr>
          <w:rFonts w:ascii="ITC Avant Garde" w:eastAsia="Calibri" w:hAnsi="ITC Avant Garde"/>
          <w:bCs/>
          <w:color w:val="000000"/>
          <w:sz w:val="22"/>
          <w:szCs w:val="22"/>
          <w:lang w:eastAsia="es-MX"/>
        </w:rPr>
        <w:t xml:space="preserve">Por otra parte, si bien es cierto que el análisis que realice el Instituto respecto de la Solicitud de Prórroga debe llevarse a cabo en estricto apego a los términos y requisitos previstos en la LFT, </w:t>
      </w:r>
      <w:r w:rsidRPr="00F17180">
        <w:rPr>
          <w:rFonts w:ascii="ITC Avant Garde" w:hAnsi="ITC Avant Garde"/>
          <w:bCs/>
          <w:color w:val="000000"/>
          <w:sz w:val="22"/>
          <w:szCs w:val="22"/>
          <w:lang w:eastAsia="es-MX"/>
        </w:rPr>
        <w:t xml:space="preserve">disposición legal vigente al momento de iniciar el trámite de la Solicitud de Prórroga de mérito, también lo es que el Instituto, al resolver en definitiva dicha Solicitud de Prórroga, debe apegarse al procedimiento de </w:t>
      </w:r>
      <w:proofErr w:type="spellStart"/>
      <w:r w:rsidRPr="00F17180">
        <w:rPr>
          <w:rFonts w:ascii="ITC Avant Garde" w:hAnsi="ITC Avant Garde"/>
          <w:bCs/>
          <w:color w:val="000000"/>
          <w:sz w:val="22"/>
          <w:szCs w:val="22"/>
          <w:lang w:eastAsia="es-MX"/>
        </w:rPr>
        <w:t>concesionamiento</w:t>
      </w:r>
      <w:proofErr w:type="spellEnd"/>
      <w:r w:rsidRPr="00F17180">
        <w:rPr>
          <w:rFonts w:ascii="ITC Avant Garde" w:hAnsi="ITC Avant Garde"/>
          <w:bCs/>
          <w:color w:val="000000"/>
          <w:sz w:val="22"/>
          <w:szCs w:val="22"/>
          <w:lang w:eastAsia="es-MX"/>
        </w:rPr>
        <w:t xml:space="preserve"> que se encuentra previsto en la Ley. Es por ello que en la resolución del trámite de la Solicitud de Prórroga, debe observarse el actual régimen de </w:t>
      </w:r>
      <w:proofErr w:type="spellStart"/>
      <w:r w:rsidRPr="00F17180">
        <w:rPr>
          <w:rFonts w:ascii="ITC Avant Garde" w:hAnsi="ITC Avant Garde"/>
          <w:bCs/>
          <w:color w:val="000000"/>
          <w:sz w:val="22"/>
          <w:szCs w:val="22"/>
          <w:lang w:eastAsia="es-MX"/>
        </w:rPr>
        <w:t>concesionamiento</w:t>
      </w:r>
      <w:proofErr w:type="spellEnd"/>
      <w:r w:rsidRPr="00F17180">
        <w:rPr>
          <w:rFonts w:ascii="ITC Avant Garde" w:hAnsi="ITC Avant Garde"/>
          <w:bCs/>
          <w:color w:val="000000"/>
          <w:sz w:val="22"/>
          <w:szCs w:val="22"/>
          <w:lang w:eastAsia="es-MX"/>
        </w:rPr>
        <w:t xml:space="preserve"> previsto en los </w:t>
      </w:r>
      <w:r w:rsidRPr="00F17180">
        <w:rPr>
          <w:rFonts w:ascii="ITC Avant Garde" w:hAnsi="ITC Avant Garde"/>
          <w:bCs/>
          <w:sz w:val="22"/>
          <w:szCs w:val="22"/>
        </w:rPr>
        <w:t xml:space="preserve">artículos 66 y 67 </w:t>
      </w:r>
      <w:proofErr w:type="gramStart"/>
      <w:r w:rsidRPr="00F17180">
        <w:rPr>
          <w:rFonts w:ascii="ITC Avant Garde" w:hAnsi="ITC Avant Garde"/>
          <w:bCs/>
          <w:sz w:val="22"/>
          <w:szCs w:val="22"/>
        </w:rPr>
        <w:t>fracción</w:t>
      </w:r>
      <w:proofErr w:type="gramEnd"/>
      <w:r w:rsidRPr="00F17180">
        <w:rPr>
          <w:rFonts w:ascii="ITC Avant Garde" w:hAnsi="ITC Avant Garde"/>
          <w:bCs/>
          <w:sz w:val="22"/>
          <w:szCs w:val="22"/>
        </w:rPr>
        <w:t xml:space="preserve"> I, así como 75 y 76 de la Ley.</w:t>
      </w:r>
    </w:p>
    <w:p w14:paraId="6B391C05" w14:textId="77777777" w:rsidR="00AA2C6B" w:rsidRPr="00F17180" w:rsidRDefault="00AA2C6B" w:rsidP="00AA2C6B">
      <w:pPr>
        <w:pStyle w:val="Textoindependiente"/>
        <w:rPr>
          <w:rFonts w:ascii="ITC Avant Garde" w:hAnsi="ITC Avant Garde"/>
          <w:bCs/>
          <w:sz w:val="22"/>
          <w:szCs w:val="22"/>
        </w:rPr>
      </w:pPr>
    </w:p>
    <w:p w14:paraId="66745FBF" w14:textId="0018B1B3" w:rsidR="00964790" w:rsidRPr="00F17180" w:rsidRDefault="00964790" w:rsidP="00964790">
      <w:pPr>
        <w:tabs>
          <w:tab w:val="num" w:pos="540"/>
        </w:tabs>
        <w:jc w:val="both"/>
        <w:rPr>
          <w:rFonts w:ascii="ITC Avant Garde" w:hAnsi="ITC Avant Garde"/>
          <w:bCs/>
          <w:sz w:val="22"/>
          <w:szCs w:val="22"/>
        </w:rPr>
      </w:pPr>
      <w:r w:rsidRPr="00F17180">
        <w:rPr>
          <w:rFonts w:ascii="ITC Avant Garde" w:hAnsi="ITC Avant Garde"/>
          <w:bCs/>
          <w:sz w:val="22"/>
          <w:szCs w:val="22"/>
        </w:rPr>
        <w:t xml:space="preserve">Finalmente, en seguimiento a otras disposiciones legales aplicables, y atendiendo al tipo de título sobre el cual se solicitó la prórroga que nos ocupa originalmente, debe acatarse el requisito de procedencia señalado por </w:t>
      </w:r>
      <w:r w:rsidR="00AE5725">
        <w:rPr>
          <w:rFonts w:ascii="ITC Avant Garde" w:hAnsi="ITC Avant Garde"/>
          <w:bCs/>
          <w:sz w:val="22"/>
          <w:szCs w:val="22"/>
        </w:rPr>
        <w:t>el</w:t>
      </w:r>
      <w:r w:rsidRPr="00F17180">
        <w:rPr>
          <w:rFonts w:ascii="ITC Avant Garde" w:hAnsi="ITC Avant Garde"/>
          <w:bCs/>
          <w:sz w:val="22"/>
          <w:szCs w:val="22"/>
        </w:rPr>
        <w:t xml:space="preserve"> 94 fracción III de la Ley Federal de Derechos, vigente al momento de presentar la Solicitud de Prórroga.</w:t>
      </w:r>
    </w:p>
    <w:p w14:paraId="02236556" w14:textId="4E2E28E9" w:rsidR="00552353" w:rsidRPr="00D42A38" w:rsidRDefault="00552353" w:rsidP="00AA2C6B">
      <w:pPr>
        <w:autoSpaceDE w:val="0"/>
        <w:autoSpaceDN w:val="0"/>
        <w:adjustRightInd w:val="0"/>
        <w:jc w:val="both"/>
        <w:rPr>
          <w:rFonts w:ascii="ITC Avant Garde" w:eastAsia="Calibri" w:hAnsi="ITC Avant Garde"/>
          <w:b/>
          <w:bCs/>
          <w:color w:val="000000"/>
          <w:sz w:val="20"/>
          <w:szCs w:val="22"/>
          <w:lang w:eastAsia="es-MX"/>
        </w:rPr>
      </w:pPr>
    </w:p>
    <w:p w14:paraId="326C230D" w14:textId="77777777" w:rsidR="00AA2C6B" w:rsidRPr="00D42A38" w:rsidRDefault="00AA2C6B" w:rsidP="00AA2C6B">
      <w:pPr>
        <w:autoSpaceDE w:val="0"/>
        <w:autoSpaceDN w:val="0"/>
        <w:adjustRightInd w:val="0"/>
        <w:jc w:val="both"/>
        <w:rPr>
          <w:rFonts w:ascii="ITC Avant Garde" w:eastAsia="Calibri" w:hAnsi="ITC Avant Garde"/>
          <w:b/>
          <w:bCs/>
          <w:color w:val="000000"/>
          <w:sz w:val="20"/>
          <w:szCs w:val="22"/>
          <w:lang w:eastAsia="es-MX"/>
        </w:rPr>
      </w:pPr>
    </w:p>
    <w:p w14:paraId="6A33EAAA" w14:textId="77777777" w:rsidR="007B761D" w:rsidRPr="00F17180" w:rsidRDefault="007B761D" w:rsidP="007B761D">
      <w:pPr>
        <w:autoSpaceDE w:val="0"/>
        <w:autoSpaceDN w:val="0"/>
        <w:adjustRightInd w:val="0"/>
        <w:contextualSpacing/>
        <w:jc w:val="both"/>
        <w:rPr>
          <w:rFonts w:ascii="ITC Avant Garde" w:hAnsi="ITC Avant Garde"/>
          <w:bCs/>
          <w:sz w:val="22"/>
          <w:szCs w:val="22"/>
        </w:rPr>
      </w:pPr>
      <w:r w:rsidRPr="00F17180">
        <w:rPr>
          <w:rFonts w:ascii="ITC Avant Garde" w:hAnsi="ITC Avant Garde"/>
          <w:b/>
          <w:bCs/>
          <w:sz w:val="22"/>
          <w:szCs w:val="22"/>
        </w:rPr>
        <w:t>Tercero.- Otorgamiento de Concesión Única para uso Comercial.</w:t>
      </w:r>
      <w:r w:rsidRPr="00F17180">
        <w:rPr>
          <w:rFonts w:ascii="ITC Avant Garde" w:hAnsi="ITC Avant Garde"/>
          <w:bCs/>
          <w:sz w:val="22"/>
          <w:szCs w:val="22"/>
        </w:rPr>
        <w:t xml:space="preserve"> Si bien es cierto que el artículo 72 de la Ley únicamente señala a las concesiones únicas como susceptibles de prórroga de su vigencia, esto no debe entenderse en el sentido de que las concesiones de redes públicas de telecomunicaciones escapan del alcance del supuesto normativo contenido en dicho precepto legal. Considerar que el marco jurídico actual no contempla a los concesionarios de redes públicas de telecomunicaciones, conllevaría a la interpretación de que los mismos no se encuentran regulados por el actual marco normativo.</w:t>
      </w:r>
    </w:p>
    <w:p w14:paraId="7A0E04E4" w14:textId="77777777" w:rsidR="007B761D" w:rsidRPr="00F17180" w:rsidRDefault="007B761D" w:rsidP="007B761D">
      <w:pPr>
        <w:autoSpaceDE w:val="0"/>
        <w:autoSpaceDN w:val="0"/>
        <w:adjustRightInd w:val="0"/>
        <w:jc w:val="both"/>
        <w:rPr>
          <w:rFonts w:ascii="ITC Avant Garde" w:hAnsi="ITC Avant Garde"/>
          <w:bCs/>
          <w:sz w:val="22"/>
          <w:szCs w:val="22"/>
        </w:rPr>
      </w:pPr>
      <w:r w:rsidRPr="00F17180">
        <w:rPr>
          <w:rFonts w:ascii="ITC Avant Garde" w:hAnsi="ITC Avant Garde"/>
          <w:bCs/>
          <w:sz w:val="22"/>
          <w:szCs w:val="22"/>
        </w:rPr>
        <w:t xml:space="preserve">Así, no debe pasarse por alto que los servicios de telecomunicaciones que se prestan al amparo de la Concesión, devienen en servicios públicos de interés general en virtud de lo señalado por el artículo 6o. Apartado B fracción II de la Constitución, por lo que el Estado debe garantizar que los mismos sean prestados en condiciones de competencia y continuidad, entre otras. </w:t>
      </w:r>
    </w:p>
    <w:p w14:paraId="06DE92D2" w14:textId="77777777" w:rsidR="007B761D" w:rsidRPr="00F17180" w:rsidRDefault="007B761D" w:rsidP="007B761D">
      <w:pPr>
        <w:autoSpaceDE w:val="0"/>
        <w:autoSpaceDN w:val="0"/>
        <w:adjustRightInd w:val="0"/>
        <w:jc w:val="both"/>
        <w:rPr>
          <w:rFonts w:ascii="ITC Avant Garde" w:hAnsi="ITC Avant Garde"/>
          <w:bCs/>
          <w:sz w:val="22"/>
          <w:szCs w:val="22"/>
        </w:rPr>
      </w:pPr>
    </w:p>
    <w:p w14:paraId="23B33CA9" w14:textId="77777777" w:rsidR="007B761D" w:rsidRPr="00F17180" w:rsidRDefault="007B761D" w:rsidP="007B761D">
      <w:pPr>
        <w:autoSpaceDE w:val="0"/>
        <w:autoSpaceDN w:val="0"/>
        <w:adjustRightInd w:val="0"/>
        <w:jc w:val="both"/>
        <w:rPr>
          <w:rFonts w:ascii="ITC Avant Garde" w:hAnsi="ITC Avant Garde"/>
          <w:bCs/>
          <w:sz w:val="22"/>
          <w:szCs w:val="22"/>
        </w:rPr>
      </w:pPr>
      <w:r w:rsidRPr="00F17180">
        <w:rPr>
          <w:rFonts w:ascii="ITC Avant Garde" w:hAnsi="ITC Avant Garde"/>
          <w:bCs/>
          <w:sz w:val="22"/>
          <w:szCs w:val="22"/>
        </w:rPr>
        <w:lastRenderedPageBreak/>
        <w:t xml:space="preserve">En ese sentido, el artículo 3 </w:t>
      </w:r>
      <w:proofErr w:type="gramStart"/>
      <w:r w:rsidRPr="00F17180">
        <w:rPr>
          <w:rFonts w:ascii="ITC Avant Garde" w:hAnsi="ITC Avant Garde"/>
          <w:bCs/>
          <w:sz w:val="22"/>
          <w:szCs w:val="22"/>
        </w:rPr>
        <w:t>fracción</w:t>
      </w:r>
      <w:proofErr w:type="gramEnd"/>
      <w:r w:rsidRPr="00F17180">
        <w:rPr>
          <w:rFonts w:ascii="ITC Avant Garde" w:hAnsi="ITC Avant Garde"/>
          <w:bCs/>
          <w:sz w:val="22"/>
          <w:szCs w:val="22"/>
        </w:rPr>
        <w:t xml:space="preserve"> XII de la Ley define a la concesión única como el acto administrativo mediante el cual el Instituto confiere el derecho para prestar de manera convergente todo tipo de servicios públicos de telecomunicaciones o radiodifusión.</w:t>
      </w:r>
    </w:p>
    <w:p w14:paraId="2E2AE5FA" w14:textId="77777777" w:rsidR="007B761D" w:rsidRPr="00F17180" w:rsidRDefault="007B761D" w:rsidP="007B761D">
      <w:pPr>
        <w:autoSpaceDE w:val="0"/>
        <w:autoSpaceDN w:val="0"/>
        <w:adjustRightInd w:val="0"/>
        <w:jc w:val="both"/>
        <w:rPr>
          <w:rFonts w:ascii="ITC Avant Garde" w:hAnsi="ITC Avant Garde"/>
          <w:bCs/>
          <w:sz w:val="22"/>
          <w:szCs w:val="22"/>
        </w:rPr>
      </w:pPr>
    </w:p>
    <w:p w14:paraId="3EC585B5" w14:textId="77777777" w:rsidR="007B761D" w:rsidRPr="00F17180" w:rsidRDefault="007B761D" w:rsidP="007B761D">
      <w:pPr>
        <w:autoSpaceDE w:val="0"/>
        <w:autoSpaceDN w:val="0"/>
        <w:adjustRightInd w:val="0"/>
        <w:jc w:val="both"/>
        <w:rPr>
          <w:rFonts w:ascii="ITC Avant Garde" w:hAnsi="ITC Avant Garde"/>
          <w:bCs/>
          <w:sz w:val="22"/>
          <w:szCs w:val="22"/>
        </w:rPr>
      </w:pPr>
      <w:r w:rsidRPr="00F17180">
        <w:rPr>
          <w:rFonts w:ascii="ITC Avant Garde" w:hAnsi="ITC Avant Garde"/>
          <w:bCs/>
          <w:sz w:val="22"/>
          <w:szCs w:val="22"/>
        </w:rPr>
        <w:t>Derivado de lo anterior y como ya ha sido resuelto previamente por el Instituto, para el caso de solicitudes de prórroga de vigencia de concesiones de redes públicas de telecomunicaciones que el Instituto resuelva de manera favorable, la regla general implica, como consecuencia, el otorgamiento de una concesión única.</w:t>
      </w:r>
    </w:p>
    <w:p w14:paraId="3AA73B15" w14:textId="77777777" w:rsidR="007B761D" w:rsidRPr="00F17180" w:rsidRDefault="007B761D" w:rsidP="007B761D">
      <w:pPr>
        <w:autoSpaceDE w:val="0"/>
        <w:autoSpaceDN w:val="0"/>
        <w:adjustRightInd w:val="0"/>
        <w:jc w:val="both"/>
        <w:rPr>
          <w:rFonts w:ascii="ITC Avant Garde" w:hAnsi="ITC Avant Garde"/>
          <w:bCs/>
          <w:sz w:val="22"/>
          <w:szCs w:val="22"/>
        </w:rPr>
      </w:pPr>
    </w:p>
    <w:p w14:paraId="3C9275A9" w14:textId="77777777" w:rsidR="007B761D" w:rsidRPr="00F17180" w:rsidRDefault="007B761D" w:rsidP="007B761D">
      <w:pPr>
        <w:autoSpaceDE w:val="0"/>
        <w:autoSpaceDN w:val="0"/>
        <w:adjustRightInd w:val="0"/>
        <w:jc w:val="both"/>
        <w:rPr>
          <w:rFonts w:ascii="ITC Avant Garde" w:hAnsi="ITC Avant Garde"/>
          <w:bCs/>
          <w:sz w:val="22"/>
          <w:szCs w:val="22"/>
        </w:rPr>
      </w:pPr>
      <w:r w:rsidRPr="00F17180">
        <w:rPr>
          <w:rFonts w:ascii="ITC Avant Garde" w:hAnsi="ITC Avant Garde"/>
          <w:bCs/>
          <w:sz w:val="22"/>
          <w:szCs w:val="22"/>
        </w:rPr>
        <w:t xml:space="preserve">Es por ello que, en la resolución que emita el Instituto respecto de la Solicitud de Prórroga, debe observarse el actual régimen de </w:t>
      </w:r>
      <w:proofErr w:type="spellStart"/>
      <w:r w:rsidRPr="00F17180">
        <w:rPr>
          <w:rFonts w:ascii="ITC Avant Garde" w:hAnsi="ITC Avant Garde"/>
          <w:bCs/>
          <w:sz w:val="22"/>
          <w:szCs w:val="22"/>
        </w:rPr>
        <w:t>concesionamiento</w:t>
      </w:r>
      <w:proofErr w:type="spellEnd"/>
      <w:r w:rsidRPr="00F17180">
        <w:rPr>
          <w:rFonts w:ascii="ITC Avant Garde" w:hAnsi="ITC Avant Garde"/>
          <w:bCs/>
          <w:sz w:val="22"/>
          <w:szCs w:val="22"/>
        </w:rPr>
        <w:t xml:space="preserve"> previsto en la Ley, el cual en su artículo 66 señala que se requerirá concesión única para prestar todo tipo de servicios públicos de telecomunicaciones y radiodifusión. Asimismo, la fracción I del artículo 67 de la Ley, establece que la concesión única será para uso comercial cuando la misma confiera el derecho para prestar servicios públicos de telecomunicaciones y de radiodifusión con fines de lucro, utilizando para ello una red pública de telecomunicaciones, como sucede en el caso que nos ocupa.</w:t>
      </w:r>
    </w:p>
    <w:p w14:paraId="59B8B6D9" w14:textId="77777777" w:rsidR="007B761D" w:rsidRPr="00D42A38" w:rsidRDefault="007B761D" w:rsidP="007B761D">
      <w:pPr>
        <w:pStyle w:val="Textoindependiente"/>
        <w:spacing w:line="230" w:lineRule="auto"/>
        <w:rPr>
          <w:rFonts w:ascii="ITC Avant Garde" w:hAnsi="ITC Avant Garde"/>
          <w:b/>
          <w:bCs/>
          <w:color w:val="000000"/>
          <w:sz w:val="20"/>
          <w:szCs w:val="22"/>
          <w:lang w:val="es-ES" w:eastAsia="es-MX"/>
        </w:rPr>
      </w:pPr>
    </w:p>
    <w:p w14:paraId="1E4B9699" w14:textId="77777777" w:rsidR="007B761D" w:rsidRPr="00D42A38" w:rsidRDefault="007B761D" w:rsidP="007B761D">
      <w:pPr>
        <w:pStyle w:val="Textoindependiente"/>
        <w:spacing w:line="230" w:lineRule="auto"/>
        <w:rPr>
          <w:rFonts w:ascii="ITC Avant Garde" w:hAnsi="ITC Avant Garde"/>
          <w:b/>
          <w:bCs/>
          <w:color w:val="000000"/>
          <w:sz w:val="20"/>
          <w:szCs w:val="22"/>
          <w:lang w:val="es-ES" w:eastAsia="es-MX"/>
        </w:rPr>
      </w:pPr>
    </w:p>
    <w:p w14:paraId="54DD3769" w14:textId="77777777" w:rsidR="007B761D" w:rsidRPr="00F17180" w:rsidRDefault="007B761D" w:rsidP="007B761D">
      <w:pPr>
        <w:ind w:right="-94"/>
        <w:jc w:val="both"/>
        <w:rPr>
          <w:rFonts w:ascii="ITC Avant Garde" w:hAnsi="ITC Avant Garde"/>
          <w:bCs/>
          <w:sz w:val="22"/>
          <w:szCs w:val="22"/>
        </w:rPr>
      </w:pPr>
      <w:r w:rsidRPr="00F17180">
        <w:rPr>
          <w:rFonts w:ascii="ITC Avant Garde" w:hAnsi="ITC Avant Garde"/>
          <w:b/>
          <w:bCs/>
          <w:sz w:val="22"/>
          <w:szCs w:val="22"/>
        </w:rPr>
        <w:t>Cuarto.- Otorgamiento de Concesión de Bandas de Frecuencias para uso Comercial.</w:t>
      </w:r>
      <w:r w:rsidRPr="00F17180">
        <w:rPr>
          <w:rFonts w:ascii="ITC Avant Garde" w:hAnsi="ITC Avant Garde"/>
          <w:bCs/>
          <w:sz w:val="22"/>
          <w:szCs w:val="22"/>
        </w:rPr>
        <w:t xml:space="preserve"> El artículo 10 </w:t>
      </w:r>
      <w:proofErr w:type="gramStart"/>
      <w:r w:rsidRPr="00F17180">
        <w:rPr>
          <w:rFonts w:ascii="ITC Avant Garde" w:hAnsi="ITC Avant Garde"/>
          <w:bCs/>
          <w:sz w:val="22"/>
          <w:szCs w:val="22"/>
        </w:rPr>
        <w:t>fracción</w:t>
      </w:r>
      <w:proofErr w:type="gramEnd"/>
      <w:r w:rsidRPr="00F17180">
        <w:rPr>
          <w:rFonts w:ascii="ITC Avant Garde" w:hAnsi="ITC Avant Garde"/>
          <w:bCs/>
          <w:sz w:val="22"/>
          <w:szCs w:val="22"/>
        </w:rPr>
        <w:t xml:space="preserve"> II de la LFT señalaba que el espectro para usos determinados eran aquellas bandas de frecuencias otorgadas mediante concesión y que podían ser utilizadas para los servicios que autorizara la Secretaría en el título correspondiente. Por su parte, el artículo 11 </w:t>
      </w:r>
      <w:proofErr w:type="gramStart"/>
      <w:r w:rsidRPr="00F17180">
        <w:rPr>
          <w:rFonts w:ascii="ITC Avant Garde" w:hAnsi="ITC Avant Garde"/>
          <w:bCs/>
          <w:sz w:val="22"/>
          <w:szCs w:val="22"/>
        </w:rPr>
        <w:t>fracción</w:t>
      </w:r>
      <w:proofErr w:type="gramEnd"/>
      <w:r w:rsidRPr="00F17180">
        <w:rPr>
          <w:rFonts w:ascii="ITC Avant Garde" w:hAnsi="ITC Avant Garde"/>
          <w:bCs/>
          <w:sz w:val="22"/>
          <w:szCs w:val="22"/>
        </w:rPr>
        <w:t xml:space="preserve"> I del citado ordenamiento establecía que se requería concesión para usar, aprovechar o explotar una banda de frecuencias en el territorio nacional. </w:t>
      </w:r>
    </w:p>
    <w:p w14:paraId="45A38A17" w14:textId="77777777" w:rsidR="007B761D" w:rsidRPr="00F17180" w:rsidRDefault="007B761D" w:rsidP="007B761D">
      <w:pPr>
        <w:ind w:right="-94"/>
        <w:jc w:val="both"/>
        <w:rPr>
          <w:rFonts w:ascii="ITC Avant Garde" w:hAnsi="ITC Avant Garde"/>
          <w:bCs/>
          <w:sz w:val="22"/>
          <w:szCs w:val="22"/>
        </w:rPr>
      </w:pPr>
    </w:p>
    <w:p w14:paraId="2DF5711E" w14:textId="77777777" w:rsidR="007B761D" w:rsidRPr="00F17180" w:rsidRDefault="007B761D" w:rsidP="007B761D">
      <w:pPr>
        <w:ind w:right="-94"/>
        <w:jc w:val="both"/>
        <w:rPr>
          <w:rFonts w:ascii="ITC Avant Garde" w:hAnsi="ITC Avant Garde"/>
          <w:bCs/>
          <w:sz w:val="22"/>
          <w:szCs w:val="22"/>
        </w:rPr>
      </w:pPr>
      <w:r w:rsidRPr="00F17180">
        <w:rPr>
          <w:rFonts w:ascii="ITC Avant Garde" w:hAnsi="ITC Avant Garde"/>
          <w:bCs/>
          <w:sz w:val="22"/>
          <w:szCs w:val="22"/>
        </w:rPr>
        <w:t xml:space="preserve">Por su parte, el artículo 3 fracción XIII de la Ley define a la concesión de espectro radioeléctrico como el acto administrativo mediante el cual el Instituto confiere el derecho para usar, aprovechar o explotar bandas de frecuencia del espectro radioeléctrico, en los términos y modalidades establecidos en dicha Ley. Al respecto, el artículo 76 de la Ley establece una nueva clasificación para este tipo de concesiones de acuerdo a sus fines, entre las que destaca la concesión para uso comercial, que de acuerdo al artículo 76 fracción I, confiere el derecho a personas físicas y morales para usar, aprovechar y explotar bandas de frecuencias del espectro radioeléctrico de uso determinado, con fines de lucro. </w:t>
      </w:r>
    </w:p>
    <w:p w14:paraId="3C0160CB" w14:textId="77777777" w:rsidR="007B761D" w:rsidRPr="00F17180" w:rsidRDefault="007B761D" w:rsidP="007B761D">
      <w:pPr>
        <w:ind w:right="-94"/>
        <w:jc w:val="both"/>
        <w:rPr>
          <w:rFonts w:ascii="ITC Avant Garde" w:hAnsi="ITC Avant Garde"/>
          <w:bCs/>
          <w:sz w:val="22"/>
          <w:szCs w:val="22"/>
        </w:rPr>
      </w:pPr>
    </w:p>
    <w:p w14:paraId="1BEB1DDF" w14:textId="76CA32E8" w:rsidR="007B761D" w:rsidRPr="00F17180" w:rsidRDefault="007B761D" w:rsidP="007B761D">
      <w:pPr>
        <w:ind w:right="-94"/>
        <w:jc w:val="both"/>
        <w:rPr>
          <w:rFonts w:ascii="ITC Avant Garde" w:hAnsi="ITC Avant Garde"/>
          <w:bCs/>
          <w:sz w:val="22"/>
          <w:szCs w:val="22"/>
        </w:rPr>
      </w:pPr>
      <w:r w:rsidRPr="00F17180">
        <w:rPr>
          <w:rFonts w:ascii="ITC Avant Garde" w:hAnsi="ITC Avant Garde"/>
          <w:bCs/>
          <w:sz w:val="22"/>
          <w:szCs w:val="22"/>
        </w:rPr>
        <w:t xml:space="preserve">Atendiendo a lo anterior, la prórroga de vigencia de la Concesión debe otorgarse atendiendo a lo dispuesto por el nuevo régimen de </w:t>
      </w:r>
      <w:proofErr w:type="spellStart"/>
      <w:r w:rsidRPr="00F17180">
        <w:rPr>
          <w:rFonts w:ascii="ITC Avant Garde" w:hAnsi="ITC Avant Garde"/>
          <w:bCs/>
          <w:sz w:val="22"/>
          <w:szCs w:val="22"/>
        </w:rPr>
        <w:t>concesionamiento</w:t>
      </w:r>
      <w:proofErr w:type="spellEnd"/>
      <w:r w:rsidRPr="00F17180">
        <w:rPr>
          <w:rFonts w:ascii="ITC Avant Garde" w:hAnsi="ITC Avant Garde"/>
          <w:bCs/>
          <w:sz w:val="22"/>
          <w:szCs w:val="22"/>
        </w:rPr>
        <w:t xml:space="preserve"> previsto en la Ley, es decir, de concederse la misma, se otorgaría a </w:t>
      </w:r>
      <w:r w:rsidRPr="00F17180">
        <w:rPr>
          <w:rFonts w:ascii="ITC Avant Garde" w:eastAsia="Calibri" w:hAnsi="ITC Avant Garde"/>
          <w:bCs/>
          <w:color w:val="000000"/>
          <w:sz w:val="22"/>
          <w:szCs w:val="22"/>
          <w:lang w:eastAsia="es-MX"/>
        </w:rPr>
        <w:t>Radio Sistemas de Tamaulipas, S.A. de C.V.</w:t>
      </w:r>
      <w:r w:rsidRPr="00F17180">
        <w:rPr>
          <w:rFonts w:ascii="ITC Avant Garde" w:hAnsi="ITC Avant Garde"/>
          <w:bCs/>
          <w:sz w:val="22"/>
          <w:szCs w:val="22"/>
        </w:rPr>
        <w:t xml:space="preserve"> una concesión para usar, aprovechar y explotar bandas de frecuencias del espectro radioeléctrico para uso comercial. </w:t>
      </w:r>
    </w:p>
    <w:p w14:paraId="26EF41B1" w14:textId="62B8095C" w:rsidR="00D05909" w:rsidRPr="00F17180" w:rsidRDefault="007B761D" w:rsidP="00D05909">
      <w:pPr>
        <w:ind w:right="99"/>
        <w:jc w:val="both"/>
        <w:rPr>
          <w:rFonts w:ascii="ITC Avant Garde" w:eastAsia="Calibri" w:hAnsi="ITC Avant Garde"/>
          <w:bCs/>
          <w:color w:val="000000"/>
          <w:sz w:val="22"/>
          <w:szCs w:val="22"/>
          <w:lang w:eastAsia="es-MX"/>
        </w:rPr>
      </w:pPr>
      <w:r w:rsidRPr="00F17180">
        <w:rPr>
          <w:rFonts w:ascii="ITC Avant Garde" w:eastAsia="Calibri" w:hAnsi="ITC Avant Garde"/>
          <w:b/>
          <w:bCs/>
          <w:color w:val="000000"/>
          <w:sz w:val="22"/>
          <w:szCs w:val="22"/>
          <w:lang w:eastAsia="es-MX"/>
        </w:rPr>
        <w:t>Quinto</w:t>
      </w:r>
      <w:r w:rsidR="0085684A" w:rsidRPr="00F17180">
        <w:rPr>
          <w:rFonts w:ascii="ITC Avant Garde" w:eastAsia="Calibri" w:hAnsi="ITC Avant Garde"/>
          <w:b/>
          <w:bCs/>
          <w:color w:val="000000"/>
          <w:sz w:val="22"/>
          <w:szCs w:val="22"/>
          <w:lang w:eastAsia="es-MX"/>
        </w:rPr>
        <w:t xml:space="preserve">.- Análisis de la Solicitud de Prórroga. </w:t>
      </w:r>
      <w:r w:rsidR="00D05909" w:rsidRPr="00F17180">
        <w:rPr>
          <w:rFonts w:ascii="ITC Avant Garde" w:eastAsia="Calibri" w:hAnsi="ITC Avant Garde"/>
          <w:bCs/>
          <w:color w:val="000000"/>
          <w:sz w:val="22"/>
          <w:szCs w:val="22"/>
          <w:lang w:eastAsia="es-MX"/>
        </w:rPr>
        <w:t>De conformidad con lo señalado por los artículos 19 y 27 de la LFT y la Ley Federal de Derechos</w:t>
      </w:r>
      <w:r w:rsidR="00F45BB2" w:rsidRPr="00F17180">
        <w:rPr>
          <w:rFonts w:ascii="ITC Avant Garde" w:eastAsia="Calibri" w:hAnsi="ITC Avant Garde"/>
          <w:bCs/>
          <w:color w:val="000000"/>
          <w:sz w:val="22"/>
          <w:szCs w:val="22"/>
          <w:lang w:eastAsia="es-MX"/>
        </w:rPr>
        <w:t xml:space="preserve"> vigente al momento de presentar la Solicitud de Prórroga</w:t>
      </w:r>
      <w:r w:rsidR="00D05909" w:rsidRPr="00F17180">
        <w:rPr>
          <w:rFonts w:ascii="ITC Avant Garde" w:eastAsia="Calibri" w:hAnsi="ITC Avant Garde"/>
          <w:bCs/>
          <w:color w:val="000000"/>
          <w:sz w:val="22"/>
          <w:szCs w:val="22"/>
          <w:lang w:eastAsia="es-MX"/>
        </w:rPr>
        <w:t>, los requisitos de procedencia que debe observar Radio Sistemas de Tamaulipas, S.A. de C.V., y que se verifican durante el análisis de solicitudes de prórroga de vigencia de concesiones en materia de telecomunicaciones, son los siguientes:</w:t>
      </w:r>
    </w:p>
    <w:p w14:paraId="43B7E6F6" w14:textId="77777777" w:rsidR="00D05909" w:rsidRPr="00D42A38" w:rsidRDefault="00D05909" w:rsidP="00D05909">
      <w:pPr>
        <w:ind w:right="99"/>
        <w:jc w:val="both"/>
        <w:rPr>
          <w:rFonts w:ascii="ITC Avant Garde" w:eastAsia="Calibri" w:hAnsi="ITC Avant Garde"/>
          <w:bCs/>
          <w:color w:val="000000"/>
          <w:sz w:val="20"/>
          <w:szCs w:val="22"/>
          <w:lang w:eastAsia="es-MX"/>
        </w:rPr>
      </w:pPr>
    </w:p>
    <w:p w14:paraId="01244609" w14:textId="77777777" w:rsidR="00D05909" w:rsidRPr="00F17180" w:rsidRDefault="00D05909" w:rsidP="00D05909">
      <w:pPr>
        <w:pStyle w:val="Prrafodelista"/>
        <w:numPr>
          <w:ilvl w:val="0"/>
          <w:numId w:val="45"/>
        </w:numPr>
        <w:ind w:left="709" w:hanging="349"/>
        <w:jc w:val="both"/>
        <w:rPr>
          <w:rFonts w:ascii="ITC Avant Garde" w:eastAsia="Calibri" w:hAnsi="ITC Avant Garde"/>
          <w:bCs/>
          <w:color w:val="000000"/>
          <w:sz w:val="22"/>
          <w:szCs w:val="22"/>
          <w:lang w:eastAsia="es-MX"/>
        </w:rPr>
      </w:pPr>
      <w:r w:rsidRPr="00F17180">
        <w:rPr>
          <w:rFonts w:ascii="ITC Avant Garde" w:eastAsia="Calibri" w:hAnsi="ITC Avant Garde"/>
          <w:bCs/>
          <w:color w:val="000000"/>
          <w:sz w:val="22"/>
          <w:szCs w:val="22"/>
          <w:lang w:eastAsia="es-MX"/>
        </w:rPr>
        <w:lastRenderedPageBreak/>
        <w:t>Que la prórroga se haya solicitado antes del inicio de la última quinta parte del plazo de la concesión;</w:t>
      </w:r>
    </w:p>
    <w:p w14:paraId="679F7280" w14:textId="77777777" w:rsidR="00D05909" w:rsidRPr="00F17180" w:rsidRDefault="00D05909" w:rsidP="00D05909">
      <w:pPr>
        <w:pStyle w:val="Prrafodelista"/>
        <w:numPr>
          <w:ilvl w:val="0"/>
          <w:numId w:val="45"/>
        </w:numPr>
        <w:ind w:left="709" w:hanging="349"/>
        <w:jc w:val="both"/>
        <w:rPr>
          <w:rFonts w:ascii="ITC Avant Garde" w:eastAsia="Calibri" w:hAnsi="ITC Avant Garde"/>
          <w:bCs/>
          <w:color w:val="000000"/>
          <w:sz w:val="22"/>
          <w:szCs w:val="22"/>
          <w:lang w:eastAsia="es-MX"/>
        </w:rPr>
      </w:pPr>
      <w:r w:rsidRPr="00F17180">
        <w:rPr>
          <w:rFonts w:ascii="ITC Avant Garde" w:eastAsia="Calibri" w:hAnsi="ITC Avant Garde"/>
          <w:bCs/>
          <w:color w:val="000000"/>
          <w:sz w:val="22"/>
          <w:szCs w:val="22"/>
          <w:lang w:eastAsia="es-MX"/>
        </w:rPr>
        <w:t>Que el concesionario haya cumplido con las condiciones previstas en la concesión;</w:t>
      </w:r>
    </w:p>
    <w:p w14:paraId="6AF89149" w14:textId="77777777" w:rsidR="00D05909" w:rsidRPr="00F17180" w:rsidRDefault="00D05909" w:rsidP="00D05909">
      <w:pPr>
        <w:pStyle w:val="Prrafodelista"/>
        <w:numPr>
          <w:ilvl w:val="0"/>
          <w:numId w:val="45"/>
        </w:numPr>
        <w:ind w:left="709" w:hanging="349"/>
        <w:jc w:val="both"/>
        <w:rPr>
          <w:rFonts w:ascii="ITC Avant Garde" w:eastAsia="Calibri" w:hAnsi="ITC Avant Garde"/>
          <w:bCs/>
          <w:color w:val="000000"/>
          <w:sz w:val="22"/>
          <w:szCs w:val="22"/>
          <w:lang w:eastAsia="es-MX"/>
        </w:rPr>
      </w:pPr>
      <w:r w:rsidRPr="00F17180">
        <w:rPr>
          <w:rFonts w:ascii="ITC Avant Garde" w:eastAsia="Calibri" w:hAnsi="ITC Avant Garde"/>
          <w:bCs/>
          <w:color w:val="000000"/>
          <w:sz w:val="22"/>
          <w:szCs w:val="22"/>
          <w:lang w:eastAsia="es-MX"/>
        </w:rPr>
        <w:t xml:space="preserve">Que se exhiban los comprobantes del pago de los derechos establecidos en la Ley Federal de Derechos por el estudio de la solicitud; y </w:t>
      </w:r>
    </w:p>
    <w:p w14:paraId="5CEA7B54" w14:textId="77777777" w:rsidR="00D05909" w:rsidRPr="00F17180" w:rsidRDefault="00D05909" w:rsidP="00D05909">
      <w:pPr>
        <w:pStyle w:val="Prrafodelista"/>
        <w:numPr>
          <w:ilvl w:val="0"/>
          <w:numId w:val="45"/>
        </w:numPr>
        <w:ind w:left="709" w:hanging="349"/>
        <w:jc w:val="both"/>
        <w:rPr>
          <w:rFonts w:ascii="ITC Avant Garde" w:eastAsia="Calibri" w:hAnsi="ITC Avant Garde"/>
          <w:bCs/>
          <w:color w:val="000000"/>
          <w:sz w:val="22"/>
          <w:szCs w:val="22"/>
          <w:lang w:eastAsia="es-MX"/>
        </w:rPr>
      </w:pPr>
      <w:r w:rsidRPr="00F17180">
        <w:rPr>
          <w:rFonts w:ascii="ITC Avant Garde" w:eastAsia="Calibri" w:hAnsi="ITC Avant Garde"/>
          <w:bCs/>
          <w:color w:val="000000"/>
          <w:sz w:val="22"/>
          <w:szCs w:val="22"/>
          <w:lang w:eastAsia="es-MX"/>
        </w:rPr>
        <w:t>Que se acepten las nuevas condiciones que establezca el Instituto, entre las que se encuentra el pago de la contraprestación correspondiente.</w:t>
      </w:r>
    </w:p>
    <w:p w14:paraId="2E3A62ED" w14:textId="77777777" w:rsidR="00D2656D" w:rsidRPr="00D42A38" w:rsidRDefault="00D2656D" w:rsidP="00D05909">
      <w:pPr>
        <w:ind w:right="99"/>
        <w:jc w:val="both"/>
        <w:rPr>
          <w:rFonts w:ascii="ITC Avant Garde" w:eastAsia="Calibri" w:hAnsi="ITC Avant Garde"/>
          <w:b/>
          <w:bCs/>
          <w:color w:val="000000"/>
          <w:sz w:val="20"/>
          <w:szCs w:val="22"/>
          <w:lang w:eastAsia="es-MX"/>
        </w:rPr>
      </w:pPr>
    </w:p>
    <w:p w14:paraId="3B2DE7C7" w14:textId="606D0891" w:rsidR="0085684A" w:rsidRPr="00F17180" w:rsidRDefault="0085684A" w:rsidP="00B53D4B">
      <w:pPr>
        <w:autoSpaceDE w:val="0"/>
        <w:autoSpaceDN w:val="0"/>
        <w:adjustRightInd w:val="0"/>
        <w:jc w:val="both"/>
        <w:rPr>
          <w:rFonts w:ascii="ITC Avant Garde" w:eastAsia="Calibri" w:hAnsi="ITC Avant Garde"/>
          <w:bCs/>
          <w:color w:val="000000"/>
          <w:sz w:val="22"/>
          <w:szCs w:val="22"/>
          <w:lang w:eastAsia="es-MX"/>
        </w:rPr>
      </w:pPr>
      <w:r w:rsidRPr="00F17180">
        <w:rPr>
          <w:rFonts w:ascii="ITC Avant Garde" w:eastAsia="Calibri" w:hAnsi="ITC Avant Garde"/>
          <w:bCs/>
          <w:color w:val="000000"/>
          <w:sz w:val="22"/>
          <w:szCs w:val="22"/>
          <w:lang w:eastAsia="es-MX"/>
        </w:rPr>
        <w:t xml:space="preserve">Para verificar el primer requisito se debe tomar en cuenta </w:t>
      </w:r>
      <w:r w:rsidR="00D05909" w:rsidRPr="00F17180">
        <w:rPr>
          <w:rFonts w:ascii="ITC Avant Garde" w:eastAsia="Calibri" w:hAnsi="ITC Avant Garde"/>
          <w:bCs/>
          <w:color w:val="000000"/>
          <w:sz w:val="22"/>
          <w:szCs w:val="22"/>
          <w:lang w:eastAsia="es-MX"/>
        </w:rPr>
        <w:t xml:space="preserve">que </w:t>
      </w:r>
      <w:r w:rsidRPr="00F17180">
        <w:rPr>
          <w:rFonts w:ascii="ITC Avant Garde" w:eastAsia="Calibri" w:hAnsi="ITC Avant Garde"/>
          <w:bCs/>
          <w:color w:val="000000"/>
          <w:sz w:val="22"/>
          <w:szCs w:val="22"/>
          <w:lang w:eastAsia="es-MX"/>
        </w:rPr>
        <w:t xml:space="preserve">la vigencia de la </w:t>
      </w:r>
      <w:r w:rsidR="00D67E75" w:rsidRPr="00F17180">
        <w:rPr>
          <w:rFonts w:ascii="ITC Avant Garde" w:eastAsia="Calibri" w:hAnsi="ITC Avant Garde"/>
          <w:bCs/>
          <w:color w:val="000000"/>
          <w:sz w:val="22"/>
          <w:szCs w:val="22"/>
          <w:lang w:eastAsia="es-MX"/>
        </w:rPr>
        <w:t>C</w:t>
      </w:r>
      <w:r w:rsidRPr="00F17180">
        <w:rPr>
          <w:rFonts w:ascii="ITC Avant Garde" w:eastAsia="Calibri" w:hAnsi="ITC Avant Garde"/>
          <w:bCs/>
          <w:color w:val="000000"/>
          <w:sz w:val="22"/>
          <w:szCs w:val="22"/>
          <w:lang w:eastAsia="es-MX"/>
        </w:rPr>
        <w:t>oncesión</w:t>
      </w:r>
      <w:r w:rsidR="00D05909" w:rsidRPr="00F17180">
        <w:rPr>
          <w:rFonts w:ascii="ITC Avant Garde" w:eastAsia="Calibri" w:hAnsi="ITC Avant Garde"/>
          <w:bCs/>
          <w:color w:val="000000"/>
          <w:sz w:val="22"/>
          <w:szCs w:val="22"/>
          <w:lang w:eastAsia="es-MX"/>
        </w:rPr>
        <w:t xml:space="preserve"> era</w:t>
      </w:r>
      <w:r w:rsidRPr="00F17180">
        <w:rPr>
          <w:rFonts w:ascii="ITC Avant Garde" w:eastAsia="Calibri" w:hAnsi="ITC Avant Garde"/>
          <w:bCs/>
          <w:color w:val="000000"/>
          <w:sz w:val="22"/>
          <w:szCs w:val="22"/>
          <w:lang w:eastAsia="es-MX"/>
        </w:rPr>
        <w:t xml:space="preserve"> de 15 (quince) años, contados a partir de su otorgamiento. Es decir, su vencimiento tuvo verificativo el </w:t>
      </w:r>
      <w:r w:rsidR="00F36A9C" w:rsidRPr="00F17180">
        <w:rPr>
          <w:rFonts w:ascii="ITC Avant Garde" w:eastAsia="Calibri" w:hAnsi="ITC Avant Garde"/>
          <w:bCs/>
          <w:color w:val="000000"/>
          <w:sz w:val="22"/>
          <w:szCs w:val="22"/>
          <w:lang w:eastAsia="es-MX"/>
        </w:rPr>
        <w:t>22 de diciembre de 2008</w:t>
      </w:r>
      <w:r w:rsidRPr="00F17180">
        <w:rPr>
          <w:rFonts w:ascii="ITC Avant Garde" w:eastAsia="Calibri" w:hAnsi="ITC Avant Garde"/>
          <w:bCs/>
          <w:color w:val="000000"/>
          <w:sz w:val="22"/>
          <w:szCs w:val="22"/>
          <w:lang w:eastAsia="es-MX"/>
        </w:rPr>
        <w:t xml:space="preserve">, por lo que </w:t>
      </w:r>
      <w:r w:rsidR="00F36A9C" w:rsidRPr="00F17180">
        <w:rPr>
          <w:rFonts w:ascii="ITC Avant Garde" w:eastAsia="Calibri" w:hAnsi="ITC Avant Garde"/>
          <w:bCs/>
          <w:color w:val="000000"/>
          <w:sz w:val="22"/>
          <w:szCs w:val="22"/>
          <w:lang w:eastAsia="es-MX"/>
        </w:rPr>
        <w:t>Radio Sistemas de Tamaulipas</w:t>
      </w:r>
      <w:r w:rsidRPr="00F17180">
        <w:rPr>
          <w:rFonts w:ascii="ITC Avant Garde" w:eastAsia="Calibri" w:hAnsi="ITC Avant Garde"/>
          <w:bCs/>
          <w:color w:val="000000"/>
          <w:sz w:val="22"/>
          <w:szCs w:val="22"/>
          <w:lang w:eastAsia="es-MX"/>
        </w:rPr>
        <w:t xml:space="preserve">, S.A. de C.V., debía presentar la Solicitud de Prórroga antes del </w:t>
      </w:r>
      <w:r w:rsidR="00F36A9C" w:rsidRPr="00F17180">
        <w:rPr>
          <w:rFonts w:ascii="ITC Avant Garde" w:eastAsia="Calibri" w:hAnsi="ITC Avant Garde"/>
          <w:bCs/>
          <w:color w:val="000000"/>
          <w:sz w:val="22"/>
          <w:szCs w:val="22"/>
          <w:lang w:eastAsia="es-MX"/>
        </w:rPr>
        <w:t>22 de diciembre</w:t>
      </w:r>
      <w:r w:rsidRPr="00F17180">
        <w:rPr>
          <w:rFonts w:ascii="ITC Avant Garde" w:eastAsia="Calibri" w:hAnsi="ITC Avant Garde"/>
          <w:bCs/>
          <w:color w:val="000000"/>
          <w:sz w:val="22"/>
          <w:szCs w:val="22"/>
          <w:lang w:eastAsia="es-MX"/>
        </w:rPr>
        <w:t xml:space="preserve"> de 2005. Toda vez que </w:t>
      </w:r>
      <w:r w:rsidR="00F36A9C" w:rsidRPr="00F17180">
        <w:rPr>
          <w:rFonts w:ascii="ITC Avant Garde" w:eastAsia="Calibri" w:hAnsi="ITC Avant Garde"/>
          <w:bCs/>
          <w:color w:val="000000"/>
          <w:sz w:val="22"/>
          <w:szCs w:val="22"/>
          <w:lang w:eastAsia="es-MX"/>
        </w:rPr>
        <w:t>Radio Sistemas de Tamaulipas</w:t>
      </w:r>
      <w:r w:rsidRPr="00F17180">
        <w:rPr>
          <w:rFonts w:ascii="ITC Avant Garde" w:eastAsia="Calibri" w:hAnsi="ITC Avant Garde"/>
          <w:bCs/>
          <w:color w:val="000000"/>
          <w:sz w:val="22"/>
          <w:szCs w:val="22"/>
          <w:lang w:eastAsia="es-MX"/>
        </w:rPr>
        <w:t xml:space="preserve">, S.A. de C.V., presentó la Solicitud de Prórroga el </w:t>
      </w:r>
      <w:r w:rsidR="00F36A9C" w:rsidRPr="00F17180">
        <w:rPr>
          <w:rFonts w:ascii="ITC Avant Garde" w:eastAsia="Calibri" w:hAnsi="ITC Avant Garde"/>
          <w:bCs/>
          <w:color w:val="000000"/>
          <w:sz w:val="22"/>
          <w:szCs w:val="22"/>
          <w:lang w:eastAsia="es-MX"/>
        </w:rPr>
        <w:t>18 de diciembre</w:t>
      </w:r>
      <w:r w:rsidRPr="00F17180">
        <w:rPr>
          <w:rFonts w:ascii="ITC Avant Garde" w:eastAsia="Calibri" w:hAnsi="ITC Avant Garde"/>
          <w:bCs/>
          <w:color w:val="000000"/>
          <w:sz w:val="22"/>
          <w:szCs w:val="22"/>
          <w:lang w:eastAsia="es-MX"/>
        </w:rPr>
        <w:t xml:space="preserve"> de 2003, este requisito se tiene por cumplido.</w:t>
      </w:r>
    </w:p>
    <w:p w14:paraId="6B21860C" w14:textId="77777777" w:rsidR="0085684A" w:rsidRPr="00D42A38" w:rsidRDefault="0085684A" w:rsidP="00B53D4B">
      <w:pPr>
        <w:tabs>
          <w:tab w:val="num" w:pos="540"/>
        </w:tabs>
        <w:jc w:val="both"/>
        <w:rPr>
          <w:rFonts w:ascii="ITC Avant Garde" w:eastAsia="Calibri" w:hAnsi="ITC Avant Garde"/>
          <w:b/>
          <w:bCs/>
          <w:color w:val="000000"/>
          <w:sz w:val="20"/>
          <w:szCs w:val="22"/>
          <w:lang w:eastAsia="es-MX"/>
        </w:rPr>
      </w:pPr>
    </w:p>
    <w:p w14:paraId="002070E6" w14:textId="06469B83" w:rsidR="0085684A" w:rsidRPr="00F17180" w:rsidRDefault="0085684A" w:rsidP="00B53D4B">
      <w:pPr>
        <w:pStyle w:val="Textoindependiente"/>
        <w:rPr>
          <w:rFonts w:ascii="ITC Avant Garde" w:eastAsia="Calibri" w:hAnsi="ITC Avant Garde"/>
          <w:bCs/>
          <w:color w:val="000000"/>
          <w:sz w:val="22"/>
          <w:szCs w:val="22"/>
          <w:lang w:eastAsia="es-MX"/>
        </w:rPr>
      </w:pPr>
      <w:r w:rsidRPr="00F17180">
        <w:rPr>
          <w:rFonts w:ascii="ITC Avant Garde" w:eastAsia="Calibri" w:hAnsi="ITC Avant Garde"/>
          <w:bCs/>
          <w:color w:val="000000"/>
          <w:sz w:val="22"/>
          <w:szCs w:val="22"/>
          <w:lang w:eastAsia="es-MX"/>
        </w:rPr>
        <w:t>Por lo que respecta al segundo requisito, el mismo fue verificado por la entonces Unidad de Supervisión y Verificación de la Comisión la que, en el ámbito de sus atribuciones, emitió los ofic</w:t>
      </w:r>
      <w:r w:rsidR="00F36A9C" w:rsidRPr="00F17180">
        <w:rPr>
          <w:rFonts w:ascii="ITC Avant Garde" w:eastAsia="Calibri" w:hAnsi="ITC Avant Garde"/>
          <w:bCs/>
          <w:color w:val="000000"/>
          <w:sz w:val="22"/>
          <w:szCs w:val="22"/>
          <w:lang w:eastAsia="es-MX"/>
        </w:rPr>
        <w:t>ios</w:t>
      </w:r>
      <w:r w:rsidR="00D775FA" w:rsidRPr="00F17180">
        <w:rPr>
          <w:rFonts w:ascii="ITC Avant Garde" w:eastAsia="Calibri" w:hAnsi="ITC Avant Garde"/>
          <w:bCs/>
          <w:color w:val="000000"/>
          <w:sz w:val="22"/>
          <w:szCs w:val="22"/>
          <w:lang w:eastAsia="es-MX"/>
        </w:rPr>
        <w:t xml:space="preserve"> señalados en el Antecedente IV</w:t>
      </w:r>
      <w:r w:rsidRPr="00F17180">
        <w:rPr>
          <w:rFonts w:ascii="ITC Avant Garde" w:eastAsia="Calibri" w:hAnsi="ITC Avant Garde"/>
          <w:bCs/>
          <w:color w:val="000000"/>
          <w:sz w:val="22"/>
          <w:szCs w:val="22"/>
          <w:lang w:eastAsia="es-MX"/>
        </w:rPr>
        <w:t xml:space="preserve">, en donde manifestó que </w:t>
      </w:r>
      <w:r w:rsidR="00F36A9C" w:rsidRPr="00F17180">
        <w:rPr>
          <w:rFonts w:ascii="ITC Avant Garde" w:eastAsia="Calibri" w:hAnsi="ITC Avant Garde"/>
          <w:bCs/>
          <w:color w:val="000000"/>
          <w:sz w:val="22"/>
          <w:szCs w:val="22"/>
          <w:lang w:eastAsia="es-MX"/>
        </w:rPr>
        <w:t>Radio Sistemas de Tamaulipas</w:t>
      </w:r>
      <w:r w:rsidRPr="00F17180">
        <w:rPr>
          <w:rFonts w:ascii="ITC Avant Garde" w:eastAsia="Calibri" w:hAnsi="ITC Avant Garde"/>
          <w:bCs/>
          <w:color w:val="000000"/>
          <w:sz w:val="22"/>
          <w:szCs w:val="22"/>
          <w:lang w:eastAsia="es-MX"/>
        </w:rPr>
        <w:t xml:space="preserve">, S.A. de C.V., se encontraba al corriente en el cumplimiento de las obligaciones a su </w:t>
      </w:r>
      <w:r w:rsidR="006D6CE4" w:rsidRPr="00F17180">
        <w:rPr>
          <w:rFonts w:ascii="ITC Avant Garde" w:eastAsia="Calibri" w:hAnsi="ITC Avant Garde"/>
          <w:bCs/>
          <w:color w:val="000000"/>
          <w:sz w:val="22"/>
          <w:szCs w:val="22"/>
          <w:lang w:eastAsia="es-MX"/>
        </w:rPr>
        <w:t>cargo derivadas de la Concesión.</w:t>
      </w:r>
      <w:r w:rsidRPr="00F17180">
        <w:rPr>
          <w:rFonts w:ascii="ITC Avant Garde" w:eastAsia="Calibri" w:hAnsi="ITC Avant Garde"/>
          <w:bCs/>
          <w:color w:val="000000"/>
          <w:sz w:val="22"/>
          <w:szCs w:val="22"/>
          <w:lang w:eastAsia="es-MX"/>
        </w:rPr>
        <w:t xml:space="preserve"> </w:t>
      </w:r>
    </w:p>
    <w:p w14:paraId="7797E8D0" w14:textId="77777777" w:rsidR="0085684A" w:rsidRPr="00D42A38" w:rsidRDefault="0085684A" w:rsidP="00B53D4B">
      <w:pPr>
        <w:jc w:val="both"/>
        <w:rPr>
          <w:rFonts w:ascii="ITC Avant Garde" w:eastAsia="Calibri" w:hAnsi="ITC Avant Garde"/>
          <w:bCs/>
          <w:color w:val="000000"/>
          <w:sz w:val="20"/>
          <w:szCs w:val="22"/>
          <w:lang w:eastAsia="es-MX"/>
        </w:rPr>
      </w:pPr>
    </w:p>
    <w:p w14:paraId="19CB7BC9" w14:textId="29654FC0" w:rsidR="0085684A" w:rsidRPr="00F17180" w:rsidRDefault="0085684A" w:rsidP="00B53D4B">
      <w:pPr>
        <w:jc w:val="both"/>
        <w:rPr>
          <w:rFonts w:ascii="ITC Avant Garde" w:eastAsia="Calibri" w:hAnsi="ITC Avant Garde"/>
          <w:bCs/>
          <w:color w:val="000000"/>
          <w:sz w:val="22"/>
          <w:szCs w:val="22"/>
          <w:lang w:eastAsia="es-MX"/>
        </w:rPr>
      </w:pPr>
      <w:r w:rsidRPr="00F17180">
        <w:rPr>
          <w:rFonts w:ascii="ITC Avant Garde" w:eastAsia="Calibri" w:hAnsi="ITC Avant Garde"/>
          <w:bCs/>
          <w:color w:val="000000"/>
          <w:sz w:val="22"/>
          <w:szCs w:val="22"/>
          <w:lang w:eastAsia="es-MX"/>
        </w:rPr>
        <w:t xml:space="preserve">Con relación al tercer requisito, se debe mencionar que al momento de presentar la Solicitud de Prórroga, </w:t>
      </w:r>
      <w:r w:rsidR="00F36A9C" w:rsidRPr="00F17180">
        <w:rPr>
          <w:rFonts w:ascii="ITC Avant Garde" w:eastAsia="Calibri" w:hAnsi="ITC Avant Garde"/>
          <w:bCs/>
          <w:color w:val="000000"/>
          <w:sz w:val="22"/>
          <w:szCs w:val="22"/>
          <w:lang w:eastAsia="es-MX"/>
        </w:rPr>
        <w:t>Radio Sistemas de Tamaulipas</w:t>
      </w:r>
      <w:r w:rsidRPr="00F17180">
        <w:rPr>
          <w:rFonts w:ascii="ITC Avant Garde" w:eastAsia="Calibri" w:hAnsi="ITC Avant Garde"/>
          <w:bCs/>
          <w:color w:val="000000"/>
          <w:sz w:val="22"/>
          <w:szCs w:val="22"/>
          <w:lang w:eastAsia="es-MX"/>
        </w:rPr>
        <w:t>, S.A. de C.V., adjuntó el recibo de pago previsto en el artí</w:t>
      </w:r>
      <w:r w:rsidR="00F36A9C" w:rsidRPr="00F17180">
        <w:rPr>
          <w:rFonts w:ascii="ITC Avant Garde" w:eastAsia="Calibri" w:hAnsi="ITC Avant Garde"/>
          <w:bCs/>
          <w:color w:val="000000"/>
          <w:sz w:val="22"/>
          <w:szCs w:val="22"/>
          <w:lang w:eastAsia="es-MX"/>
        </w:rPr>
        <w:t>culo 94</w:t>
      </w:r>
      <w:r w:rsidRPr="00F17180">
        <w:rPr>
          <w:rFonts w:ascii="ITC Avant Garde" w:eastAsia="Calibri" w:hAnsi="ITC Avant Garde"/>
          <w:bCs/>
          <w:color w:val="000000"/>
          <w:sz w:val="22"/>
          <w:szCs w:val="22"/>
          <w:lang w:eastAsia="es-MX"/>
        </w:rPr>
        <w:t xml:space="preserve"> fracción III de la Ley Federal de Derechos, que ampara el estudio de solicitudes de prórroga de concesiones de redes públicas de telecomunicaciones. </w:t>
      </w:r>
    </w:p>
    <w:p w14:paraId="2E58986D" w14:textId="77777777" w:rsidR="0085684A" w:rsidRPr="00F17180" w:rsidRDefault="0085684A" w:rsidP="00B53D4B">
      <w:pPr>
        <w:jc w:val="both"/>
        <w:rPr>
          <w:rFonts w:ascii="ITC Avant Garde" w:eastAsia="Calibri" w:hAnsi="ITC Avant Garde"/>
          <w:bCs/>
          <w:color w:val="000000"/>
          <w:sz w:val="22"/>
          <w:szCs w:val="22"/>
          <w:lang w:eastAsia="es-MX"/>
        </w:rPr>
      </w:pPr>
    </w:p>
    <w:p w14:paraId="747DA4B5" w14:textId="5691CCC8" w:rsidR="003F43A6" w:rsidRPr="00F17180" w:rsidRDefault="0085684A" w:rsidP="00C37EAB">
      <w:pPr>
        <w:jc w:val="both"/>
        <w:rPr>
          <w:rFonts w:ascii="ITC Avant Garde" w:eastAsia="Calibri" w:hAnsi="ITC Avant Garde"/>
          <w:bCs/>
          <w:color w:val="000000"/>
          <w:sz w:val="22"/>
          <w:szCs w:val="22"/>
          <w:lang w:eastAsia="es-MX"/>
        </w:rPr>
      </w:pPr>
      <w:r w:rsidRPr="00F17180">
        <w:rPr>
          <w:rFonts w:ascii="ITC Avant Garde" w:hAnsi="ITC Avant Garde"/>
          <w:bCs/>
          <w:color w:val="000000"/>
          <w:sz w:val="22"/>
          <w:szCs w:val="22"/>
          <w:lang w:val="es-ES" w:eastAsia="es-MX"/>
        </w:rPr>
        <w:t>Con respecto al cuarto requisito</w:t>
      </w:r>
      <w:r w:rsidRPr="00F17180">
        <w:rPr>
          <w:rFonts w:ascii="ITC Avant Garde" w:eastAsia="Calibri" w:hAnsi="ITC Avant Garde"/>
          <w:bCs/>
          <w:color w:val="000000"/>
          <w:sz w:val="22"/>
          <w:szCs w:val="22"/>
          <w:lang w:eastAsia="es-MX"/>
        </w:rPr>
        <w:t xml:space="preserve">, éste se cumplirá una vez que </w:t>
      </w:r>
      <w:r w:rsidR="00B304EF" w:rsidRPr="00F17180">
        <w:rPr>
          <w:rFonts w:ascii="ITC Avant Garde" w:eastAsia="Calibri" w:hAnsi="ITC Avant Garde"/>
          <w:bCs/>
          <w:color w:val="000000"/>
          <w:sz w:val="22"/>
          <w:szCs w:val="22"/>
          <w:lang w:eastAsia="es-MX"/>
        </w:rPr>
        <w:t>Radio Sistemas de Tamaulipas</w:t>
      </w:r>
      <w:r w:rsidRPr="00F17180">
        <w:rPr>
          <w:rFonts w:ascii="ITC Avant Garde" w:eastAsia="Calibri" w:hAnsi="ITC Avant Garde"/>
          <w:bCs/>
          <w:color w:val="000000"/>
          <w:sz w:val="22"/>
          <w:szCs w:val="22"/>
          <w:lang w:eastAsia="es-MX"/>
        </w:rPr>
        <w:t xml:space="preserve"> S.A. de C.V., acepte de manera expresa e indubitable las nuevas condiciones que al efecto establezca el Instituto. Entre las nuevas condiciones que deberá aceptar </w:t>
      </w:r>
      <w:r w:rsidR="00B304EF" w:rsidRPr="00F17180">
        <w:rPr>
          <w:rFonts w:ascii="ITC Avant Garde" w:eastAsia="Calibri" w:hAnsi="ITC Avant Garde"/>
          <w:bCs/>
          <w:color w:val="000000"/>
          <w:sz w:val="22"/>
          <w:szCs w:val="22"/>
          <w:lang w:eastAsia="es-MX"/>
        </w:rPr>
        <w:t>Radio Sistemas de Tamaulipas</w:t>
      </w:r>
      <w:r w:rsidRPr="00F17180">
        <w:rPr>
          <w:rFonts w:ascii="ITC Avant Garde" w:eastAsia="Calibri" w:hAnsi="ITC Avant Garde"/>
          <w:bCs/>
          <w:color w:val="000000"/>
          <w:sz w:val="22"/>
          <w:szCs w:val="22"/>
          <w:lang w:eastAsia="es-MX"/>
        </w:rPr>
        <w:t xml:space="preserve">, S.A. de C.V., </w:t>
      </w:r>
      <w:r w:rsidR="004A5BE4" w:rsidRPr="00F17180">
        <w:rPr>
          <w:rFonts w:ascii="ITC Avant Garde" w:eastAsia="Calibri" w:hAnsi="ITC Avant Garde"/>
          <w:bCs/>
          <w:color w:val="000000"/>
          <w:sz w:val="22"/>
          <w:szCs w:val="22"/>
          <w:lang w:eastAsia="es-MX"/>
        </w:rPr>
        <w:t>se encuentran los términos y las condiciones técnico-operativas de la prórroga de la Concesión, el otorgamiento de la concesión única para uso comercial, y el pago de la contraprestación por el otorgamiento del título de concesión de bandas de frecuencias del espectro radioeléctrico</w:t>
      </w:r>
      <w:r w:rsidR="00C37EAB" w:rsidRPr="00F17180">
        <w:rPr>
          <w:rFonts w:ascii="ITC Avant Garde" w:eastAsia="Calibri" w:hAnsi="ITC Avant Garde"/>
          <w:bCs/>
          <w:color w:val="000000"/>
          <w:sz w:val="22"/>
          <w:szCs w:val="22"/>
          <w:lang w:eastAsia="es-MX"/>
        </w:rPr>
        <w:t xml:space="preserve"> para uso comercial.</w:t>
      </w:r>
    </w:p>
    <w:p w14:paraId="3D17D6A2" w14:textId="77777777" w:rsidR="00C37EAB" w:rsidRPr="00D42A38" w:rsidRDefault="00C37EAB" w:rsidP="00C37EAB">
      <w:pPr>
        <w:jc w:val="both"/>
        <w:rPr>
          <w:rFonts w:ascii="ITC Avant Garde" w:eastAsia="Calibri" w:hAnsi="ITC Avant Garde"/>
          <w:b/>
          <w:bCs/>
          <w:color w:val="000000"/>
          <w:sz w:val="20"/>
          <w:szCs w:val="22"/>
          <w:lang w:eastAsia="es-MX"/>
        </w:rPr>
      </w:pPr>
    </w:p>
    <w:p w14:paraId="7B288BC0" w14:textId="77777777" w:rsidR="00074FE7" w:rsidRPr="00D42A38" w:rsidRDefault="00074FE7" w:rsidP="00C37EAB">
      <w:pPr>
        <w:jc w:val="both"/>
        <w:rPr>
          <w:rFonts w:ascii="ITC Avant Garde" w:eastAsia="Calibri" w:hAnsi="ITC Avant Garde"/>
          <w:b/>
          <w:bCs/>
          <w:color w:val="000000"/>
          <w:sz w:val="20"/>
          <w:szCs w:val="22"/>
          <w:lang w:eastAsia="es-MX"/>
        </w:rPr>
      </w:pPr>
    </w:p>
    <w:p w14:paraId="4A0B36DF" w14:textId="77777777" w:rsidR="00074FE7" w:rsidRPr="00C371F1" w:rsidRDefault="00074FE7" w:rsidP="00074FE7">
      <w:pPr>
        <w:jc w:val="both"/>
        <w:rPr>
          <w:rFonts w:ascii="ITC Avant Garde" w:hAnsi="ITC Avant Garde"/>
          <w:color w:val="000000"/>
          <w:sz w:val="22"/>
          <w:szCs w:val="22"/>
          <w:lang w:eastAsia="es-MX"/>
        </w:rPr>
      </w:pPr>
      <w:r w:rsidRPr="00C371F1">
        <w:rPr>
          <w:rFonts w:ascii="ITC Avant Garde" w:hAnsi="ITC Avant Garde"/>
          <w:b/>
          <w:bCs/>
          <w:color w:val="000000"/>
          <w:sz w:val="22"/>
          <w:szCs w:val="22"/>
          <w:lang w:eastAsia="es-MX"/>
        </w:rPr>
        <w:t xml:space="preserve">Sexto.- Cobro sobre el pago de derechos por diversos trámites ante la entrada en vigor de la Ley Federal de Derechos vigente para 2016. </w:t>
      </w:r>
      <w:r w:rsidRPr="00C371F1">
        <w:rPr>
          <w:rFonts w:ascii="ITC Avant Garde" w:hAnsi="ITC Avant Garde"/>
          <w:color w:val="000000"/>
          <w:sz w:val="22"/>
          <w:szCs w:val="22"/>
          <w:lang w:eastAsia="es-MX"/>
        </w:rPr>
        <w:t>El pasado 18 de noviembre de 2015 se publicó en el Diario Oficial de la Federación el “</w:t>
      </w:r>
      <w:r w:rsidRPr="00C371F1">
        <w:rPr>
          <w:rFonts w:ascii="ITC Avant Garde" w:hAnsi="ITC Avant Garde"/>
          <w:i/>
          <w:iCs/>
          <w:color w:val="000000"/>
          <w:sz w:val="22"/>
          <w:szCs w:val="22"/>
          <w:lang w:eastAsia="es-MX"/>
        </w:rPr>
        <w:t>Decreto por el que se reforman, adicionan y derogan diversas disposiciones de la Ley Federal de Derechos</w:t>
      </w:r>
      <w:r w:rsidRPr="00C371F1">
        <w:rPr>
          <w:rFonts w:ascii="ITC Avant Garde" w:hAnsi="ITC Avant Garde"/>
          <w:color w:val="000000"/>
          <w:sz w:val="22"/>
          <w:szCs w:val="22"/>
          <w:lang w:eastAsia="es-MX"/>
        </w:rPr>
        <w:t xml:space="preserve">”, mismo que entró en vigor el 1° de enero de 2016. Por virtud de este decreto se derogó, entre otros rubros, la Sección Primera del Capítulo VIII del Título I denominada “Servicios de Telecomunicaciones” con los artículos 91, 93, 94, 94-A, 95, 96, 97, 98, 99, 100, 101, 102 y 105 de la Ley Federal de Derechos. A la vez, ese mismo decreto adicionó, entre otros aspectos, el Capítulo IX del Título I denominado “Del Instituto Federal de Telecomunicaciones” que comprende los artículos 173, 173-A, 173-B, 174, 174-A, 174-B, 174-C, 174-D, 174-E, 174-F, 174-G, 174-H, 174-I, 174-J, 174-K, 174-L y 174-M. </w:t>
      </w:r>
    </w:p>
    <w:p w14:paraId="2B44F0B7" w14:textId="77777777" w:rsidR="00074FE7" w:rsidRPr="00C371F1" w:rsidRDefault="00074FE7" w:rsidP="00074FE7">
      <w:pPr>
        <w:jc w:val="both"/>
        <w:rPr>
          <w:rFonts w:ascii="ITC Avant Garde" w:hAnsi="ITC Avant Garde"/>
          <w:color w:val="000000"/>
          <w:sz w:val="22"/>
          <w:szCs w:val="22"/>
          <w:lang w:eastAsia="es-MX"/>
        </w:rPr>
      </w:pPr>
    </w:p>
    <w:p w14:paraId="0ED35EF2" w14:textId="77777777" w:rsidR="00074FE7" w:rsidRPr="00C371F1" w:rsidRDefault="00074FE7" w:rsidP="00074FE7">
      <w:pPr>
        <w:jc w:val="both"/>
        <w:rPr>
          <w:rFonts w:ascii="ITC Avant Garde" w:hAnsi="ITC Avant Garde"/>
          <w:color w:val="000000"/>
          <w:sz w:val="22"/>
          <w:szCs w:val="22"/>
          <w:lang w:eastAsia="es-MX"/>
        </w:rPr>
      </w:pPr>
      <w:r w:rsidRPr="00C371F1">
        <w:rPr>
          <w:rFonts w:ascii="ITC Avant Garde" w:hAnsi="ITC Avant Garde"/>
          <w:color w:val="000000"/>
          <w:sz w:val="22"/>
          <w:szCs w:val="22"/>
          <w:lang w:eastAsia="es-MX"/>
        </w:rPr>
        <w:lastRenderedPageBreak/>
        <w:t>Derivado de lo anterior, y en atención a lo establecido por el artículo 6o. del Código Fiscal de la Federación, se debe tener en cuenta que el hecho generador de los derechos derivados de la autorización de prórroga se actualizan al momento de la emisión y notificación de la presente resolución y que los artículos 93 y 94 de la Ley Federal de Derechos, al haber sido derogados, no pueden ser aplicados a los trámites de prórrogas de títulos de concesiones para el uso, aprovechamiento o explotación de bandas de frecuencias del espectro radioeléctrico, así como para la instalación, operación o explotación de redes públicas de telecomunicaciones.</w:t>
      </w:r>
    </w:p>
    <w:p w14:paraId="5DEE21CF" w14:textId="77777777" w:rsidR="00074FE7" w:rsidRPr="00C371F1" w:rsidRDefault="00074FE7" w:rsidP="00074FE7">
      <w:pPr>
        <w:jc w:val="both"/>
        <w:rPr>
          <w:rFonts w:ascii="ITC Avant Garde" w:hAnsi="ITC Avant Garde"/>
          <w:color w:val="000000"/>
          <w:sz w:val="22"/>
          <w:szCs w:val="22"/>
          <w:lang w:eastAsia="es-MX"/>
        </w:rPr>
      </w:pPr>
    </w:p>
    <w:p w14:paraId="1393EF5F" w14:textId="77777777" w:rsidR="00074FE7" w:rsidRPr="00C371F1" w:rsidRDefault="00074FE7" w:rsidP="00074FE7">
      <w:pPr>
        <w:jc w:val="both"/>
        <w:rPr>
          <w:rFonts w:ascii="ITC Avant Garde" w:hAnsi="ITC Avant Garde"/>
          <w:color w:val="000000"/>
          <w:sz w:val="22"/>
          <w:szCs w:val="22"/>
          <w:lang w:eastAsia="es-MX"/>
        </w:rPr>
      </w:pPr>
      <w:r w:rsidRPr="00C371F1">
        <w:rPr>
          <w:rFonts w:ascii="ITC Avant Garde" w:hAnsi="ITC Avant Garde"/>
          <w:color w:val="000000"/>
          <w:sz w:val="22"/>
          <w:szCs w:val="22"/>
          <w:lang w:eastAsia="es-MX"/>
        </w:rPr>
        <w:t>En este sentido, la Ley Federal de Derechos vigente a partir del 1º de enero de 2016 estableció en su artículo 173 un nuevo sistema de cobro de derechos para los trámites relativos a las prórrogas de concesiones en materia de telecomunicaciones o radiodifusión que hagan uso del espectro radioeléctrico, señalando que en un único cobro va integrado el estudio, y en su caso la autorización de la misma, situación distinta a la prevista en la Ley Federal de Derechos vigente hasta 2015, que establecía de manera diferenciada los cobros para el estudio y, en su caso, autorización.</w:t>
      </w:r>
    </w:p>
    <w:p w14:paraId="2D52DBF1" w14:textId="77777777" w:rsidR="00074FE7" w:rsidRPr="00C371F1" w:rsidRDefault="00074FE7" w:rsidP="00074FE7">
      <w:pPr>
        <w:jc w:val="both"/>
        <w:rPr>
          <w:rFonts w:ascii="ITC Avant Garde" w:hAnsi="ITC Avant Garde"/>
          <w:color w:val="000000"/>
          <w:sz w:val="22"/>
          <w:szCs w:val="22"/>
          <w:lang w:eastAsia="es-MX"/>
        </w:rPr>
      </w:pPr>
    </w:p>
    <w:p w14:paraId="5ECC6A84" w14:textId="77777777" w:rsidR="00074FE7" w:rsidRDefault="00074FE7" w:rsidP="00074FE7">
      <w:pPr>
        <w:jc w:val="both"/>
        <w:rPr>
          <w:rFonts w:ascii="ITC Avant Garde" w:hAnsi="ITC Avant Garde"/>
          <w:color w:val="000000"/>
          <w:sz w:val="22"/>
          <w:szCs w:val="22"/>
          <w:lang w:eastAsia="es-MX"/>
        </w:rPr>
      </w:pPr>
      <w:r w:rsidRPr="00C371F1">
        <w:rPr>
          <w:rFonts w:ascii="ITC Avant Garde" w:hAnsi="ITC Avant Garde"/>
          <w:color w:val="000000"/>
          <w:sz w:val="22"/>
          <w:szCs w:val="22"/>
          <w:lang w:eastAsia="es-MX"/>
        </w:rPr>
        <w:t>Al momento de iniciar el trámite que nos ocupa, únicamente se presentó el pago por el estudio del mismo. Sin embargo, si bien ahora procedería realizar el cobro por la autorización correspondiente, este Instituto se encuentra imposibilitado para diferenciar el cobro que debiera corresponder a la autorización de la prórroga de mérito, toda vez que como ya quedó señalado en el párrafo que antecede, actualmente se prevé un único pago por el estudio y en su caso la autorización respectiva. Finalmente, tratándose de disposiciones de carácter fiscal, se debe atender al principio de exacta aplicación de las mismas, por lo que no procede aplicar el cobro por la autorización de la prórroga que nos ocupa, toda vez que no puede ser diferenciado.</w:t>
      </w:r>
    </w:p>
    <w:p w14:paraId="56EF4F06" w14:textId="77777777" w:rsidR="00D42A38" w:rsidRPr="00C371F1" w:rsidRDefault="00D42A38" w:rsidP="00074FE7">
      <w:pPr>
        <w:jc w:val="both"/>
        <w:rPr>
          <w:rFonts w:ascii="ITC Avant Garde" w:hAnsi="ITC Avant Garde"/>
          <w:color w:val="000000"/>
          <w:sz w:val="22"/>
          <w:szCs w:val="22"/>
          <w:lang w:eastAsia="es-MX"/>
        </w:rPr>
      </w:pPr>
    </w:p>
    <w:p w14:paraId="3DEC0610" w14:textId="77777777" w:rsidR="00074FE7" w:rsidRPr="00C371F1" w:rsidRDefault="00074FE7" w:rsidP="00074FE7">
      <w:pPr>
        <w:jc w:val="both"/>
        <w:rPr>
          <w:rFonts w:ascii="ITC Avant Garde" w:hAnsi="ITC Avant Garde"/>
          <w:color w:val="000000"/>
          <w:sz w:val="22"/>
          <w:szCs w:val="22"/>
          <w:lang w:eastAsia="es-MX"/>
        </w:rPr>
      </w:pPr>
      <w:r w:rsidRPr="00C371F1">
        <w:rPr>
          <w:rFonts w:ascii="ITC Avant Garde" w:hAnsi="ITC Avant Garde"/>
          <w:color w:val="000000"/>
          <w:sz w:val="22"/>
          <w:szCs w:val="22"/>
          <w:lang w:eastAsia="es-MX"/>
        </w:rPr>
        <w:t>Finalmente, la Ley Federal de Derechos señala en el actual artículo 173 penúltimo párrafo, que cuando la explotación de los servicios objeto de la concesión de bandas de frecuencias a las que se refieren los apartado A, B, fracciones I y II y C, requiera el otorgamiento de un título de concesión única, en términos del artículo 75 de la Ley Federal de Telecomunicaciones y Radiodifusión, el pago de derechos correspondiente al de bandas de frecuencias, comprenderá la expedición de la concesión única respectiva.</w:t>
      </w:r>
    </w:p>
    <w:p w14:paraId="22B17020" w14:textId="77777777" w:rsidR="00074FE7" w:rsidRPr="00D42A38" w:rsidRDefault="00074FE7" w:rsidP="00074FE7">
      <w:pPr>
        <w:jc w:val="both"/>
        <w:rPr>
          <w:rFonts w:ascii="ITC Avant Garde" w:hAnsi="ITC Avant Garde"/>
          <w:color w:val="000000"/>
          <w:sz w:val="20"/>
          <w:szCs w:val="22"/>
          <w:lang w:eastAsia="es-MX"/>
        </w:rPr>
      </w:pPr>
    </w:p>
    <w:p w14:paraId="0C274D13" w14:textId="77777777" w:rsidR="00074FE7" w:rsidRPr="00C371F1" w:rsidRDefault="00074FE7" w:rsidP="00074FE7">
      <w:pPr>
        <w:jc w:val="both"/>
        <w:rPr>
          <w:rFonts w:ascii="ITC Avant Garde" w:hAnsi="ITC Avant Garde"/>
          <w:color w:val="000000"/>
          <w:sz w:val="22"/>
          <w:szCs w:val="22"/>
          <w:lang w:eastAsia="es-MX"/>
        </w:rPr>
      </w:pPr>
      <w:r w:rsidRPr="00C371F1">
        <w:rPr>
          <w:rFonts w:ascii="ITC Avant Garde" w:hAnsi="ITC Avant Garde"/>
          <w:color w:val="000000"/>
          <w:sz w:val="22"/>
          <w:szCs w:val="22"/>
          <w:lang w:eastAsia="es-MX"/>
        </w:rPr>
        <w:t>En ese sentido, y considerando que ya no se otorgaría una concesión de red pública de telecomunicaciones, sino una concesión única para uso comercial, dado que para el caso que nos ocupa se actualiza lo señalado en el párrafo que antecede, tampoco se realizará el cobro por el otorg</w:t>
      </w:r>
      <w:r>
        <w:rPr>
          <w:rFonts w:ascii="ITC Avant Garde" w:hAnsi="ITC Avant Garde"/>
          <w:color w:val="000000"/>
          <w:sz w:val="22"/>
          <w:szCs w:val="22"/>
          <w:lang w:eastAsia="es-MX"/>
        </w:rPr>
        <w:t>amiento de la concesión única.</w:t>
      </w:r>
    </w:p>
    <w:p w14:paraId="04B6A375" w14:textId="77777777" w:rsidR="00074FE7" w:rsidRPr="00D42A38" w:rsidRDefault="00074FE7" w:rsidP="00C37EAB">
      <w:pPr>
        <w:jc w:val="both"/>
        <w:rPr>
          <w:rFonts w:ascii="ITC Avant Garde" w:eastAsia="Calibri" w:hAnsi="ITC Avant Garde"/>
          <w:b/>
          <w:bCs/>
          <w:color w:val="000000"/>
          <w:sz w:val="20"/>
          <w:szCs w:val="22"/>
          <w:lang w:eastAsia="es-MX"/>
        </w:rPr>
      </w:pPr>
    </w:p>
    <w:p w14:paraId="16F3338A" w14:textId="77777777" w:rsidR="004A5BE4" w:rsidRPr="00D42A38" w:rsidRDefault="004A5BE4" w:rsidP="00B53D4B">
      <w:pPr>
        <w:tabs>
          <w:tab w:val="num" w:pos="540"/>
        </w:tabs>
        <w:jc w:val="both"/>
        <w:rPr>
          <w:rFonts w:ascii="ITC Avant Garde" w:eastAsia="Calibri" w:hAnsi="ITC Avant Garde"/>
          <w:b/>
          <w:bCs/>
          <w:color w:val="000000"/>
          <w:sz w:val="20"/>
          <w:szCs w:val="22"/>
          <w:lang w:eastAsia="es-MX"/>
        </w:rPr>
      </w:pPr>
    </w:p>
    <w:p w14:paraId="0CB20603" w14:textId="4E65DE24" w:rsidR="00AE5725" w:rsidRDefault="00AE5725" w:rsidP="00AE5725">
      <w:pPr>
        <w:jc w:val="both"/>
        <w:rPr>
          <w:rFonts w:ascii="ITC Avant Garde" w:hAnsi="ITC Avant Garde"/>
          <w:bCs/>
          <w:color w:val="000000"/>
          <w:sz w:val="22"/>
          <w:szCs w:val="22"/>
          <w:lang w:val="es-ES" w:eastAsia="es-MX"/>
        </w:rPr>
      </w:pPr>
      <w:r>
        <w:rPr>
          <w:rFonts w:ascii="ITC Avant Garde" w:eastAsia="Calibri" w:hAnsi="ITC Avant Garde"/>
          <w:b/>
          <w:bCs/>
          <w:color w:val="000000"/>
          <w:sz w:val="22"/>
          <w:szCs w:val="22"/>
          <w:lang w:eastAsia="es-MX"/>
        </w:rPr>
        <w:t>S</w:t>
      </w:r>
      <w:r w:rsidR="00074FE7">
        <w:rPr>
          <w:rFonts w:ascii="ITC Avant Garde" w:eastAsia="Calibri" w:hAnsi="ITC Avant Garde"/>
          <w:b/>
          <w:bCs/>
          <w:color w:val="000000"/>
          <w:sz w:val="22"/>
          <w:szCs w:val="22"/>
          <w:lang w:eastAsia="es-MX"/>
        </w:rPr>
        <w:t>éptim</w:t>
      </w:r>
      <w:r>
        <w:rPr>
          <w:rFonts w:ascii="ITC Avant Garde" w:eastAsia="Calibri" w:hAnsi="ITC Avant Garde"/>
          <w:b/>
          <w:bCs/>
          <w:color w:val="000000"/>
          <w:sz w:val="22"/>
          <w:szCs w:val="22"/>
          <w:lang w:eastAsia="es-MX"/>
        </w:rPr>
        <w:t xml:space="preserve">o.- Política de Planeación del Espectro Radioeléctrico para las bandas de frecuencias de </w:t>
      </w:r>
      <w:r w:rsidRPr="00CF5A20">
        <w:rPr>
          <w:rFonts w:ascii="ITC Avant Garde" w:eastAsia="Calibri" w:hAnsi="ITC Avant Garde"/>
          <w:b/>
          <w:bCs/>
          <w:color w:val="000000"/>
          <w:sz w:val="22"/>
          <w:szCs w:val="22"/>
          <w:lang w:eastAsia="es-MX"/>
        </w:rPr>
        <w:t xml:space="preserve">806-824/851-869 </w:t>
      </w:r>
      <w:r>
        <w:rPr>
          <w:rFonts w:ascii="ITC Avant Garde" w:eastAsia="Calibri" w:hAnsi="ITC Avant Garde"/>
          <w:b/>
          <w:bCs/>
          <w:color w:val="000000"/>
          <w:sz w:val="22"/>
          <w:szCs w:val="22"/>
          <w:lang w:eastAsia="es-MX"/>
        </w:rPr>
        <w:t>MHz y 410-430 MHz</w:t>
      </w:r>
      <w:r w:rsidRPr="00675A9E">
        <w:rPr>
          <w:rFonts w:ascii="ITC Avant Garde" w:hAnsi="ITC Avant Garde"/>
          <w:b/>
          <w:bCs/>
          <w:color w:val="000000"/>
          <w:sz w:val="22"/>
          <w:szCs w:val="22"/>
          <w:lang w:val="es-ES" w:eastAsia="es-MX"/>
        </w:rPr>
        <w:t>.</w:t>
      </w:r>
      <w:r w:rsidRPr="00675A9E">
        <w:rPr>
          <w:rFonts w:ascii="ITC Avant Garde" w:hAnsi="ITC Avant Garde"/>
          <w:bCs/>
          <w:color w:val="000000"/>
          <w:sz w:val="22"/>
          <w:szCs w:val="22"/>
          <w:lang w:val="es-ES" w:eastAsia="es-MX"/>
        </w:rPr>
        <w:t xml:space="preserve"> </w:t>
      </w:r>
      <w:r>
        <w:rPr>
          <w:rFonts w:ascii="ITC Avant Garde" w:hAnsi="ITC Avant Garde"/>
          <w:bCs/>
          <w:color w:val="000000"/>
          <w:sz w:val="22"/>
          <w:szCs w:val="22"/>
          <w:lang w:val="es-ES" w:eastAsia="es-MX"/>
        </w:rPr>
        <w:t xml:space="preserve">El espectro radioeléctrico constituye un recurso escaso y de gran valor estratégico en el contexto económico y tecnológico actual a nivel internacional, de tal forma que es primordial garantizar el uso eficiente de dicho recurso. Para tal efecto, el 20 de octubre de 2015 se publicó en el </w:t>
      </w:r>
      <w:r w:rsidRPr="009F74AC">
        <w:rPr>
          <w:rFonts w:ascii="ITC Avant Garde" w:hAnsi="ITC Avant Garde"/>
          <w:bCs/>
          <w:color w:val="000000"/>
          <w:sz w:val="22"/>
          <w:szCs w:val="22"/>
          <w:lang w:val="es-ES" w:eastAsia="es-MX"/>
        </w:rPr>
        <w:t>Diario Oficial de la Federación el Cuadro Nacional de Atribución de Frecuencias</w:t>
      </w:r>
      <w:r>
        <w:rPr>
          <w:rFonts w:ascii="ITC Avant Garde" w:hAnsi="ITC Avant Garde"/>
          <w:bCs/>
          <w:color w:val="000000"/>
          <w:sz w:val="22"/>
          <w:szCs w:val="22"/>
          <w:lang w:val="es-ES" w:eastAsia="es-MX"/>
        </w:rPr>
        <w:t xml:space="preserve">, </w:t>
      </w:r>
      <w:r w:rsidRPr="009F74AC">
        <w:rPr>
          <w:rFonts w:ascii="ITC Avant Garde" w:hAnsi="ITC Avant Garde"/>
          <w:bCs/>
          <w:color w:val="000000"/>
          <w:sz w:val="22"/>
          <w:szCs w:val="22"/>
          <w:lang w:val="es-ES" w:eastAsia="es-MX"/>
        </w:rPr>
        <w:t xml:space="preserve">disposición administrativa que </w:t>
      </w:r>
      <w:r>
        <w:rPr>
          <w:rFonts w:ascii="ITC Avant Garde" w:hAnsi="ITC Avant Garde"/>
          <w:bCs/>
          <w:color w:val="000000"/>
          <w:sz w:val="22"/>
          <w:szCs w:val="22"/>
          <w:lang w:val="es-ES" w:eastAsia="es-MX"/>
        </w:rPr>
        <w:t xml:space="preserve">indica el servicio o </w:t>
      </w:r>
      <w:r>
        <w:rPr>
          <w:rFonts w:ascii="ITC Avant Garde" w:hAnsi="ITC Avant Garde"/>
          <w:bCs/>
          <w:color w:val="000000"/>
          <w:sz w:val="22"/>
          <w:szCs w:val="22"/>
          <w:lang w:val="es-ES" w:eastAsia="es-MX"/>
        </w:rPr>
        <w:lastRenderedPageBreak/>
        <w:t>servicios de radiocomunicaciones a los que se encuentra atribuida una determinada banda de frecuencias del espectro radioeléctrico, así como información adicional sobre el uso y planificación de determinadas bandas de frecuencias</w:t>
      </w:r>
      <w:r w:rsidRPr="009F74AC">
        <w:rPr>
          <w:rFonts w:ascii="ITC Avant Garde" w:hAnsi="ITC Avant Garde"/>
          <w:bCs/>
          <w:color w:val="000000"/>
          <w:sz w:val="22"/>
          <w:szCs w:val="22"/>
          <w:lang w:val="es-ES" w:eastAsia="es-MX"/>
        </w:rPr>
        <w:t xml:space="preserve">. Con respecto a </w:t>
      </w:r>
      <w:r>
        <w:rPr>
          <w:rFonts w:ascii="ITC Avant Garde" w:hAnsi="ITC Avant Garde"/>
          <w:bCs/>
          <w:color w:val="000000"/>
          <w:sz w:val="22"/>
          <w:szCs w:val="22"/>
          <w:lang w:val="es-ES" w:eastAsia="es-MX"/>
        </w:rPr>
        <w:t>la</w:t>
      </w:r>
      <w:r w:rsidRPr="009F74AC">
        <w:rPr>
          <w:rFonts w:ascii="ITC Avant Garde" w:hAnsi="ITC Avant Garde"/>
          <w:bCs/>
          <w:color w:val="000000"/>
          <w:sz w:val="22"/>
          <w:szCs w:val="22"/>
          <w:lang w:val="es-ES" w:eastAsia="es-MX"/>
        </w:rPr>
        <w:t xml:space="preserve"> banda de frecuencias 806-824/851-869 MHz </w:t>
      </w:r>
      <w:r>
        <w:rPr>
          <w:rFonts w:ascii="ITC Avant Garde" w:hAnsi="ITC Avant Garde"/>
          <w:bCs/>
          <w:color w:val="000000"/>
          <w:sz w:val="22"/>
          <w:szCs w:val="22"/>
          <w:lang w:val="es-ES" w:eastAsia="es-MX"/>
        </w:rPr>
        <w:t>destaca la</w:t>
      </w:r>
      <w:r w:rsidRPr="009F74AC">
        <w:rPr>
          <w:rFonts w:ascii="ITC Avant Garde" w:hAnsi="ITC Avant Garde"/>
          <w:bCs/>
          <w:color w:val="000000"/>
          <w:sz w:val="22"/>
          <w:szCs w:val="22"/>
          <w:lang w:val="es-ES" w:eastAsia="es-MX"/>
        </w:rPr>
        <w:t xml:space="preserve"> siguiente</w:t>
      </w:r>
      <w:r>
        <w:rPr>
          <w:rFonts w:ascii="ITC Avant Garde" w:hAnsi="ITC Avant Garde"/>
          <w:bCs/>
          <w:color w:val="000000"/>
          <w:sz w:val="22"/>
          <w:szCs w:val="22"/>
          <w:lang w:val="es-ES" w:eastAsia="es-MX"/>
        </w:rPr>
        <w:t xml:space="preserve"> nota</w:t>
      </w:r>
      <w:r w:rsidRPr="009F74AC">
        <w:rPr>
          <w:rFonts w:ascii="ITC Avant Garde" w:hAnsi="ITC Avant Garde"/>
          <w:bCs/>
          <w:color w:val="000000"/>
          <w:sz w:val="22"/>
          <w:szCs w:val="22"/>
          <w:lang w:val="es-ES" w:eastAsia="es-MX"/>
        </w:rPr>
        <w:t xml:space="preserve"> </w:t>
      </w:r>
      <w:r>
        <w:rPr>
          <w:rFonts w:ascii="ITC Avant Garde" w:hAnsi="ITC Avant Garde"/>
          <w:bCs/>
          <w:color w:val="000000"/>
          <w:sz w:val="22"/>
          <w:szCs w:val="22"/>
          <w:lang w:val="es-ES" w:eastAsia="es-MX"/>
        </w:rPr>
        <w:t>nacional</w:t>
      </w:r>
      <w:r w:rsidRPr="009F74AC">
        <w:rPr>
          <w:rFonts w:ascii="ITC Avant Garde" w:hAnsi="ITC Avant Garde"/>
          <w:bCs/>
          <w:color w:val="000000"/>
          <w:sz w:val="22"/>
          <w:szCs w:val="22"/>
          <w:lang w:val="es-ES" w:eastAsia="es-MX"/>
        </w:rPr>
        <w:t>:</w:t>
      </w:r>
    </w:p>
    <w:p w14:paraId="249D45F5" w14:textId="77777777" w:rsidR="00AE5725" w:rsidRPr="007C0BC7" w:rsidRDefault="00AE5725" w:rsidP="00AE5725">
      <w:pPr>
        <w:jc w:val="both"/>
        <w:rPr>
          <w:rFonts w:ascii="ITC Avant Garde" w:hAnsi="ITC Avant Garde"/>
          <w:bCs/>
          <w:color w:val="000000"/>
          <w:sz w:val="16"/>
          <w:szCs w:val="22"/>
          <w:lang w:val="es-ES" w:eastAsia="es-MX"/>
        </w:rPr>
      </w:pPr>
    </w:p>
    <w:p w14:paraId="40918991" w14:textId="77777777" w:rsidR="00AE5725" w:rsidRPr="00E431D5" w:rsidRDefault="00AE5725" w:rsidP="00AE5725">
      <w:pPr>
        <w:ind w:left="567" w:right="474"/>
        <w:jc w:val="both"/>
        <w:rPr>
          <w:rFonts w:ascii="ITC Avant Garde" w:hAnsi="ITC Avant Garde"/>
          <w:bCs/>
          <w:i/>
          <w:color w:val="000000"/>
          <w:sz w:val="18"/>
          <w:szCs w:val="22"/>
          <w:lang w:val="es-ES" w:eastAsia="es-MX"/>
        </w:rPr>
      </w:pPr>
      <w:r w:rsidRPr="00E431D5">
        <w:rPr>
          <w:rFonts w:ascii="ITC Avant Garde" w:hAnsi="ITC Avant Garde"/>
          <w:bCs/>
          <w:i/>
          <w:color w:val="000000"/>
          <w:sz w:val="18"/>
          <w:szCs w:val="22"/>
          <w:lang w:val="es-ES" w:eastAsia="es-MX"/>
        </w:rPr>
        <w:t>“</w:t>
      </w:r>
      <w:r w:rsidRPr="00E431D5">
        <w:rPr>
          <w:rFonts w:ascii="ITC Avant Garde" w:hAnsi="ITC Avant Garde"/>
          <w:b/>
          <w:bCs/>
          <w:i/>
          <w:color w:val="000000"/>
          <w:sz w:val="18"/>
          <w:szCs w:val="22"/>
          <w:lang w:val="es-ES" w:eastAsia="es-MX"/>
        </w:rPr>
        <w:t>MX150</w:t>
      </w:r>
      <w:r w:rsidRPr="00E431D5">
        <w:rPr>
          <w:rFonts w:ascii="ITC Avant Garde" w:hAnsi="ITC Avant Garde"/>
          <w:bCs/>
          <w:i/>
          <w:color w:val="000000"/>
          <w:sz w:val="18"/>
          <w:szCs w:val="22"/>
          <w:lang w:val="es-ES" w:eastAsia="es-MX"/>
        </w:rPr>
        <w:t xml:space="preserve"> La banda de frecuencias 806 – 824/851 – 869 MHz se encuentra bajo un proceso de revisión para su posible reordenamiento. Dicho reordenamiento contempla la determinación del segmento 806 – 814/851 – 859 MHz para la operación de sistemas de radio </w:t>
      </w:r>
      <w:proofErr w:type="spellStart"/>
      <w:r w:rsidRPr="00E431D5">
        <w:rPr>
          <w:rFonts w:ascii="ITC Avant Garde" w:hAnsi="ITC Avant Garde"/>
          <w:bCs/>
          <w:i/>
          <w:color w:val="000000"/>
          <w:sz w:val="18"/>
          <w:szCs w:val="22"/>
          <w:lang w:val="es-ES" w:eastAsia="es-MX"/>
        </w:rPr>
        <w:t>troncalizado</w:t>
      </w:r>
      <w:proofErr w:type="spellEnd"/>
      <w:r w:rsidRPr="00E431D5">
        <w:rPr>
          <w:rFonts w:ascii="ITC Avant Garde" w:hAnsi="ITC Avant Garde"/>
          <w:bCs/>
          <w:i/>
          <w:color w:val="000000"/>
          <w:sz w:val="18"/>
          <w:szCs w:val="22"/>
          <w:lang w:val="es-ES" w:eastAsia="es-MX"/>
        </w:rPr>
        <w:t xml:space="preserve"> de uso público para aplicaciones de misión crítica, así como la determinación del segmento 814 – 824/859 – 869 MHz para la provisión de servicios móviles de banda ancha</w:t>
      </w:r>
      <w:r>
        <w:rPr>
          <w:rFonts w:ascii="ITC Avant Garde" w:hAnsi="ITC Avant Garde"/>
          <w:bCs/>
          <w:i/>
          <w:color w:val="000000"/>
          <w:sz w:val="18"/>
          <w:szCs w:val="22"/>
          <w:lang w:val="es-ES" w:eastAsia="es-MX"/>
        </w:rPr>
        <w:t xml:space="preserve"> [</w:t>
      </w:r>
      <w:r w:rsidRPr="00E431D5">
        <w:rPr>
          <w:rFonts w:ascii="ITC Avant Garde" w:hAnsi="ITC Avant Garde"/>
          <w:bCs/>
          <w:i/>
          <w:color w:val="000000"/>
          <w:sz w:val="18"/>
          <w:szCs w:val="22"/>
          <w:lang w:val="es-ES" w:eastAsia="es-MX"/>
        </w:rPr>
        <w:t>…</w:t>
      </w:r>
      <w:r>
        <w:rPr>
          <w:rFonts w:ascii="ITC Avant Garde" w:hAnsi="ITC Avant Garde"/>
          <w:bCs/>
          <w:i/>
          <w:color w:val="000000"/>
          <w:sz w:val="18"/>
          <w:szCs w:val="22"/>
          <w:lang w:val="es-ES" w:eastAsia="es-MX"/>
        </w:rPr>
        <w:t>]</w:t>
      </w:r>
      <w:r w:rsidRPr="00E431D5">
        <w:rPr>
          <w:rFonts w:ascii="ITC Avant Garde" w:hAnsi="ITC Avant Garde"/>
          <w:bCs/>
          <w:i/>
          <w:color w:val="000000"/>
          <w:sz w:val="18"/>
          <w:szCs w:val="22"/>
          <w:lang w:val="es-ES" w:eastAsia="es-MX"/>
        </w:rPr>
        <w:t>”</w:t>
      </w:r>
    </w:p>
    <w:p w14:paraId="2A57570B" w14:textId="77777777" w:rsidR="00AE5725" w:rsidRPr="007C0BC7" w:rsidRDefault="00AE5725" w:rsidP="00AE5725">
      <w:pPr>
        <w:jc w:val="both"/>
        <w:rPr>
          <w:rFonts w:ascii="ITC Avant Garde" w:hAnsi="ITC Avant Garde"/>
          <w:bCs/>
          <w:color w:val="000000"/>
          <w:sz w:val="16"/>
          <w:szCs w:val="22"/>
          <w:lang w:val="es-ES" w:eastAsia="es-MX"/>
        </w:rPr>
      </w:pPr>
    </w:p>
    <w:p w14:paraId="73B312E4" w14:textId="77777777" w:rsidR="00AE5725" w:rsidRDefault="00AE5725" w:rsidP="00AE5725">
      <w:pPr>
        <w:jc w:val="both"/>
        <w:rPr>
          <w:rFonts w:ascii="ITC Avant Garde" w:hAnsi="ITC Avant Garde"/>
          <w:bCs/>
          <w:color w:val="000000"/>
          <w:sz w:val="22"/>
          <w:szCs w:val="22"/>
          <w:lang w:val="es-ES" w:eastAsia="es-MX"/>
        </w:rPr>
      </w:pPr>
      <w:r>
        <w:rPr>
          <w:rFonts w:ascii="ITC Avant Garde" w:hAnsi="ITC Avant Garde"/>
          <w:bCs/>
          <w:color w:val="000000"/>
          <w:sz w:val="22"/>
          <w:szCs w:val="22"/>
          <w:lang w:val="es-ES" w:eastAsia="es-MX"/>
        </w:rPr>
        <w:t>De igual forma, en lo tocante a la banda de frecuencias 410-430 MHz, destaca la siguiente nota nacional:</w:t>
      </w:r>
    </w:p>
    <w:p w14:paraId="37E8A320" w14:textId="77777777" w:rsidR="00AE5725" w:rsidRPr="007C0BC7" w:rsidRDefault="00AE5725" w:rsidP="00AE5725">
      <w:pPr>
        <w:jc w:val="both"/>
        <w:rPr>
          <w:rFonts w:ascii="ITC Avant Garde" w:hAnsi="ITC Avant Garde"/>
          <w:bCs/>
          <w:color w:val="000000"/>
          <w:sz w:val="16"/>
          <w:szCs w:val="22"/>
          <w:lang w:val="es-ES" w:eastAsia="es-MX"/>
        </w:rPr>
      </w:pPr>
    </w:p>
    <w:p w14:paraId="72C6C47C" w14:textId="77777777" w:rsidR="00AE5725" w:rsidRPr="00E431D5" w:rsidRDefault="00AE5725" w:rsidP="00AE5725">
      <w:pPr>
        <w:ind w:left="567" w:right="474"/>
        <w:jc w:val="both"/>
        <w:rPr>
          <w:rFonts w:ascii="ITC Avant Garde" w:hAnsi="ITC Avant Garde"/>
          <w:bCs/>
          <w:i/>
          <w:color w:val="000000"/>
          <w:sz w:val="18"/>
          <w:szCs w:val="22"/>
          <w:lang w:val="es-ES" w:eastAsia="es-MX"/>
        </w:rPr>
      </w:pPr>
      <w:r>
        <w:rPr>
          <w:rFonts w:ascii="ITC Avant Garde" w:hAnsi="ITC Avant Garde"/>
          <w:bCs/>
          <w:i/>
          <w:color w:val="000000"/>
          <w:sz w:val="18"/>
          <w:szCs w:val="22"/>
          <w:lang w:val="es-ES" w:eastAsia="es-MX"/>
        </w:rPr>
        <w:t>“</w:t>
      </w:r>
      <w:r w:rsidRPr="00E431D5">
        <w:rPr>
          <w:rFonts w:ascii="ITC Avant Garde" w:hAnsi="ITC Avant Garde"/>
          <w:b/>
          <w:bCs/>
          <w:i/>
          <w:color w:val="000000"/>
          <w:sz w:val="18"/>
          <w:szCs w:val="22"/>
          <w:lang w:val="es-ES" w:eastAsia="es-MX"/>
        </w:rPr>
        <w:t>MX134</w:t>
      </w:r>
      <w:r w:rsidRPr="00E431D5">
        <w:rPr>
          <w:rFonts w:ascii="ITC Avant Garde" w:hAnsi="ITC Avant Garde"/>
          <w:bCs/>
          <w:i/>
          <w:color w:val="000000"/>
          <w:sz w:val="18"/>
          <w:szCs w:val="22"/>
          <w:lang w:val="es-ES" w:eastAsia="es-MX"/>
        </w:rPr>
        <w:t xml:space="preserve"> La banda 410 – 430 MHz se tiene prevista para la provisión exclusiva del servicio móvil de radiocomunicación especializado de flotillas. La sub-banda 410 – 415/420 – 425 MHz se destina a operaciones de uso comercial, mientras que la sub-banda 415 – 420/425 – 430 MHz se destina para las operaciones de uso público.</w:t>
      </w:r>
      <w:r>
        <w:rPr>
          <w:rFonts w:ascii="ITC Avant Garde" w:hAnsi="ITC Avant Garde"/>
          <w:bCs/>
          <w:i/>
          <w:color w:val="000000"/>
          <w:sz w:val="18"/>
          <w:szCs w:val="22"/>
          <w:lang w:val="es-ES" w:eastAsia="es-MX"/>
        </w:rPr>
        <w:t>”</w:t>
      </w:r>
    </w:p>
    <w:p w14:paraId="4E6CBC49" w14:textId="77777777" w:rsidR="00AE5725" w:rsidRPr="007C0BC7" w:rsidRDefault="00AE5725" w:rsidP="00AE5725">
      <w:pPr>
        <w:jc w:val="both"/>
        <w:rPr>
          <w:rFonts w:ascii="ITC Avant Garde" w:hAnsi="ITC Avant Garde"/>
          <w:bCs/>
          <w:color w:val="000000"/>
          <w:sz w:val="16"/>
          <w:szCs w:val="22"/>
          <w:lang w:val="es-ES" w:eastAsia="es-MX"/>
        </w:rPr>
      </w:pPr>
    </w:p>
    <w:p w14:paraId="3C802472" w14:textId="77777777" w:rsidR="00AE5725" w:rsidRPr="00E431D5" w:rsidRDefault="00AE5725" w:rsidP="00AE5725">
      <w:pPr>
        <w:autoSpaceDE w:val="0"/>
        <w:autoSpaceDN w:val="0"/>
        <w:adjustRightInd w:val="0"/>
        <w:jc w:val="both"/>
        <w:rPr>
          <w:rFonts w:ascii="ITC Avant Garde" w:hAnsi="ITC Avant Garde"/>
          <w:bCs/>
          <w:color w:val="000000"/>
          <w:sz w:val="22"/>
          <w:szCs w:val="22"/>
          <w:lang w:val="es-ES" w:eastAsia="es-MX"/>
        </w:rPr>
      </w:pPr>
      <w:r w:rsidRPr="00E431D5">
        <w:rPr>
          <w:rFonts w:ascii="ITC Avant Garde" w:hAnsi="ITC Avant Garde"/>
          <w:bCs/>
          <w:color w:val="000000"/>
          <w:sz w:val="22"/>
          <w:szCs w:val="22"/>
          <w:lang w:val="es-ES" w:eastAsia="es-MX"/>
        </w:rPr>
        <w:t>Por su parte, el Reglamento de Radiocomunicaciones de la Unión Internacional de Telecomunicaciones, instrumento administrativo que complementa y regula el uso de las telecomunicaciones y que es vinculante para nuestro país, como Estado Miembro de la Unión Internacional de Telecomunicaciones, señala en la Nota Internacional Relevante 5.</w:t>
      </w:r>
      <w:r>
        <w:rPr>
          <w:rFonts w:ascii="ITC Avant Garde" w:hAnsi="ITC Avant Garde"/>
          <w:bCs/>
          <w:color w:val="000000"/>
          <w:sz w:val="22"/>
          <w:szCs w:val="22"/>
          <w:lang w:val="es-ES" w:eastAsia="es-MX"/>
        </w:rPr>
        <w:t>317</w:t>
      </w:r>
      <w:r w:rsidRPr="00E431D5">
        <w:rPr>
          <w:rFonts w:ascii="ITC Avant Garde" w:hAnsi="ITC Avant Garde"/>
          <w:bCs/>
          <w:color w:val="000000"/>
          <w:sz w:val="22"/>
          <w:szCs w:val="22"/>
          <w:lang w:val="es-ES" w:eastAsia="es-MX"/>
        </w:rPr>
        <w:t>A lo siguiente:</w:t>
      </w:r>
    </w:p>
    <w:p w14:paraId="1B0300C8" w14:textId="77777777" w:rsidR="00AE5725" w:rsidRPr="007C0BC7" w:rsidRDefault="00AE5725" w:rsidP="00AE5725">
      <w:pPr>
        <w:jc w:val="both"/>
        <w:rPr>
          <w:rFonts w:ascii="ITC Avant Garde" w:hAnsi="ITC Avant Garde"/>
          <w:bCs/>
          <w:color w:val="000000"/>
          <w:sz w:val="16"/>
          <w:szCs w:val="22"/>
          <w:lang w:val="es-ES" w:eastAsia="es-MX"/>
        </w:rPr>
      </w:pPr>
    </w:p>
    <w:p w14:paraId="5D41CA8D" w14:textId="313BF777" w:rsidR="00AE5725" w:rsidRPr="000F0D8F" w:rsidRDefault="00AE5725" w:rsidP="00AE5725">
      <w:pPr>
        <w:ind w:left="567" w:right="474"/>
        <w:jc w:val="both"/>
        <w:rPr>
          <w:rFonts w:ascii="ITC Avant Garde" w:hAnsi="ITC Avant Garde"/>
          <w:bCs/>
          <w:i/>
          <w:color w:val="000000"/>
          <w:sz w:val="18"/>
          <w:szCs w:val="22"/>
          <w:lang w:val="es-ES" w:eastAsia="es-MX"/>
        </w:rPr>
      </w:pPr>
      <w:r>
        <w:rPr>
          <w:rFonts w:ascii="ITC Avant Garde" w:hAnsi="ITC Avant Garde"/>
          <w:bCs/>
          <w:i/>
          <w:color w:val="000000"/>
          <w:sz w:val="18"/>
          <w:szCs w:val="22"/>
          <w:lang w:val="es-ES" w:eastAsia="es-MX"/>
        </w:rPr>
        <w:t>“</w:t>
      </w:r>
      <w:r w:rsidRPr="000F0D8F">
        <w:rPr>
          <w:rFonts w:ascii="ITC Avant Garde" w:hAnsi="ITC Avant Garde"/>
          <w:b/>
          <w:bCs/>
          <w:i/>
          <w:color w:val="000000"/>
          <w:sz w:val="18"/>
          <w:szCs w:val="22"/>
          <w:lang w:val="es-ES" w:eastAsia="es-MX"/>
        </w:rPr>
        <w:t>5.317A</w:t>
      </w:r>
      <w:r w:rsidRPr="000F0D8F">
        <w:rPr>
          <w:rFonts w:ascii="ITC Avant Garde" w:hAnsi="ITC Avant Garde"/>
          <w:bCs/>
          <w:i/>
          <w:color w:val="000000"/>
          <w:sz w:val="18"/>
          <w:szCs w:val="22"/>
          <w:lang w:val="es-ES" w:eastAsia="es-MX"/>
        </w:rPr>
        <w:t xml:space="preserve"> Las partes de la banda 698-960 MHz en la Región 2 y de la banda 790-960 MHz en las Regiones 1 y 3 atribuidas al servicio móvil a titulo primario se han identificado para su utilización por las administraciones que deseen introducir las Telecomunicaciones Móviles Internacionales (IMT) </w:t>
      </w:r>
      <w:r w:rsidRPr="000F0D8F">
        <w:rPr>
          <w:rFonts w:ascii="ITC Avant Garde" w:hAnsi="ITC Avant Garde" w:hint="eastAsia"/>
          <w:bCs/>
          <w:i/>
          <w:color w:val="000000"/>
          <w:sz w:val="18"/>
          <w:szCs w:val="22"/>
          <w:lang w:val="es-ES" w:eastAsia="es-MX"/>
        </w:rPr>
        <w:t>–</w:t>
      </w:r>
      <w:r w:rsidRPr="000F0D8F">
        <w:rPr>
          <w:rFonts w:ascii="ITC Avant Garde" w:hAnsi="ITC Avant Garde"/>
          <w:bCs/>
          <w:i/>
          <w:color w:val="000000"/>
          <w:sz w:val="18"/>
          <w:szCs w:val="22"/>
          <w:lang w:val="es-ES" w:eastAsia="es-MX"/>
        </w:rPr>
        <w:t xml:space="preserve"> Véanse las Resoluciones </w:t>
      </w:r>
      <w:r w:rsidRPr="000F0D8F">
        <w:rPr>
          <w:rFonts w:ascii="ITC Avant Garde" w:hAnsi="ITC Avant Garde"/>
          <w:b/>
          <w:bCs/>
          <w:i/>
          <w:color w:val="000000"/>
          <w:sz w:val="18"/>
          <w:szCs w:val="22"/>
          <w:lang w:val="es-ES" w:eastAsia="es-MX"/>
        </w:rPr>
        <w:t>224 (Rev.CMR-12)</w:t>
      </w:r>
      <w:r w:rsidRPr="000F0D8F">
        <w:rPr>
          <w:rFonts w:ascii="ITC Avant Garde" w:hAnsi="ITC Avant Garde"/>
          <w:bCs/>
          <w:i/>
          <w:color w:val="000000"/>
          <w:sz w:val="18"/>
          <w:szCs w:val="22"/>
          <w:lang w:val="es-ES" w:eastAsia="es-MX"/>
        </w:rPr>
        <w:t xml:space="preserve"> y </w:t>
      </w:r>
      <w:r w:rsidRPr="000F0D8F">
        <w:rPr>
          <w:rFonts w:ascii="ITC Avant Garde" w:hAnsi="ITC Avant Garde"/>
          <w:b/>
          <w:bCs/>
          <w:i/>
          <w:color w:val="000000"/>
          <w:sz w:val="18"/>
          <w:szCs w:val="22"/>
          <w:lang w:val="es-ES" w:eastAsia="es-MX"/>
        </w:rPr>
        <w:t>749 (Rev.CMR-12)</w:t>
      </w:r>
      <w:r w:rsidR="00E101ED">
        <w:rPr>
          <w:rFonts w:ascii="ITC Avant Garde" w:hAnsi="ITC Avant Garde"/>
          <w:bCs/>
          <w:i/>
          <w:color w:val="000000"/>
          <w:sz w:val="18"/>
          <w:szCs w:val="22"/>
          <w:lang w:val="es-ES" w:eastAsia="es-MX"/>
        </w:rPr>
        <w:t>, segú</w:t>
      </w:r>
      <w:r w:rsidRPr="000F0D8F">
        <w:rPr>
          <w:rFonts w:ascii="ITC Avant Garde" w:hAnsi="ITC Avant Garde"/>
          <w:bCs/>
          <w:i/>
          <w:color w:val="000000"/>
          <w:sz w:val="18"/>
          <w:szCs w:val="22"/>
          <w:lang w:val="es-ES" w:eastAsia="es-MX"/>
        </w:rPr>
        <w:t>n proceda. La identificación de estas bandas no excluye que se utilicen para otras aplicaciones de los servicios a los que están atribuidas y no implica prioridad alguna en el Reglamento de Radiocomunicaciones. (CMR-12)</w:t>
      </w:r>
      <w:r>
        <w:rPr>
          <w:rFonts w:ascii="ITC Avant Garde" w:hAnsi="ITC Avant Garde"/>
          <w:bCs/>
          <w:i/>
          <w:color w:val="000000"/>
          <w:sz w:val="18"/>
          <w:szCs w:val="22"/>
          <w:lang w:val="es-ES" w:eastAsia="es-MX"/>
        </w:rPr>
        <w:t>”</w:t>
      </w:r>
    </w:p>
    <w:p w14:paraId="40047184" w14:textId="77777777" w:rsidR="00AE5725" w:rsidRPr="007C0BC7" w:rsidRDefault="00AE5725" w:rsidP="00AE5725">
      <w:pPr>
        <w:jc w:val="both"/>
        <w:rPr>
          <w:rFonts w:ascii="ITC Avant Garde" w:hAnsi="ITC Avant Garde"/>
          <w:bCs/>
          <w:color w:val="000000"/>
          <w:sz w:val="16"/>
          <w:szCs w:val="22"/>
          <w:lang w:val="es-ES" w:eastAsia="es-MX"/>
        </w:rPr>
      </w:pPr>
    </w:p>
    <w:p w14:paraId="0583BD2F" w14:textId="77777777" w:rsidR="00AE5725" w:rsidRDefault="00AE5725" w:rsidP="00AE5725">
      <w:pPr>
        <w:jc w:val="both"/>
        <w:rPr>
          <w:rFonts w:ascii="ITC Avant Garde" w:eastAsia="Calibri" w:hAnsi="ITC Avant Garde"/>
          <w:bCs/>
          <w:color w:val="000000"/>
          <w:sz w:val="22"/>
          <w:szCs w:val="22"/>
          <w:lang w:eastAsia="es-MX"/>
        </w:rPr>
      </w:pPr>
      <w:r w:rsidRPr="000F0D8F">
        <w:rPr>
          <w:rFonts w:ascii="ITC Avant Garde" w:eastAsia="Calibri" w:hAnsi="ITC Avant Garde"/>
          <w:bCs/>
          <w:color w:val="000000"/>
          <w:sz w:val="22"/>
          <w:szCs w:val="22"/>
          <w:lang w:eastAsia="es-MX"/>
        </w:rPr>
        <w:t xml:space="preserve">Del análisis de las notas nacionales e internacionales relevantes antes transcritas y como parte de las medidas de prospectiva con respecto a la administración del espectro radioeléctrico en nuestro </w:t>
      </w:r>
      <w:r>
        <w:rPr>
          <w:rFonts w:ascii="ITC Avant Garde" w:eastAsia="Calibri" w:hAnsi="ITC Avant Garde"/>
          <w:bCs/>
          <w:color w:val="000000"/>
          <w:sz w:val="22"/>
          <w:szCs w:val="22"/>
          <w:lang w:eastAsia="es-MX"/>
        </w:rPr>
        <w:t xml:space="preserve">país, se desprende </w:t>
      </w:r>
      <w:r>
        <w:rPr>
          <w:rFonts w:ascii="ITC Avant Garde" w:hAnsi="ITC Avant Garde"/>
          <w:bCs/>
          <w:color w:val="000000"/>
          <w:sz w:val="22"/>
          <w:szCs w:val="22"/>
          <w:lang w:val="es-ES" w:eastAsia="es-MX"/>
        </w:rPr>
        <w:t xml:space="preserve">que la banda de frecuencias </w:t>
      </w:r>
      <w:r w:rsidRPr="008C463C">
        <w:rPr>
          <w:rFonts w:ascii="ITC Avant Garde" w:eastAsia="Calibri" w:hAnsi="ITC Avant Garde"/>
          <w:bCs/>
          <w:color w:val="000000"/>
          <w:sz w:val="22"/>
          <w:szCs w:val="22"/>
          <w:lang w:eastAsia="es-MX"/>
        </w:rPr>
        <w:t>806-824/851-869 MHz</w:t>
      </w:r>
      <w:r>
        <w:rPr>
          <w:rFonts w:ascii="ITC Avant Garde" w:eastAsia="Calibri" w:hAnsi="ITC Avant Garde"/>
          <w:bCs/>
          <w:color w:val="000000"/>
          <w:sz w:val="22"/>
          <w:szCs w:val="22"/>
          <w:lang w:eastAsia="es-MX"/>
        </w:rPr>
        <w:t>, se ha identificado a nivel mundial por la Unión Internacional de Telecomunicaciones como una banda de frecuencias propicia para su uso por sistemas de banda ancha móvil. En tal virtud, la utilización de dicha banda por tales sistemas, significa un uso más eficiente del espectro radioeléctrico en comparación con su utilización por sistemas de banda angosta como es el caso de los sistemas del servicio móvil de radiocomunicación especializada de flotillas.</w:t>
      </w:r>
    </w:p>
    <w:p w14:paraId="29FD5A97" w14:textId="77777777" w:rsidR="00AE5725" w:rsidRPr="007C0BC7" w:rsidRDefault="00AE5725" w:rsidP="00AE5725">
      <w:pPr>
        <w:jc w:val="both"/>
        <w:rPr>
          <w:rFonts w:ascii="ITC Avant Garde" w:eastAsia="Calibri" w:hAnsi="ITC Avant Garde"/>
          <w:bCs/>
          <w:color w:val="000000"/>
          <w:sz w:val="20"/>
          <w:szCs w:val="22"/>
          <w:lang w:eastAsia="es-MX"/>
        </w:rPr>
      </w:pPr>
    </w:p>
    <w:p w14:paraId="77891444" w14:textId="77777777" w:rsidR="00AE5725" w:rsidRDefault="00AE5725" w:rsidP="00AE5725">
      <w:pPr>
        <w:contextualSpacing/>
        <w:jc w:val="both"/>
        <w:rPr>
          <w:rFonts w:ascii="ITC Avant Garde" w:eastAsia="Calibri" w:hAnsi="ITC Avant Garde"/>
          <w:bCs/>
          <w:color w:val="000000"/>
          <w:sz w:val="22"/>
          <w:szCs w:val="22"/>
          <w:lang w:eastAsia="es-MX"/>
        </w:rPr>
      </w:pPr>
      <w:r>
        <w:rPr>
          <w:rFonts w:ascii="ITC Avant Garde" w:eastAsia="Calibri" w:hAnsi="ITC Avant Garde"/>
          <w:bCs/>
          <w:color w:val="000000"/>
          <w:sz w:val="22"/>
          <w:szCs w:val="22"/>
          <w:lang w:eastAsia="es-MX"/>
        </w:rPr>
        <w:t xml:space="preserve">En consistencia con lo anterior, la banda de frecuencias </w:t>
      </w:r>
      <w:r w:rsidRPr="008C463C">
        <w:rPr>
          <w:rFonts w:ascii="ITC Avant Garde" w:eastAsia="Calibri" w:hAnsi="ITC Avant Garde"/>
          <w:bCs/>
          <w:color w:val="000000"/>
          <w:sz w:val="22"/>
          <w:szCs w:val="22"/>
          <w:lang w:eastAsia="es-MX"/>
        </w:rPr>
        <w:t>806-824/851-869 MHz</w:t>
      </w:r>
      <w:r>
        <w:rPr>
          <w:rFonts w:ascii="ITC Avant Garde" w:eastAsia="Calibri" w:hAnsi="ITC Avant Garde"/>
          <w:bCs/>
          <w:color w:val="000000"/>
          <w:sz w:val="22"/>
          <w:szCs w:val="22"/>
          <w:lang w:eastAsia="es-MX"/>
        </w:rPr>
        <w:t xml:space="preserve"> es objeto del </w:t>
      </w:r>
      <w:r w:rsidRPr="006B76DA">
        <w:rPr>
          <w:rFonts w:ascii="ITC Avant Garde" w:eastAsia="Calibri" w:hAnsi="ITC Avant Garde"/>
          <w:bCs/>
          <w:i/>
          <w:color w:val="000000"/>
          <w:sz w:val="22"/>
          <w:szCs w:val="22"/>
          <w:lang w:eastAsia="es-MX"/>
        </w:rPr>
        <w:t>“Protocolo entre la Secretaría y el Departamento de Estado de los Estados Unidos de América relativo a la adjudicación, asignación y uso de las bandas de 806-824/851-869 MHz y 896-901/935-940 MHz para el servicios terrenales de radiocomunicación excepto radiodifusión, a lo largo de la frontera común en una franja de 110 km a cada lado de la misma”</w:t>
      </w:r>
      <w:r w:rsidRPr="007E5D65">
        <w:rPr>
          <w:rFonts w:ascii="ITC Avant Garde" w:eastAsia="Calibri" w:hAnsi="ITC Avant Garde"/>
          <w:bCs/>
          <w:color w:val="000000"/>
          <w:sz w:val="22"/>
          <w:szCs w:val="22"/>
          <w:lang w:eastAsia="es-MX"/>
        </w:rPr>
        <w:t xml:space="preserve"> (el “Protocolo”)</w:t>
      </w:r>
      <w:r>
        <w:rPr>
          <w:rFonts w:ascii="ITC Avant Garde" w:eastAsia="Calibri" w:hAnsi="ITC Avant Garde"/>
          <w:bCs/>
          <w:color w:val="000000"/>
          <w:sz w:val="22"/>
          <w:szCs w:val="22"/>
          <w:lang w:eastAsia="es-MX"/>
        </w:rPr>
        <w:t xml:space="preserve">, mismo fue suscrito el 8 de junio de 2012 por ambas administraciones. </w:t>
      </w:r>
    </w:p>
    <w:p w14:paraId="60DB647F" w14:textId="77777777" w:rsidR="00AE5725" w:rsidRPr="007C0BC7" w:rsidRDefault="00AE5725" w:rsidP="00AE5725">
      <w:pPr>
        <w:contextualSpacing/>
        <w:jc w:val="both"/>
        <w:rPr>
          <w:rFonts w:ascii="ITC Avant Garde" w:eastAsia="Calibri" w:hAnsi="ITC Avant Garde"/>
          <w:bCs/>
          <w:color w:val="000000"/>
          <w:sz w:val="20"/>
          <w:szCs w:val="22"/>
          <w:lang w:eastAsia="es-MX"/>
        </w:rPr>
      </w:pPr>
    </w:p>
    <w:p w14:paraId="5BAB3646" w14:textId="77777777" w:rsidR="00AE5725" w:rsidRDefault="00AE5725" w:rsidP="00AE5725">
      <w:pPr>
        <w:contextualSpacing/>
        <w:jc w:val="both"/>
        <w:rPr>
          <w:rFonts w:ascii="ITC Avant Garde" w:eastAsia="Calibri" w:hAnsi="ITC Avant Garde"/>
          <w:bCs/>
          <w:color w:val="000000"/>
          <w:sz w:val="22"/>
          <w:szCs w:val="22"/>
          <w:lang w:eastAsia="es-MX"/>
        </w:rPr>
      </w:pPr>
      <w:r>
        <w:rPr>
          <w:rFonts w:ascii="ITC Avant Garde" w:eastAsia="Calibri" w:hAnsi="ITC Avant Garde"/>
          <w:bCs/>
          <w:color w:val="000000"/>
          <w:sz w:val="22"/>
          <w:szCs w:val="22"/>
          <w:lang w:eastAsia="es-MX"/>
        </w:rPr>
        <w:t>Dicho Protocolo establece</w:t>
      </w:r>
      <w:r w:rsidRPr="007E5D65">
        <w:rPr>
          <w:rFonts w:ascii="ITC Avant Garde" w:eastAsia="Calibri" w:hAnsi="ITC Avant Garde"/>
          <w:bCs/>
          <w:color w:val="000000"/>
          <w:sz w:val="22"/>
          <w:szCs w:val="22"/>
          <w:lang w:eastAsia="es-MX"/>
        </w:rPr>
        <w:t xml:space="preserve"> un nuevo plan de adjudicación para el uso equitativo de las citadas bandas de frecuencias en la zona fronteriza</w:t>
      </w:r>
      <w:r>
        <w:rPr>
          <w:rFonts w:ascii="ITC Avant Garde" w:eastAsia="Calibri" w:hAnsi="ITC Avant Garde"/>
          <w:bCs/>
          <w:color w:val="000000"/>
          <w:sz w:val="22"/>
          <w:szCs w:val="22"/>
          <w:lang w:eastAsia="es-MX"/>
        </w:rPr>
        <w:t>, para ello, entre otros aspectos, y c</w:t>
      </w:r>
      <w:r w:rsidRPr="00100102">
        <w:rPr>
          <w:rFonts w:ascii="ITC Avant Garde" w:eastAsia="Calibri" w:hAnsi="ITC Avant Garde"/>
          <w:bCs/>
          <w:color w:val="000000"/>
          <w:sz w:val="22"/>
          <w:szCs w:val="22"/>
          <w:lang w:eastAsia="es-MX"/>
        </w:rPr>
        <w:t xml:space="preserve">on el </w:t>
      </w:r>
      <w:r w:rsidRPr="00100102">
        <w:rPr>
          <w:rFonts w:ascii="ITC Avant Garde" w:eastAsia="Calibri" w:hAnsi="ITC Avant Garde"/>
          <w:bCs/>
          <w:color w:val="000000"/>
          <w:sz w:val="22"/>
          <w:szCs w:val="22"/>
          <w:lang w:eastAsia="es-MX"/>
        </w:rPr>
        <w:lastRenderedPageBreak/>
        <w:t>objet</w:t>
      </w:r>
      <w:r>
        <w:rPr>
          <w:rFonts w:ascii="ITC Avant Garde" w:eastAsia="Calibri" w:hAnsi="ITC Avant Garde"/>
          <w:bCs/>
          <w:color w:val="000000"/>
          <w:sz w:val="22"/>
          <w:szCs w:val="22"/>
          <w:lang w:eastAsia="es-MX"/>
        </w:rPr>
        <w:t>ivo de</w:t>
      </w:r>
      <w:r w:rsidRPr="00100102">
        <w:rPr>
          <w:rFonts w:ascii="ITC Avant Garde" w:eastAsia="Calibri" w:hAnsi="ITC Avant Garde"/>
          <w:bCs/>
          <w:color w:val="000000"/>
          <w:sz w:val="22"/>
          <w:szCs w:val="22"/>
          <w:lang w:eastAsia="es-MX"/>
        </w:rPr>
        <w:t xml:space="preserve"> instrumentar </w:t>
      </w:r>
      <w:r>
        <w:rPr>
          <w:rFonts w:ascii="ITC Avant Garde" w:eastAsia="Calibri" w:hAnsi="ITC Avant Garde"/>
          <w:bCs/>
          <w:color w:val="000000"/>
          <w:sz w:val="22"/>
          <w:szCs w:val="22"/>
          <w:lang w:eastAsia="es-MX"/>
        </w:rPr>
        <w:t xml:space="preserve">el citado </w:t>
      </w:r>
      <w:r w:rsidRPr="00100102">
        <w:rPr>
          <w:rFonts w:ascii="ITC Avant Garde" w:eastAsia="Calibri" w:hAnsi="ITC Avant Garde"/>
          <w:bCs/>
          <w:color w:val="000000"/>
          <w:sz w:val="22"/>
          <w:szCs w:val="22"/>
          <w:lang w:eastAsia="es-MX"/>
        </w:rPr>
        <w:t xml:space="preserve">plan, el artículo V del </w:t>
      </w:r>
      <w:r>
        <w:rPr>
          <w:rFonts w:ascii="ITC Avant Garde" w:eastAsia="Calibri" w:hAnsi="ITC Avant Garde"/>
          <w:bCs/>
          <w:color w:val="000000"/>
          <w:sz w:val="22"/>
          <w:szCs w:val="22"/>
          <w:lang w:eastAsia="es-MX"/>
        </w:rPr>
        <w:t xml:space="preserve">Protocolo </w:t>
      </w:r>
      <w:r w:rsidRPr="00100102">
        <w:rPr>
          <w:rFonts w:ascii="ITC Avant Garde" w:eastAsia="Calibri" w:hAnsi="ITC Avant Garde"/>
          <w:bCs/>
          <w:color w:val="000000"/>
          <w:sz w:val="22"/>
          <w:szCs w:val="22"/>
          <w:lang w:eastAsia="es-MX"/>
        </w:rPr>
        <w:t xml:space="preserve">señala que las </w:t>
      </w:r>
      <w:r>
        <w:rPr>
          <w:rFonts w:ascii="ITC Avant Garde" w:eastAsia="Calibri" w:hAnsi="ITC Avant Garde"/>
          <w:bCs/>
          <w:color w:val="000000"/>
          <w:sz w:val="22"/>
          <w:szCs w:val="22"/>
          <w:lang w:eastAsia="es-MX"/>
        </w:rPr>
        <w:t>a</w:t>
      </w:r>
      <w:r w:rsidRPr="00100102">
        <w:rPr>
          <w:rFonts w:ascii="ITC Avant Garde" w:eastAsia="Calibri" w:hAnsi="ITC Avant Garde"/>
          <w:bCs/>
          <w:color w:val="000000"/>
          <w:sz w:val="22"/>
          <w:szCs w:val="22"/>
          <w:lang w:eastAsia="es-MX"/>
        </w:rPr>
        <w:t xml:space="preserve">dministraciones deberán implementar ciertas acciones para la migración de los concesionarios </w:t>
      </w:r>
      <w:r>
        <w:rPr>
          <w:rFonts w:ascii="ITC Avant Garde" w:eastAsia="Calibri" w:hAnsi="ITC Avant Garde"/>
          <w:bCs/>
          <w:color w:val="000000"/>
          <w:sz w:val="22"/>
          <w:szCs w:val="22"/>
          <w:lang w:eastAsia="es-MX"/>
        </w:rPr>
        <w:t>que operan actualmente en esta banda de frecuencias, para el caso de México, los concesionarios del servicio móvil de radiocomunicación especializada de flotillas,</w:t>
      </w:r>
      <w:r w:rsidRPr="00100102">
        <w:rPr>
          <w:rFonts w:ascii="ITC Avant Garde" w:eastAsia="Calibri" w:hAnsi="ITC Avant Garde"/>
          <w:bCs/>
          <w:color w:val="000000"/>
          <w:sz w:val="22"/>
          <w:szCs w:val="22"/>
          <w:lang w:eastAsia="es-MX"/>
        </w:rPr>
        <w:t xml:space="preserve"> </w:t>
      </w:r>
      <w:r>
        <w:rPr>
          <w:rFonts w:ascii="ITC Avant Garde" w:eastAsia="Calibri" w:hAnsi="ITC Avant Garde"/>
          <w:bCs/>
          <w:color w:val="000000"/>
          <w:sz w:val="22"/>
          <w:szCs w:val="22"/>
          <w:lang w:eastAsia="es-MX"/>
        </w:rPr>
        <w:t>deberán migrar a</w:t>
      </w:r>
      <w:r w:rsidRPr="00100102">
        <w:rPr>
          <w:rFonts w:ascii="ITC Avant Garde" w:eastAsia="Calibri" w:hAnsi="ITC Avant Garde"/>
          <w:bCs/>
          <w:color w:val="000000"/>
          <w:sz w:val="22"/>
          <w:szCs w:val="22"/>
          <w:lang w:eastAsia="es-MX"/>
        </w:rPr>
        <w:t xml:space="preserve"> canales de reemplazo dentro o fuera de la banda de frecuencias</w:t>
      </w:r>
      <w:r>
        <w:rPr>
          <w:rFonts w:ascii="ITC Avant Garde" w:eastAsia="Calibri" w:hAnsi="ITC Avant Garde"/>
          <w:bCs/>
          <w:color w:val="000000"/>
          <w:sz w:val="22"/>
          <w:szCs w:val="22"/>
          <w:lang w:eastAsia="es-MX"/>
        </w:rPr>
        <w:t xml:space="preserve"> en comento</w:t>
      </w:r>
      <w:r w:rsidRPr="00100102">
        <w:rPr>
          <w:rFonts w:ascii="ITC Avant Garde" w:eastAsia="Calibri" w:hAnsi="ITC Avant Garde"/>
          <w:bCs/>
          <w:color w:val="000000"/>
          <w:sz w:val="22"/>
          <w:szCs w:val="22"/>
          <w:lang w:eastAsia="es-MX"/>
        </w:rPr>
        <w:t>.</w:t>
      </w:r>
    </w:p>
    <w:p w14:paraId="524E08F9" w14:textId="77777777" w:rsidR="00AE5725" w:rsidRPr="007C0BC7" w:rsidRDefault="00AE5725" w:rsidP="00AE5725">
      <w:pPr>
        <w:contextualSpacing/>
        <w:jc w:val="both"/>
        <w:rPr>
          <w:rFonts w:ascii="ITC Avant Garde" w:eastAsia="Calibri" w:hAnsi="ITC Avant Garde"/>
          <w:bCs/>
          <w:color w:val="000000"/>
          <w:sz w:val="20"/>
          <w:szCs w:val="22"/>
          <w:lang w:eastAsia="es-MX"/>
        </w:rPr>
      </w:pPr>
    </w:p>
    <w:p w14:paraId="16BB27BA" w14:textId="77777777" w:rsidR="00AE5725" w:rsidRDefault="00AE5725" w:rsidP="00AE5725">
      <w:pPr>
        <w:contextualSpacing/>
        <w:jc w:val="both"/>
        <w:rPr>
          <w:rFonts w:ascii="ITC Avant Garde" w:eastAsia="Calibri" w:hAnsi="ITC Avant Garde"/>
          <w:bCs/>
          <w:color w:val="000000"/>
          <w:sz w:val="22"/>
          <w:szCs w:val="22"/>
          <w:lang w:eastAsia="es-MX"/>
        </w:rPr>
      </w:pPr>
      <w:r>
        <w:rPr>
          <w:rFonts w:ascii="ITC Avant Garde" w:eastAsia="Calibri" w:hAnsi="ITC Avant Garde"/>
          <w:bCs/>
          <w:color w:val="000000"/>
          <w:sz w:val="22"/>
          <w:szCs w:val="22"/>
          <w:lang w:eastAsia="es-MX"/>
        </w:rPr>
        <w:t xml:space="preserve">Por otro lado, como ya se señaló, el Cuadro Nacional de Atribución de Frecuencias estable que la banda de frecuencias 410-430 MHz se ha previsto para la provisión exclusiva del servicio móvil de radiocomunicación especializada de flotillas, debido a que dicha banda cuenta con diversas soluciones tecnológicas para la prestación de tales servicios, además de que no se encuentra identificada por la Unión Internacional de Telecomunicaciones como una banda propicia para la prestación de servicios de banda ancha. </w:t>
      </w:r>
    </w:p>
    <w:p w14:paraId="24EFDA4C" w14:textId="77777777" w:rsidR="00AE5725" w:rsidRPr="007C0BC7" w:rsidRDefault="00AE5725" w:rsidP="00AE5725">
      <w:pPr>
        <w:contextualSpacing/>
        <w:jc w:val="both"/>
        <w:rPr>
          <w:rFonts w:ascii="ITC Avant Garde" w:eastAsia="Calibri" w:hAnsi="ITC Avant Garde"/>
          <w:bCs/>
          <w:color w:val="000000"/>
          <w:sz w:val="20"/>
          <w:szCs w:val="22"/>
          <w:lang w:eastAsia="es-MX"/>
        </w:rPr>
      </w:pPr>
    </w:p>
    <w:p w14:paraId="37F30836" w14:textId="20965347" w:rsidR="00AE5725" w:rsidRDefault="00AE5725" w:rsidP="00AE5725">
      <w:pPr>
        <w:tabs>
          <w:tab w:val="num" w:pos="540"/>
        </w:tabs>
        <w:jc w:val="both"/>
        <w:rPr>
          <w:rFonts w:ascii="ITC Avant Garde" w:eastAsia="Calibri" w:hAnsi="ITC Avant Garde"/>
          <w:bCs/>
          <w:color w:val="000000"/>
          <w:sz w:val="22"/>
          <w:szCs w:val="22"/>
          <w:lang w:eastAsia="es-MX"/>
        </w:rPr>
      </w:pPr>
      <w:r w:rsidRPr="000F0D8F">
        <w:rPr>
          <w:rFonts w:ascii="ITC Avant Garde" w:eastAsia="Calibri" w:hAnsi="ITC Avant Garde"/>
          <w:bCs/>
          <w:color w:val="000000"/>
          <w:sz w:val="22"/>
          <w:szCs w:val="22"/>
          <w:lang w:eastAsia="es-MX"/>
        </w:rPr>
        <w:t>En virtud de todo lo anterior, y con el objeto de propiciar un uso más eficiente del espectro radioeléctrico y al mismo tiempo dar cumplimiento a lo establecido por el Cuadro Nacional de Atribución de Frecuencias, el Reglamento de Radiocomunicaciones de la Unión Internacional de Telecomunicaciones, y el Protocolo, la banda de frecuencias 410-430 MHz se ha identificado como una alternativa para la reubicación de las operaciones de los concesionarios de sistemas de radiocomunicación</w:t>
      </w:r>
      <w:r w:rsidRPr="00E26E64">
        <w:rPr>
          <w:rFonts w:ascii="ITC Avant Garde" w:eastAsia="Calibri" w:hAnsi="ITC Avant Garde"/>
          <w:bCs/>
          <w:color w:val="000000"/>
          <w:sz w:val="22"/>
          <w:szCs w:val="22"/>
          <w:lang w:eastAsia="es-MX"/>
        </w:rPr>
        <w:t xml:space="preserve"> especializada de flotillas provenientes de</w:t>
      </w:r>
      <w:r>
        <w:rPr>
          <w:rFonts w:ascii="ITC Avant Garde" w:eastAsia="Calibri" w:hAnsi="ITC Avant Garde"/>
          <w:bCs/>
          <w:color w:val="000000"/>
          <w:sz w:val="22"/>
          <w:szCs w:val="22"/>
          <w:lang w:eastAsia="es-MX"/>
        </w:rPr>
        <w:t xml:space="preserve"> las bandas 806-821/851-866 MHz.</w:t>
      </w:r>
    </w:p>
    <w:p w14:paraId="6B8A4E91" w14:textId="77777777" w:rsidR="00D42A38" w:rsidRPr="007C0BC7" w:rsidRDefault="00D42A38" w:rsidP="00AE5725">
      <w:pPr>
        <w:tabs>
          <w:tab w:val="num" w:pos="540"/>
        </w:tabs>
        <w:jc w:val="both"/>
        <w:rPr>
          <w:rFonts w:ascii="ITC Avant Garde" w:eastAsia="Calibri" w:hAnsi="ITC Avant Garde"/>
          <w:bCs/>
          <w:color w:val="000000"/>
          <w:sz w:val="20"/>
          <w:szCs w:val="22"/>
          <w:lang w:eastAsia="es-MX"/>
        </w:rPr>
      </w:pPr>
    </w:p>
    <w:p w14:paraId="33F4F1DC" w14:textId="77777777" w:rsidR="00D42A38" w:rsidRPr="007C0BC7" w:rsidRDefault="00D42A38" w:rsidP="00AE5725">
      <w:pPr>
        <w:tabs>
          <w:tab w:val="num" w:pos="540"/>
        </w:tabs>
        <w:jc w:val="both"/>
        <w:rPr>
          <w:rFonts w:ascii="ITC Avant Garde" w:eastAsia="Calibri" w:hAnsi="ITC Avant Garde"/>
          <w:b/>
          <w:bCs/>
          <w:color w:val="000000"/>
          <w:sz w:val="20"/>
          <w:szCs w:val="22"/>
          <w:lang w:eastAsia="es-MX"/>
        </w:rPr>
      </w:pPr>
    </w:p>
    <w:p w14:paraId="4CFE50B3" w14:textId="2119CA61" w:rsidR="0085684A" w:rsidRDefault="00074FE7" w:rsidP="00B53D4B">
      <w:pPr>
        <w:jc w:val="both"/>
        <w:rPr>
          <w:rFonts w:ascii="ITC Avant Garde" w:hAnsi="ITC Avant Garde"/>
          <w:bCs/>
          <w:color w:val="000000"/>
          <w:sz w:val="22"/>
          <w:szCs w:val="22"/>
          <w:lang w:val="es-ES" w:eastAsia="es-MX"/>
        </w:rPr>
      </w:pPr>
      <w:r>
        <w:rPr>
          <w:rFonts w:ascii="ITC Avant Garde" w:eastAsia="Calibri" w:hAnsi="ITC Avant Garde"/>
          <w:b/>
          <w:bCs/>
          <w:color w:val="000000"/>
          <w:sz w:val="22"/>
          <w:szCs w:val="22"/>
          <w:lang w:eastAsia="es-MX"/>
        </w:rPr>
        <w:t>Octav</w:t>
      </w:r>
      <w:r w:rsidR="003F43A6" w:rsidRPr="00F17180">
        <w:rPr>
          <w:rFonts w:ascii="ITC Avant Garde" w:eastAsia="Calibri" w:hAnsi="ITC Avant Garde"/>
          <w:b/>
          <w:bCs/>
          <w:color w:val="000000"/>
          <w:sz w:val="22"/>
          <w:szCs w:val="22"/>
          <w:lang w:eastAsia="es-MX"/>
        </w:rPr>
        <w:t>o</w:t>
      </w:r>
      <w:r w:rsidR="0085684A" w:rsidRPr="00F17180">
        <w:rPr>
          <w:rFonts w:ascii="ITC Avant Garde" w:eastAsia="Calibri" w:hAnsi="ITC Avant Garde"/>
          <w:b/>
          <w:bCs/>
          <w:color w:val="000000"/>
          <w:sz w:val="22"/>
          <w:szCs w:val="22"/>
          <w:lang w:eastAsia="es-MX"/>
        </w:rPr>
        <w:t xml:space="preserve">.- </w:t>
      </w:r>
      <w:r w:rsidR="00A4147B" w:rsidRPr="00F17180">
        <w:rPr>
          <w:rFonts w:ascii="ITC Avant Garde" w:eastAsia="Calibri" w:hAnsi="ITC Avant Garde"/>
          <w:b/>
          <w:bCs/>
          <w:color w:val="000000"/>
          <w:sz w:val="22"/>
          <w:szCs w:val="22"/>
          <w:lang w:eastAsia="es-MX"/>
        </w:rPr>
        <w:t xml:space="preserve">Opiniones técnicas respecto a la Solicitud de </w:t>
      </w:r>
      <w:r w:rsidR="00A4147B" w:rsidRPr="00F17180">
        <w:rPr>
          <w:rFonts w:ascii="ITC Avant Garde" w:hAnsi="ITC Avant Garde"/>
          <w:b/>
          <w:bCs/>
          <w:color w:val="000000"/>
          <w:sz w:val="22"/>
          <w:szCs w:val="22"/>
          <w:lang w:val="es-ES" w:eastAsia="es-MX"/>
        </w:rPr>
        <w:t>Prórroga</w:t>
      </w:r>
      <w:r w:rsidR="0085684A" w:rsidRPr="00F17180">
        <w:rPr>
          <w:rFonts w:ascii="ITC Avant Garde" w:hAnsi="ITC Avant Garde"/>
          <w:b/>
          <w:bCs/>
          <w:color w:val="000000"/>
          <w:sz w:val="22"/>
          <w:szCs w:val="22"/>
          <w:lang w:val="es-ES" w:eastAsia="es-MX"/>
        </w:rPr>
        <w:t>.</w:t>
      </w:r>
      <w:r w:rsidR="0085684A" w:rsidRPr="00F17180">
        <w:rPr>
          <w:rFonts w:ascii="ITC Avant Garde" w:hAnsi="ITC Avant Garde"/>
          <w:bCs/>
          <w:color w:val="000000"/>
          <w:sz w:val="22"/>
          <w:szCs w:val="22"/>
          <w:lang w:val="es-ES" w:eastAsia="es-MX"/>
        </w:rPr>
        <w:t xml:space="preserve"> Con la finalidad de contar con los elementos necesarios para la atención de la Solicitud de Prórroga, se requirió la opinión a la entonces Unidad de Prospectiva y Regulación de la Comisión que, conforme a lo señalado en </w:t>
      </w:r>
      <w:r w:rsidR="00B304EF" w:rsidRPr="00F17180">
        <w:rPr>
          <w:rFonts w:ascii="ITC Avant Garde" w:hAnsi="ITC Avant Garde"/>
          <w:bCs/>
          <w:color w:val="000000"/>
          <w:sz w:val="22"/>
          <w:szCs w:val="22"/>
          <w:lang w:val="es-ES" w:eastAsia="es-MX"/>
        </w:rPr>
        <w:t>el Antecedente V</w:t>
      </w:r>
      <w:r w:rsidR="003F43A6" w:rsidRPr="00F17180">
        <w:rPr>
          <w:rFonts w:ascii="ITC Avant Garde" w:hAnsi="ITC Avant Garde"/>
          <w:bCs/>
          <w:color w:val="000000"/>
          <w:sz w:val="22"/>
          <w:szCs w:val="22"/>
          <w:lang w:val="es-ES" w:eastAsia="es-MX"/>
        </w:rPr>
        <w:t>I</w:t>
      </w:r>
      <w:r w:rsidR="0085684A" w:rsidRPr="00F17180">
        <w:rPr>
          <w:rFonts w:ascii="ITC Avant Garde" w:hAnsi="ITC Avant Garde"/>
          <w:bCs/>
          <w:color w:val="000000"/>
          <w:sz w:val="22"/>
          <w:szCs w:val="22"/>
          <w:lang w:val="es-ES" w:eastAsia="es-MX"/>
        </w:rPr>
        <w:t>, informó entre otras cosas, lo siguiente:</w:t>
      </w:r>
    </w:p>
    <w:p w14:paraId="0F7A0650" w14:textId="77777777" w:rsidR="007C0BC7" w:rsidRPr="007C0BC7" w:rsidRDefault="007C0BC7" w:rsidP="00B53D4B">
      <w:pPr>
        <w:jc w:val="both"/>
        <w:rPr>
          <w:rFonts w:ascii="ITC Avant Garde" w:hAnsi="ITC Avant Garde"/>
          <w:bCs/>
          <w:color w:val="000000"/>
          <w:sz w:val="16"/>
          <w:szCs w:val="22"/>
          <w:lang w:val="es-ES" w:eastAsia="es-MX"/>
        </w:rPr>
      </w:pPr>
    </w:p>
    <w:p w14:paraId="2A7314CB" w14:textId="77777777" w:rsidR="003F43A6" w:rsidRPr="00F17180" w:rsidRDefault="003F43A6" w:rsidP="003F43A6">
      <w:pPr>
        <w:ind w:right="670" w:firstLine="708"/>
        <w:jc w:val="both"/>
        <w:rPr>
          <w:rFonts w:ascii="ITC Avant Garde" w:hAnsi="ITC Avant Garde"/>
          <w:bCs/>
          <w:i/>
          <w:color w:val="000000"/>
          <w:sz w:val="16"/>
          <w:szCs w:val="16"/>
          <w:lang w:val="es-ES" w:eastAsia="es-MX"/>
        </w:rPr>
      </w:pPr>
      <w:r w:rsidRPr="00F17180">
        <w:rPr>
          <w:rFonts w:ascii="ITC Avant Garde" w:hAnsi="ITC Avant Garde"/>
          <w:bCs/>
          <w:i/>
          <w:color w:val="000000"/>
          <w:sz w:val="16"/>
          <w:szCs w:val="16"/>
          <w:lang w:val="es-ES" w:eastAsia="es-MX"/>
        </w:rPr>
        <w:t>“[…]</w:t>
      </w:r>
    </w:p>
    <w:p w14:paraId="1BF173A2" w14:textId="77777777" w:rsidR="003F43A6" w:rsidRPr="00F17180" w:rsidRDefault="003F43A6" w:rsidP="003F43A6">
      <w:pPr>
        <w:ind w:right="670" w:firstLine="708"/>
        <w:jc w:val="both"/>
        <w:rPr>
          <w:rFonts w:ascii="ITC Avant Garde" w:hAnsi="ITC Avant Garde"/>
          <w:bCs/>
          <w:i/>
          <w:color w:val="000000"/>
          <w:sz w:val="16"/>
          <w:szCs w:val="16"/>
          <w:lang w:val="es-ES" w:eastAsia="es-MX"/>
        </w:rPr>
      </w:pPr>
    </w:p>
    <w:p w14:paraId="18EDD70F" w14:textId="77777777" w:rsidR="003F43A6" w:rsidRPr="00F17180" w:rsidRDefault="003F43A6" w:rsidP="003F43A6">
      <w:pPr>
        <w:ind w:right="670" w:firstLine="708"/>
        <w:jc w:val="both"/>
        <w:rPr>
          <w:rFonts w:ascii="ITC Avant Garde" w:hAnsi="ITC Avant Garde"/>
          <w:b/>
          <w:bCs/>
          <w:i/>
          <w:color w:val="000000"/>
          <w:sz w:val="16"/>
          <w:szCs w:val="16"/>
          <w:lang w:val="es-ES" w:eastAsia="es-MX"/>
        </w:rPr>
      </w:pPr>
      <w:r w:rsidRPr="00F17180">
        <w:rPr>
          <w:rFonts w:ascii="ITC Avant Garde" w:hAnsi="ITC Avant Garde"/>
          <w:b/>
          <w:bCs/>
          <w:i/>
          <w:color w:val="000000"/>
          <w:sz w:val="16"/>
          <w:szCs w:val="16"/>
          <w:lang w:val="es-ES" w:eastAsia="es-MX"/>
        </w:rPr>
        <w:t>II. Planificación espectral para la banda 806-824/851-869 MHz</w:t>
      </w:r>
    </w:p>
    <w:p w14:paraId="77601FAE" w14:textId="77777777" w:rsidR="003F43A6" w:rsidRPr="00F17180" w:rsidRDefault="003F43A6" w:rsidP="003F43A6">
      <w:pPr>
        <w:ind w:right="670" w:firstLine="708"/>
        <w:jc w:val="both"/>
        <w:rPr>
          <w:rFonts w:ascii="ITC Avant Garde" w:hAnsi="ITC Avant Garde"/>
          <w:b/>
          <w:bCs/>
          <w:i/>
          <w:color w:val="000000"/>
          <w:sz w:val="16"/>
          <w:szCs w:val="16"/>
          <w:lang w:val="es-ES" w:eastAsia="es-MX"/>
        </w:rPr>
      </w:pPr>
    </w:p>
    <w:p w14:paraId="3DAC501F" w14:textId="77777777" w:rsidR="003F43A6" w:rsidRPr="00F17180" w:rsidRDefault="003F43A6" w:rsidP="003F43A6">
      <w:pPr>
        <w:ind w:right="670" w:firstLine="708"/>
        <w:jc w:val="both"/>
        <w:rPr>
          <w:rFonts w:ascii="ITC Avant Garde" w:hAnsi="ITC Avant Garde"/>
          <w:bCs/>
          <w:i/>
          <w:color w:val="000000"/>
          <w:sz w:val="16"/>
          <w:szCs w:val="16"/>
          <w:lang w:val="es-ES" w:eastAsia="es-MX"/>
        </w:rPr>
      </w:pPr>
      <w:r w:rsidRPr="00F17180">
        <w:rPr>
          <w:rFonts w:ascii="ITC Avant Garde" w:hAnsi="ITC Avant Garde"/>
          <w:bCs/>
          <w:i/>
          <w:color w:val="000000"/>
          <w:sz w:val="16"/>
          <w:szCs w:val="16"/>
          <w:lang w:val="es-ES" w:eastAsia="es-MX"/>
        </w:rPr>
        <w:t>[…]</w:t>
      </w:r>
    </w:p>
    <w:p w14:paraId="168A7D1F" w14:textId="77777777" w:rsidR="003F43A6" w:rsidRPr="00F17180" w:rsidRDefault="003F43A6" w:rsidP="003F43A6">
      <w:pPr>
        <w:ind w:right="670" w:firstLine="708"/>
        <w:jc w:val="both"/>
        <w:rPr>
          <w:rFonts w:ascii="ITC Avant Garde" w:hAnsi="ITC Avant Garde"/>
          <w:bCs/>
          <w:i/>
          <w:color w:val="000000"/>
          <w:sz w:val="16"/>
          <w:szCs w:val="16"/>
          <w:lang w:val="es-ES" w:eastAsia="es-MX"/>
        </w:rPr>
      </w:pPr>
    </w:p>
    <w:p w14:paraId="59EEC927" w14:textId="77777777" w:rsidR="003F43A6" w:rsidRPr="00F17180" w:rsidRDefault="003F43A6" w:rsidP="003F43A6">
      <w:pPr>
        <w:ind w:right="670" w:firstLine="708"/>
        <w:jc w:val="both"/>
        <w:rPr>
          <w:rFonts w:ascii="ITC Avant Garde" w:hAnsi="ITC Avant Garde"/>
          <w:bCs/>
          <w:i/>
          <w:color w:val="000000"/>
          <w:sz w:val="16"/>
          <w:szCs w:val="16"/>
          <w:u w:val="single"/>
          <w:lang w:val="es-ES" w:eastAsia="es-MX"/>
        </w:rPr>
      </w:pPr>
      <w:r w:rsidRPr="00F17180">
        <w:rPr>
          <w:rFonts w:ascii="ITC Avant Garde" w:hAnsi="ITC Avant Garde"/>
          <w:bCs/>
          <w:i/>
          <w:color w:val="000000"/>
          <w:sz w:val="16"/>
          <w:szCs w:val="16"/>
          <w:lang w:val="es-ES" w:eastAsia="es-MX"/>
        </w:rPr>
        <w:t xml:space="preserve">4. </w:t>
      </w:r>
      <w:r w:rsidRPr="00F17180">
        <w:rPr>
          <w:rFonts w:ascii="ITC Avant Garde" w:hAnsi="ITC Avant Garde"/>
          <w:bCs/>
          <w:i/>
          <w:color w:val="000000"/>
          <w:sz w:val="16"/>
          <w:szCs w:val="16"/>
          <w:u w:val="single"/>
          <w:lang w:val="es-ES" w:eastAsia="es-MX"/>
        </w:rPr>
        <w:t>Acciones de planificación.</w:t>
      </w:r>
    </w:p>
    <w:p w14:paraId="38A7D488" w14:textId="77777777" w:rsidR="003F43A6" w:rsidRPr="00F17180" w:rsidRDefault="003F43A6" w:rsidP="003F43A6">
      <w:pPr>
        <w:ind w:right="670" w:firstLine="708"/>
        <w:jc w:val="both"/>
        <w:rPr>
          <w:rFonts w:ascii="ITC Avant Garde" w:hAnsi="ITC Avant Garde"/>
          <w:bCs/>
          <w:i/>
          <w:color w:val="000000"/>
          <w:sz w:val="16"/>
          <w:szCs w:val="16"/>
          <w:u w:val="single"/>
          <w:lang w:val="es-ES" w:eastAsia="es-MX"/>
        </w:rPr>
      </w:pPr>
    </w:p>
    <w:p w14:paraId="19912672" w14:textId="77777777" w:rsidR="003F43A6" w:rsidRPr="00F17180" w:rsidRDefault="003F43A6" w:rsidP="003F43A6">
      <w:pPr>
        <w:ind w:left="708" w:right="670"/>
        <w:jc w:val="both"/>
        <w:rPr>
          <w:rFonts w:ascii="ITC Avant Garde" w:hAnsi="ITC Avant Garde"/>
          <w:bCs/>
          <w:i/>
          <w:color w:val="000000"/>
          <w:sz w:val="16"/>
          <w:szCs w:val="16"/>
          <w:lang w:val="es-ES" w:eastAsia="es-MX"/>
        </w:rPr>
      </w:pPr>
      <w:r w:rsidRPr="00F17180">
        <w:rPr>
          <w:rFonts w:ascii="ITC Avant Garde" w:hAnsi="ITC Avant Garde"/>
          <w:bCs/>
          <w:i/>
          <w:color w:val="000000"/>
          <w:sz w:val="16"/>
          <w:szCs w:val="16"/>
          <w:u w:val="single"/>
          <w:lang w:val="es-ES" w:eastAsia="es-MX"/>
        </w:rPr>
        <w:t>La banda 698-960 MHz en la Región 2 ha sido identificada por la Unión Internacional Telecomunicaciones para su utilización por las Telecomunicaciones Móviles Internacionales (IMT)</w:t>
      </w:r>
      <w:r w:rsidRPr="00F17180">
        <w:rPr>
          <w:rFonts w:ascii="ITC Avant Garde" w:hAnsi="ITC Avant Garde"/>
          <w:bCs/>
          <w:i/>
          <w:color w:val="000000"/>
          <w:sz w:val="16"/>
          <w:szCs w:val="16"/>
          <w:lang w:val="es-ES" w:eastAsia="es-MX"/>
        </w:rPr>
        <w:t xml:space="preserve">, toda vez que los estudios de la UIT, la cantidad de espectro utilizable y las condiciones de propagación muestran que </w:t>
      </w:r>
      <w:r w:rsidRPr="00F17180">
        <w:rPr>
          <w:rFonts w:ascii="ITC Avant Garde" w:hAnsi="ITC Avant Garde"/>
          <w:bCs/>
          <w:i/>
          <w:color w:val="000000"/>
          <w:sz w:val="16"/>
          <w:szCs w:val="16"/>
          <w:u w:val="single"/>
          <w:lang w:val="es-ES" w:eastAsia="es-MX"/>
        </w:rPr>
        <w:t>estas banda es propicia para poder ofrecer servicios de comunicaciones móviles de banda ancha con cobertura y calidad que posibilite el eficiente uso de los dispositivos móviles en diferentes entornos y en distintas condiciones</w:t>
      </w:r>
      <w:r w:rsidRPr="00F17180">
        <w:rPr>
          <w:rFonts w:ascii="ITC Avant Garde" w:hAnsi="ITC Avant Garde"/>
          <w:bCs/>
          <w:i/>
          <w:color w:val="000000"/>
          <w:sz w:val="16"/>
          <w:szCs w:val="16"/>
          <w:lang w:val="es-ES" w:eastAsia="es-MX"/>
        </w:rPr>
        <w:t xml:space="preserve">. </w:t>
      </w:r>
    </w:p>
    <w:p w14:paraId="707CB05D" w14:textId="77777777" w:rsidR="003F43A6" w:rsidRPr="00F17180" w:rsidRDefault="003F43A6" w:rsidP="003F43A6">
      <w:pPr>
        <w:ind w:left="708" w:right="670"/>
        <w:jc w:val="both"/>
        <w:rPr>
          <w:rFonts w:ascii="ITC Avant Garde" w:hAnsi="ITC Avant Garde"/>
          <w:bCs/>
          <w:i/>
          <w:color w:val="000000"/>
          <w:sz w:val="16"/>
          <w:szCs w:val="16"/>
          <w:lang w:val="es-ES" w:eastAsia="es-MX"/>
        </w:rPr>
      </w:pPr>
    </w:p>
    <w:p w14:paraId="7A86CE87" w14:textId="2C5FAC08" w:rsidR="003F43A6" w:rsidRPr="00F17180" w:rsidRDefault="003F43A6" w:rsidP="00D344F8">
      <w:pPr>
        <w:ind w:left="708" w:right="670"/>
        <w:jc w:val="both"/>
        <w:rPr>
          <w:rFonts w:ascii="ITC Avant Garde" w:hAnsi="ITC Avant Garde"/>
          <w:bCs/>
          <w:i/>
          <w:color w:val="000000"/>
          <w:sz w:val="16"/>
          <w:szCs w:val="16"/>
          <w:lang w:val="es-ES" w:eastAsia="es-MX"/>
        </w:rPr>
      </w:pPr>
      <w:r w:rsidRPr="00F17180">
        <w:rPr>
          <w:rFonts w:ascii="ITC Avant Garde" w:hAnsi="ITC Avant Garde"/>
          <w:bCs/>
          <w:i/>
          <w:color w:val="000000"/>
          <w:sz w:val="16"/>
          <w:szCs w:val="16"/>
          <w:lang w:val="es-ES" w:eastAsia="es-MX"/>
        </w:rPr>
        <w:t xml:space="preserve">Por otra parte, el grupo de estandarización 3GPP (3rd </w:t>
      </w:r>
      <w:proofErr w:type="spellStart"/>
      <w:r w:rsidRPr="00F17180">
        <w:rPr>
          <w:rFonts w:ascii="ITC Avant Garde" w:hAnsi="ITC Avant Garde"/>
          <w:bCs/>
          <w:i/>
          <w:color w:val="000000"/>
          <w:sz w:val="16"/>
          <w:szCs w:val="16"/>
          <w:lang w:val="es-ES" w:eastAsia="es-MX"/>
        </w:rPr>
        <w:t>Generation</w:t>
      </w:r>
      <w:proofErr w:type="spellEnd"/>
      <w:r w:rsidRPr="00F17180">
        <w:rPr>
          <w:rFonts w:ascii="ITC Avant Garde" w:hAnsi="ITC Avant Garde"/>
          <w:bCs/>
          <w:i/>
          <w:color w:val="000000"/>
          <w:sz w:val="16"/>
          <w:szCs w:val="16"/>
          <w:lang w:val="es-ES" w:eastAsia="es-MX"/>
        </w:rPr>
        <w:t xml:space="preserve"> </w:t>
      </w:r>
      <w:proofErr w:type="spellStart"/>
      <w:r w:rsidRPr="00F17180">
        <w:rPr>
          <w:rFonts w:ascii="ITC Avant Garde" w:hAnsi="ITC Avant Garde"/>
          <w:bCs/>
          <w:i/>
          <w:color w:val="000000"/>
          <w:sz w:val="16"/>
          <w:szCs w:val="16"/>
          <w:lang w:val="es-ES" w:eastAsia="es-MX"/>
        </w:rPr>
        <w:t>Partnership</w:t>
      </w:r>
      <w:proofErr w:type="spellEnd"/>
      <w:r w:rsidRPr="00F17180">
        <w:rPr>
          <w:rFonts w:ascii="ITC Avant Garde" w:hAnsi="ITC Avant Garde"/>
          <w:bCs/>
          <w:i/>
          <w:color w:val="000000"/>
          <w:sz w:val="16"/>
          <w:szCs w:val="16"/>
          <w:lang w:val="es-ES" w:eastAsia="es-MX"/>
        </w:rPr>
        <w:t xml:space="preserve"> Project), ha desarrollado las especificaciones técnicas de la interfaz aérea de LTE para aprovechar partes de la banda 698-960MHz en el despliegue de redes de conectividad de banda ancha móvil</w:t>
      </w:r>
      <w:r w:rsidR="00D344F8" w:rsidRPr="00F17180">
        <w:rPr>
          <w:rFonts w:ascii="ITC Avant Garde" w:hAnsi="ITC Avant Garde"/>
          <w:bCs/>
          <w:i/>
          <w:color w:val="000000"/>
          <w:sz w:val="16"/>
          <w:szCs w:val="16"/>
          <w:lang w:val="es-ES" w:eastAsia="es-MX"/>
        </w:rPr>
        <w:t>.</w:t>
      </w:r>
      <w:r w:rsidRPr="00F17180">
        <w:rPr>
          <w:rFonts w:ascii="ITC Avant Garde" w:hAnsi="ITC Avant Garde"/>
          <w:bCs/>
          <w:i/>
          <w:color w:val="000000"/>
          <w:sz w:val="16"/>
          <w:szCs w:val="16"/>
          <w:lang w:val="es-ES" w:eastAsia="es-MX"/>
        </w:rPr>
        <w:t xml:space="preserve"> </w:t>
      </w:r>
      <w:r w:rsidR="00D344F8" w:rsidRPr="00F17180">
        <w:rPr>
          <w:rFonts w:ascii="ITC Avant Garde" w:hAnsi="ITC Avant Garde"/>
          <w:bCs/>
          <w:i/>
          <w:color w:val="000000"/>
          <w:sz w:val="16"/>
          <w:szCs w:val="16"/>
          <w:lang w:val="es-ES" w:eastAsia="es-MX"/>
        </w:rPr>
        <w:t>P</w:t>
      </w:r>
      <w:r w:rsidRPr="00F17180">
        <w:rPr>
          <w:rFonts w:ascii="ITC Avant Garde" w:hAnsi="ITC Avant Garde"/>
          <w:bCs/>
          <w:i/>
          <w:color w:val="000000"/>
          <w:sz w:val="16"/>
          <w:szCs w:val="16"/>
          <w:lang w:val="es-ES" w:eastAsia="es-MX"/>
        </w:rPr>
        <w:t>ara el caso particular de la banda 806-824/851-869 MHz el 3GPP ha desarrollado los perfiles estandarizados para las bandas clase 26 (814-849/859-894 MHz) y clase 27 (806-824/851-869 MHz).</w:t>
      </w:r>
    </w:p>
    <w:p w14:paraId="20ADFCDE" w14:textId="77777777" w:rsidR="003F43A6" w:rsidRPr="00F17180" w:rsidRDefault="003F43A6" w:rsidP="003F43A6">
      <w:pPr>
        <w:ind w:left="708" w:right="670"/>
        <w:jc w:val="both"/>
        <w:rPr>
          <w:rFonts w:ascii="ITC Avant Garde" w:hAnsi="ITC Avant Garde"/>
          <w:bCs/>
          <w:i/>
          <w:color w:val="000000"/>
          <w:sz w:val="16"/>
          <w:szCs w:val="16"/>
          <w:lang w:val="es-ES" w:eastAsia="es-MX"/>
        </w:rPr>
      </w:pPr>
    </w:p>
    <w:p w14:paraId="4DCA92CF" w14:textId="77777777" w:rsidR="003F43A6" w:rsidRPr="00F17180" w:rsidRDefault="003F43A6" w:rsidP="003F43A6">
      <w:pPr>
        <w:ind w:left="708" w:right="670"/>
        <w:jc w:val="both"/>
        <w:rPr>
          <w:rFonts w:ascii="ITC Avant Garde" w:hAnsi="ITC Avant Garde"/>
          <w:bCs/>
          <w:i/>
          <w:color w:val="000000"/>
          <w:sz w:val="16"/>
          <w:szCs w:val="16"/>
          <w:u w:val="single"/>
          <w:lang w:val="es-ES" w:eastAsia="es-MX"/>
        </w:rPr>
      </w:pPr>
      <w:r w:rsidRPr="00F17180">
        <w:rPr>
          <w:rFonts w:ascii="ITC Avant Garde" w:hAnsi="ITC Avant Garde"/>
          <w:bCs/>
          <w:i/>
          <w:color w:val="000000"/>
          <w:sz w:val="16"/>
          <w:szCs w:val="16"/>
          <w:lang w:val="es-ES" w:eastAsia="es-MX"/>
        </w:rPr>
        <w:t xml:space="preserve">Por lo tanto, </w:t>
      </w:r>
      <w:r w:rsidRPr="00F17180">
        <w:rPr>
          <w:rFonts w:ascii="ITC Avant Garde" w:hAnsi="ITC Avant Garde"/>
          <w:bCs/>
          <w:i/>
          <w:color w:val="000000"/>
          <w:sz w:val="16"/>
          <w:szCs w:val="16"/>
          <w:u w:val="single"/>
          <w:lang w:val="es-ES" w:eastAsia="es-MX"/>
        </w:rPr>
        <w:t xml:space="preserve">se tiene previsto que la banda 806-824 / 851-869 MHz se sujete a un proceso de </w:t>
      </w:r>
      <w:proofErr w:type="spellStart"/>
      <w:r w:rsidRPr="00F17180">
        <w:rPr>
          <w:rFonts w:ascii="ITC Avant Garde" w:hAnsi="ITC Avant Garde"/>
          <w:bCs/>
          <w:i/>
          <w:color w:val="000000"/>
          <w:sz w:val="16"/>
          <w:szCs w:val="16"/>
          <w:u w:val="single"/>
          <w:lang w:val="es-ES" w:eastAsia="es-MX"/>
        </w:rPr>
        <w:t>replanificación</w:t>
      </w:r>
      <w:proofErr w:type="spellEnd"/>
      <w:r w:rsidRPr="00F17180">
        <w:rPr>
          <w:rFonts w:ascii="ITC Avant Garde" w:hAnsi="ITC Avant Garde"/>
          <w:bCs/>
          <w:i/>
          <w:color w:val="000000"/>
          <w:sz w:val="16"/>
          <w:szCs w:val="16"/>
          <w:u w:val="single"/>
          <w:lang w:val="es-ES" w:eastAsia="es-MX"/>
        </w:rPr>
        <w:t xml:space="preserve"> a fin de liberar bloques de espectro que posibiliten la introducción de servicios de banda ancha móvil a través a los estándares antes citados.</w:t>
      </w:r>
    </w:p>
    <w:p w14:paraId="6F6EF7F2" w14:textId="77777777" w:rsidR="003F43A6" w:rsidRPr="00F17180" w:rsidRDefault="003F43A6" w:rsidP="003F43A6">
      <w:pPr>
        <w:ind w:left="708" w:right="670"/>
        <w:jc w:val="both"/>
        <w:rPr>
          <w:rFonts w:ascii="ITC Avant Garde" w:hAnsi="ITC Avant Garde"/>
          <w:bCs/>
          <w:i/>
          <w:color w:val="000000"/>
          <w:sz w:val="16"/>
          <w:szCs w:val="16"/>
          <w:lang w:val="es-ES" w:eastAsia="es-MX"/>
        </w:rPr>
      </w:pPr>
    </w:p>
    <w:p w14:paraId="0F2AFC92" w14:textId="77777777" w:rsidR="003F43A6" w:rsidRPr="00F17180" w:rsidRDefault="003F43A6" w:rsidP="003F43A6">
      <w:pPr>
        <w:ind w:left="708" w:right="670"/>
        <w:jc w:val="both"/>
        <w:rPr>
          <w:rFonts w:ascii="ITC Avant Garde" w:hAnsi="ITC Avant Garde"/>
          <w:b/>
          <w:bCs/>
          <w:i/>
          <w:color w:val="000000"/>
          <w:sz w:val="16"/>
          <w:szCs w:val="16"/>
          <w:lang w:val="es-ES" w:eastAsia="es-MX"/>
        </w:rPr>
      </w:pPr>
      <w:r w:rsidRPr="00F17180">
        <w:rPr>
          <w:rFonts w:ascii="ITC Avant Garde" w:hAnsi="ITC Avant Garde"/>
          <w:b/>
          <w:bCs/>
          <w:i/>
          <w:color w:val="000000"/>
          <w:sz w:val="16"/>
          <w:szCs w:val="16"/>
          <w:lang w:val="es-ES" w:eastAsia="es-MX"/>
        </w:rPr>
        <w:t>III. Planificación espectral para la banda 410-430 MHz</w:t>
      </w:r>
    </w:p>
    <w:p w14:paraId="7F28380A" w14:textId="77777777" w:rsidR="003F43A6" w:rsidRPr="00F17180" w:rsidRDefault="003F43A6" w:rsidP="003F43A6">
      <w:pPr>
        <w:ind w:left="708" w:right="670"/>
        <w:jc w:val="both"/>
        <w:rPr>
          <w:rFonts w:ascii="ITC Avant Garde" w:hAnsi="ITC Avant Garde"/>
          <w:bCs/>
          <w:i/>
          <w:color w:val="000000"/>
          <w:sz w:val="16"/>
          <w:szCs w:val="16"/>
          <w:lang w:val="es-ES" w:eastAsia="es-MX"/>
        </w:rPr>
      </w:pPr>
    </w:p>
    <w:p w14:paraId="44FAD104" w14:textId="77777777" w:rsidR="003F43A6" w:rsidRPr="00F17180" w:rsidRDefault="003F43A6" w:rsidP="003F43A6">
      <w:pPr>
        <w:ind w:left="708" w:right="670"/>
        <w:jc w:val="both"/>
        <w:rPr>
          <w:rFonts w:ascii="ITC Avant Garde" w:hAnsi="ITC Avant Garde"/>
          <w:bCs/>
          <w:i/>
          <w:color w:val="000000"/>
          <w:sz w:val="16"/>
          <w:szCs w:val="16"/>
          <w:lang w:val="es-ES" w:eastAsia="es-MX"/>
        </w:rPr>
      </w:pPr>
      <w:r w:rsidRPr="00F17180">
        <w:rPr>
          <w:rFonts w:ascii="ITC Avant Garde" w:hAnsi="ITC Avant Garde"/>
          <w:bCs/>
          <w:i/>
          <w:color w:val="000000"/>
          <w:sz w:val="16"/>
          <w:szCs w:val="16"/>
          <w:lang w:val="es-ES" w:eastAsia="es-MX"/>
        </w:rPr>
        <w:t>[…]</w:t>
      </w:r>
    </w:p>
    <w:p w14:paraId="65316A2E" w14:textId="77777777" w:rsidR="003F43A6" w:rsidRPr="00F17180" w:rsidRDefault="003F43A6" w:rsidP="003F43A6">
      <w:pPr>
        <w:ind w:left="708" w:right="670"/>
        <w:jc w:val="both"/>
        <w:rPr>
          <w:rFonts w:ascii="ITC Avant Garde" w:hAnsi="ITC Avant Garde"/>
          <w:bCs/>
          <w:i/>
          <w:color w:val="000000"/>
          <w:sz w:val="16"/>
          <w:szCs w:val="16"/>
          <w:lang w:val="es-ES" w:eastAsia="es-MX"/>
        </w:rPr>
      </w:pPr>
    </w:p>
    <w:p w14:paraId="33C35DD9" w14:textId="77777777" w:rsidR="003F43A6" w:rsidRPr="00F17180" w:rsidRDefault="003F43A6" w:rsidP="003F43A6">
      <w:pPr>
        <w:ind w:left="708" w:right="670"/>
        <w:jc w:val="both"/>
        <w:rPr>
          <w:rFonts w:ascii="ITC Avant Garde" w:hAnsi="ITC Avant Garde"/>
          <w:bCs/>
          <w:color w:val="000000"/>
          <w:sz w:val="16"/>
          <w:szCs w:val="16"/>
          <w:lang w:val="es-ES" w:eastAsia="es-MX"/>
        </w:rPr>
      </w:pPr>
      <w:r w:rsidRPr="00F17180">
        <w:rPr>
          <w:rFonts w:ascii="ITC Avant Garde" w:hAnsi="ITC Avant Garde"/>
          <w:bCs/>
          <w:i/>
          <w:color w:val="000000"/>
          <w:sz w:val="16"/>
          <w:szCs w:val="16"/>
          <w:lang w:val="es-ES" w:eastAsia="es-MX"/>
        </w:rPr>
        <w:t xml:space="preserve">5. </w:t>
      </w:r>
      <w:r w:rsidRPr="00F17180">
        <w:rPr>
          <w:rFonts w:ascii="ITC Avant Garde" w:hAnsi="ITC Avant Garde"/>
          <w:bCs/>
          <w:i/>
          <w:color w:val="000000"/>
          <w:sz w:val="16"/>
          <w:szCs w:val="16"/>
          <w:u w:val="single"/>
          <w:lang w:val="es-ES" w:eastAsia="es-MX"/>
        </w:rPr>
        <w:t xml:space="preserve">Acciones de planificación </w:t>
      </w:r>
    </w:p>
    <w:p w14:paraId="68F42053" w14:textId="77777777" w:rsidR="003F43A6" w:rsidRPr="00F17180" w:rsidRDefault="003F43A6" w:rsidP="003F43A6">
      <w:pPr>
        <w:ind w:left="708" w:right="670"/>
        <w:jc w:val="both"/>
        <w:rPr>
          <w:rFonts w:ascii="ITC Avant Garde" w:hAnsi="ITC Avant Garde"/>
          <w:bCs/>
          <w:i/>
          <w:color w:val="000000"/>
          <w:sz w:val="16"/>
          <w:szCs w:val="16"/>
          <w:lang w:val="es-ES" w:eastAsia="es-MX"/>
        </w:rPr>
      </w:pPr>
    </w:p>
    <w:p w14:paraId="78890FD4" w14:textId="77777777" w:rsidR="003F43A6" w:rsidRPr="00F17180" w:rsidRDefault="003F43A6" w:rsidP="003F43A6">
      <w:pPr>
        <w:ind w:left="708" w:right="670"/>
        <w:jc w:val="both"/>
        <w:rPr>
          <w:rFonts w:ascii="ITC Avant Garde" w:hAnsi="ITC Avant Garde"/>
          <w:bCs/>
          <w:i/>
          <w:color w:val="000000"/>
          <w:sz w:val="16"/>
          <w:szCs w:val="16"/>
          <w:lang w:val="es-ES" w:eastAsia="es-MX"/>
        </w:rPr>
      </w:pPr>
      <w:r w:rsidRPr="00F17180">
        <w:rPr>
          <w:rFonts w:ascii="ITC Avant Garde" w:hAnsi="ITC Avant Garde"/>
          <w:bCs/>
          <w:i/>
          <w:color w:val="000000"/>
          <w:sz w:val="16"/>
          <w:szCs w:val="16"/>
          <w:lang w:val="es-ES" w:eastAsia="es-MX"/>
        </w:rPr>
        <w:t xml:space="preserve">La banda de frecuencias 410-430 MHz está considerada en las acciones propuestas que están contenidas en el documento ‘El Espectro Radioeléctrico en México, Estudio y Acciones´. </w:t>
      </w:r>
      <w:r w:rsidRPr="00F17180">
        <w:rPr>
          <w:rFonts w:ascii="ITC Avant Garde" w:hAnsi="ITC Avant Garde"/>
          <w:bCs/>
          <w:i/>
          <w:color w:val="000000"/>
          <w:sz w:val="16"/>
          <w:szCs w:val="16"/>
          <w:u w:val="single"/>
          <w:lang w:val="es-ES" w:eastAsia="es-MX"/>
        </w:rPr>
        <w:t>La planificación para esta banda se orienta hacia su reconfiguración para albergar a los concesionarios y asignatarios del servicio de radiolocalización especializada de flotillas (</w:t>
      </w:r>
      <w:proofErr w:type="spellStart"/>
      <w:r w:rsidRPr="00F17180">
        <w:rPr>
          <w:rFonts w:ascii="ITC Avant Garde" w:hAnsi="ITC Avant Garde"/>
          <w:bCs/>
          <w:i/>
          <w:color w:val="000000"/>
          <w:sz w:val="16"/>
          <w:szCs w:val="16"/>
          <w:u w:val="single"/>
          <w:lang w:val="es-ES" w:eastAsia="es-MX"/>
        </w:rPr>
        <w:t>trunking</w:t>
      </w:r>
      <w:proofErr w:type="spellEnd"/>
      <w:r w:rsidRPr="00F17180">
        <w:rPr>
          <w:rFonts w:ascii="ITC Avant Garde" w:hAnsi="ITC Avant Garde"/>
          <w:bCs/>
          <w:i/>
          <w:color w:val="000000"/>
          <w:sz w:val="16"/>
          <w:szCs w:val="16"/>
          <w:u w:val="single"/>
          <w:lang w:val="es-ES" w:eastAsia="es-MX"/>
        </w:rPr>
        <w:t>) que operan mayoritariamente en la banda 806-824/851-869 MHz, para permitir la liberación de espectro en esta banda para su uso en sistemas de banda ancha móvil, conforme a lo contemplado en el numeral 4 de la sección II del presente oficio</w:t>
      </w:r>
      <w:r w:rsidRPr="00F17180">
        <w:rPr>
          <w:rFonts w:ascii="ITC Avant Garde" w:hAnsi="ITC Avant Garde"/>
          <w:bCs/>
          <w:i/>
          <w:color w:val="000000"/>
          <w:sz w:val="16"/>
          <w:szCs w:val="16"/>
          <w:lang w:val="es-ES" w:eastAsia="es-MX"/>
        </w:rPr>
        <w:t xml:space="preserve">. </w:t>
      </w:r>
    </w:p>
    <w:p w14:paraId="3D3125A3" w14:textId="77777777" w:rsidR="003F43A6" w:rsidRPr="00F17180" w:rsidRDefault="003F43A6" w:rsidP="003F43A6">
      <w:pPr>
        <w:ind w:left="708" w:right="670"/>
        <w:jc w:val="both"/>
        <w:rPr>
          <w:rFonts w:ascii="ITC Avant Garde" w:hAnsi="ITC Avant Garde"/>
          <w:bCs/>
          <w:i/>
          <w:color w:val="000000"/>
          <w:sz w:val="16"/>
          <w:szCs w:val="16"/>
          <w:lang w:val="es-ES" w:eastAsia="es-MX"/>
        </w:rPr>
      </w:pPr>
    </w:p>
    <w:p w14:paraId="217DAE2A" w14:textId="77777777" w:rsidR="003F43A6" w:rsidRPr="00F17180" w:rsidRDefault="003F43A6" w:rsidP="003F43A6">
      <w:pPr>
        <w:ind w:left="708" w:right="670"/>
        <w:jc w:val="both"/>
        <w:rPr>
          <w:rFonts w:ascii="ITC Avant Garde" w:hAnsi="ITC Avant Garde"/>
          <w:bCs/>
          <w:color w:val="000000"/>
          <w:sz w:val="16"/>
          <w:szCs w:val="16"/>
          <w:lang w:val="es-ES" w:eastAsia="es-MX"/>
        </w:rPr>
      </w:pPr>
      <w:r w:rsidRPr="00F17180">
        <w:rPr>
          <w:rFonts w:ascii="ITC Avant Garde" w:hAnsi="ITC Avant Garde"/>
          <w:bCs/>
          <w:i/>
          <w:color w:val="000000"/>
          <w:sz w:val="16"/>
          <w:szCs w:val="16"/>
          <w:lang w:val="es-ES" w:eastAsia="es-MX"/>
        </w:rPr>
        <w:t xml:space="preserve">[…].” </w:t>
      </w:r>
      <w:proofErr w:type="gramStart"/>
      <w:r w:rsidRPr="00F17180">
        <w:rPr>
          <w:rFonts w:ascii="ITC Avant Garde" w:hAnsi="ITC Avant Garde"/>
          <w:bCs/>
          <w:color w:val="000000"/>
          <w:sz w:val="16"/>
          <w:szCs w:val="16"/>
          <w:lang w:val="es-ES" w:eastAsia="es-MX"/>
        </w:rPr>
        <w:t>sic</w:t>
      </w:r>
      <w:proofErr w:type="gramEnd"/>
      <w:r w:rsidRPr="00F17180">
        <w:rPr>
          <w:rFonts w:ascii="ITC Avant Garde" w:hAnsi="ITC Avant Garde"/>
          <w:bCs/>
          <w:color w:val="000000"/>
          <w:sz w:val="16"/>
          <w:szCs w:val="16"/>
          <w:lang w:val="es-ES" w:eastAsia="es-MX"/>
        </w:rPr>
        <w:t xml:space="preserve"> (énfasis añadido)</w:t>
      </w:r>
    </w:p>
    <w:p w14:paraId="6D8F53D4" w14:textId="77777777" w:rsidR="003F43A6" w:rsidRPr="00F80391" w:rsidRDefault="003F43A6" w:rsidP="003F43A6">
      <w:pPr>
        <w:jc w:val="both"/>
        <w:rPr>
          <w:rFonts w:ascii="ITC Avant Garde" w:hAnsi="ITC Avant Garde"/>
          <w:bCs/>
          <w:color w:val="000000"/>
          <w:sz w:val="18"/>
          <w:szCs w:val="22"/>
          <w:lang w:val="es-ES" w:eastAsia="es-MX"/>
        </w:rPr>
      </w:pPr>
    </w:p>
    <w:p w14:paraId="2E8FCC4D" w14:textId="77777777" w:rsidR="003F43A6" w:rsidRPr="00F17180" w:rsidRDefault="003F43A6" w:rsidP="003F43A6">
      <w:pPr>
        <w:jc w:val="both"/>
        <w:rPr>
          <w:rFonts w:ascii="ITC Avant Garde" w:hAnsi="ITC Avant Garde"/>
          <w:bCs/>
          <w:color w:val="000000"/>
          <w:sz w:val="22"/>
          <w:szCs w:val="22"/>
          <w:lang w:val="es-ES" w:eastAsia="es-MX"/>
        </w:rPr>
      </w:pPr>
      <w:r w:rsidRPr="00F17180">
        <w:rPr>
          <w:rFonts w:ascii="ITC Avant Garde" w:hAnsi="ITC Avant Garde"/>
          <w:bCs/>
          <w:color w:val="000000"/>
          <w:sz w:val="22"/>
          <w:szCs w:val="22"/>
          <w:lang w:val="es-ES" w:eastAsia="es-MX"/>
        </w:rPr>
        <w:t>Lo anterior es consistente con lo dispuesto por el Cuadro Nacional de Atribución de Frecuencias, publicado en el Diario Oficial de la Federación el 28 de febrero de 2012, vigente al momento de que dicha Dirección General emitió su opinión, mismo que en su artículo 5, al identificar a las Notas Internacionales, señalaba lo siguiente:</w:t>
      </w:r>
    </w:p>
    <w:p w14:paraId="5D9D692F" w14:textId="77777777" w:rsidR="003F43A6" w:rsidRPr="00F80391" w:rsidRDefault="003F43A6" w:rsidP="003F43A6">
      <w:pPr>
        <w:ind w:right="670"/>
        <w:jc w:val="both"/>
        <w:rPr>
          <w:rFonts w:ascii="ITC Avant Garde" w:hAnsi="ITC Avant Garde"/>
          <w:bCs/>
          <w:color w:val="000000"/>
          <w:sz w:val="18"/>
          <w:szCs w:val="22"/>
          <w:lang w:val="es-ES" w:eastAsia="es-MX"/>
        </w:rPr>
      </w:pPr>
    </w:p>
    <w:p w14:paraId="7AD9074A" w14:textId="77777777" w:rsidR="003F43A6" w:rsidRPr="00F17180" w:rsidRDefault="003F43A6" w:rsidP="003F43A6">
      <w:pPr>
        <w:ind w:left="708" w:right="670"/>
        <w:jc w:val="both"/>
        <w:rPr>
          <w:rFonts w:ascii="ITC Avant Garde" w:hAnsi="ITC Avant Garde"/>
          <w:bCs/>
          <w:i/>
          <w:color w:val="000000"/>
          <w:sz w:val="16"/>
          <w:szCs w:val="16"/>
          <w:lang w:val="es-ES" w:eastAsia="es-MX"/>
        </w:rPr>
      </w:pPr>
      <w:r w:rsidRPr="00F17180">
        <w:rPr>
          <w:rFonts w:ascii="ITC Avant Garde" w:hAnsi="ITC Avant Garde"/>
          <w:bCs/>
          <w:i/>
          <w:color w:val="000000"/>
          <w:sz w:val="16"/>
          <w:szCs w:val="16"/>
          <w:lang w:val="es-ES" w:eastAsia="es-MX"/>
        </w:rPr>
        <w:t>“</w:t>
      </w:r>
      <w:r w:rsidRPr="00F17180">
        <w:rPr>
          <w:rFonts w:ascii="ITC Avant Garde" w:hAnsi="ITC Avant Garde"/>
          <w:b/>
          <w:bCs/>
          <w:i/>
          <w:color w:val="000000"/>
          <w:sz w:val="16"/>
          <w:szCs w:val="16"/>
          <w:lang w:val="es-ES" w:eastAsia="es-MX"/>
        </w:rPr>
        <w:t xml:space="preserve">5.317A </w:t>
      </w:r>
      <w:r w:rsidRPr="00F17180">
        <w:rPr>
          <w:rFonts w:ascii="ITC Avant Garde" w:hAnsi="ITC Avant Garde"/>
          <w:bCs/>
          <w:i/>
          <w:color w:val="000000"/>
          <w:sz w:val="16"/>
          <w:szCs w:val="16"/>
          <w:lang w:val="es-ES" w:eastAsia="es-MX"/>
        </w:rPr>
        <w:t>Las partes de la banda 698-960 MHz en la Región 2 y de la banda 790-960 MHz en las Regiones 1 y 3 atribuidas al servicio móvil a título primario se han identificado para su utilización por las administraciones que deseen introducir las Telecomunicaciones Móviles Internacionales (IMT). Véanse las Resoluciones 224 (Rev. CMR-07) y 749 (CMR-07). La identificación de estas bandas no excluye que se utilicen para otras aplicaciones de los servicios a los que estén atribuidas y no implica prioridad alguna en el Reglamento de Radiocomunicaciones. (CMR07).</w:t>
      </w:r>
    </w:p>
    <w:p w14:paraId="72F98C34" w14:textId="77777777" w:rsidR="003F43A6" w:rsidRPr="00F17180" w:rsidRDefault="003F43A6" w:rsidP="003F43A6">
      <w:pPr>
        <w:jc w:val="both"/>
        <w:rPr>
          <w:rFonts w:ascii="ITC Avant Garde" w:hAnsi="ITC Avant Garde"/>
          <w:bCs/>
          <w:i/>
          <w:color w:val="000000"/>
          <w:sz w:val="16"/>
          <w:szCs w:val="16"/>
          <w:lang w:val="es-ES" w:eastAsia="es-MX"/>
        </w:rPr>
      </w:pPr>
    </w:p>
    <w:p w14:paraId="6A849D80" w14:textId="77777777" w:rsidR="003F43A6" w:rsidRPr="00F17180" w:rsidRDefault="003F43A6" w:rsidP="003F43A6">
      <w:pPr>
        <w:jc w:val="both"/>
        <w:rPr>
          <w:rFonts w:ascii="ITC Avant Garde" w:hAnsi="ITC Avant Garde"/>
          <w:bCs/>
          <w:color w:val="000000"/>
          <w:sz w:val="22"/>
          <w:szCs w:val="22"/>
          <w:lang w:val="es-ES" w:eastAsia="es-MX"/>
        </w:rPr>
      </w:pPr>
      <w:r w:rsidRPr="00F17180">
        <w:rPr>
          <w:rFonts w:ascii="ITC Avant Garde" w:hAnsi="ITC Avant Garde"/>
          <w:bCs/>
          <w:color w:val="000000"/>
          <w:sz w:val="22"/>
          <w:szCs w:val="22"/>
          <w:lang w:val="es-ES" w:eastAsia="es-MX"/>
        </w:rPr>
        <w:t>Asimismo, al identificar las Notas Nacionales, señalaba lo siguiente:</w:t>
      </w:r>
    </w:p>
    <w:p w14:paraId="7C9B2604" w14:textId="77777777" w:rsidR="003F43A6" w:rsidRPr="00F80391" w:rsidRDefault="003F43A6" w:rsidP="003F43A6">
      <w:pPr>
        <w:jc w:val="both"/>
        <w:rPr>
          <w:rFonts w:ascii="ITC Avant Garde" w:hAnsi="ITC Avant Garde"/>
          <w:bCs/>
          <w:color w:val="000000"/>
          <w:sz w:val="18"/>
          <w:szCs w:val="22"/>
          <w:lang w:val="es-ES" w:eastAsia="es-MX"/>
        </w:rPr>
      </w:pPr>
    </w:p>
    <w:p w14:paraId="670E6495" w14:textId="77777777" w:rsidR="003F43A6" w:rsidRDefault="003F43A6" w:rsidP="003F43A6">
      <w:pPr>
        <w:ind w:left="705"/>
        <w:jc w:val="both"/>
        <w:rPr>
          <w:rFonts w:ascii="ITC Avant Garde" w:hAnsi="ITC Avant Garde"/>
          <w:bCs/>
          <w:color w:val="000000"/>
          <w:sz w:val="16"/>
          <w:szCs w:val="16"/>
          <w:lang w:val="es-ES" w:eastAsia="es-MX"/>
        </w:rPr>
      </w:pPr>
      <w:r w:rsidRPr="00F17180">
        <w:rPr>
          <w:rFonts w:ascii="ITC Avant Garde" w:hAnsi="ITC Avant Garde"/>
          <w:bCs/>
          <w:color w:val="000000"/>
          <w:sz w:val="16"/>
          <w:szCs w:val="16"/>
          <w:lang w:val="es-ES" w:eastAsia="es-MX"/>
        </w:rPr>
        <w:t>“</w:t>
      </w:r>
      <w:r w:rsidRPr="00F17180">
        <w:rPr>
          <w:rFonts w:ascii="ITC Avant Garde" w:hAnsi="ITC Avant Garde"/>
          <w:b/>
          <w:bCs/>
          <w:color w:val="000000"/>
          <w:sz w:val="16"/>
          <w:szCs w:val="16"/>
          <w:lang w:val="es-ES" w:eastAsia="es-MX"/>
        </w:rPr>
        <w:t>MEX78A</w:t>
      </w:r>
      <w:r w:rsidRPr="00F17180">
        <w:rPr>
          <w:rFonts w:ascii="ITC Avant Garde" w:hAnsi="ITC Avant Garde"/>
          <w:bCs/>
          <w:color w:val="000000"/>
          <w:sz w:val="16"/>
          <w:szCs w:val="16"/>
          <w:lang w:val="es-ES" w:eastAsia="es-MX"/>
        </w:rPr>
        <w:t xml:space="preserve"> La banda 410 – 430 MHz es apropiada para la operación de sistemas móviles </w:t>
      </w:r>
      <w:proofErr w:type="spellStart"/>
      <w:r w:rsidRPr="00F17180">
        <w:rPr>
          <w:rFonts w:ascii="ITC Avant Garde" w:hAnsi="ITC Avant Garde"/>
          <w:bCs/>
          <w:color w:val="000000"/>
          <w:sz w:val="16"/>
          <w:szCs w:val="16"/>
          <w:lang w:val="es-ES" w:eastAsia="es-MX"/>
        </w:rPr>
        <w:t>troncalizados</w:t>
      </w:r>
      <w:proofErr w:type="spellEnd"/>
      <w:r w:rsidRPr="00F17180">
        <w:rPr>
          <w:rFonts w:ascii="ITC Avant Garde" w:hAnsi="ITC Avant Garde"/>
          <w:bCs/>
          <w:color w:val="000000"/>
          <w:sz w:val="16"/>
          <w:szCs w:val="16"/>
          <w:lang w:val="es-ES" w:eastAsia="es-MX"/>
        </w:rPr>
        <w:t xml:space="preserve"> digitales.”</w:t>
      </w:r>
    </w:p>
    <w:p w14:paraId="5750D7F2" w14:textId="77777777" w:rsidR="007C0BC7" w:rsidRPr="00F17180" w:rsidRDefault="007C0BC7" w:rsidP="003F43A6">
      <w:pPr>
        <w:ind w:left="705"/>
        <w:jc w:val="both"/>
        <w:rPr>
          <w:rFonts w:ascii="ITC Avant Garde" w:hAnsi="ITC Avant Garde"/>
          <w:bCs/>
          <w:color w:val="000000"/>
          <w:sz w:val="16"/>
          <w:szCs w:val="16"/>
          <w:lang w:val="es-ES" w:eastAsia="es-MX"/>
        </w:rPr>
      </w:pPr>
    </w:p>
    <w:p w14:paraId="57C1C201" w14:textId="77777777" w:rsidR="003F43A6" w:rsidRPr="00F17180" w:rsidRDefault="003F43A6" w:rsidP="003F43A6">
      <w:pPr>
        <w:pStyle w:val="Prrafodelista"/>
        <w:ind w:left="0"/>
        <w:jc w:val="both"/>
        <w:rPr>
          <w:rFonts w:ascii="ITC Avant Garde" w:eastAsia="Calibri" w:hAnsi="ITC Avant Garde"/>
          <w:bCs/>
          <w:color w:val="000000"/>
          <w:sz w:val="22"/>
          <w:szCs w:val="22"/>
          <w:lang w:eastAsia="es-MX"/>
        </w:rPr>
      </w:pPr>
      <w:r w:rsidRPr="00F17180">
        <w:rPr>
          <w:rFonts w:ascii="ITC Avant Garde" w:eastAsia="Calibri" w:hAnsi="ITC Avant Garde"/>
          <w:bCs/>
          <w:color w:val="000000"/>
          <w:sz w:val="22"/>
          <w:szCs w:val="22"/>
          <w:lang w:eastAsia="es-MX"/>
        </w:rPr>
        <w:t>De la opinión anterior se desprende que la Solicitud de Prórroga resulta procedente desde el punto de vista de planificación espectral, siempre y cuando las prórrogas que se concedan para el servicio de radiocomunicación especializada de flotillas se otorguen dentro de la banda 410 – 430 MHz.</w:t>
      </w:r>
    </w:p>
    <w:p w14:paraId="3F3C7D5A" w14:textId="77777777" w:rsidR="003F43A6" w:rsidRPr="00F17180" w:rsidRDefault="003F43A6" w:rsidP="003F43A6">
      <w:pPr>
        <w:pStyle w:val="Prrafodelista"/>
        <w:ind w:left="0"/>
        <w:jc w:val="both"/>
        <w:rPr>
          <w:rFonts w:ascii="ITC Avant Garde" w:hAnsi="ITC Avant Garde"/>
          <w:bCs/>
          <w:color w:val="000000"/>
          <w:sz w:val="22"/>
          <w:szCs w:val="22"/>
          <w:lang w:val="es-ES" w:eastAsia="es-MX"/>
        </w:rPr>
      </w:pPr>
    </w:p>
    <w:p w14:paraId="17D4253D" w14:textId="77777777" w:rsidR="0085684A" w:rsidRPr="00F17180" w:rsidRDefault="0085684A" w:rsidP="00B53D4B">
      <w:pPr>
        <w:tabs>
          <w:tab w:val="left" w:pos="0"/>
        </w:tabs>
        <w:ind w:right="99"/>
        <w:jc w:val="both"/>
        <w:rPr>
          <w:rFonts w:ascii="ITC Avant Garde" w:hAnsi="ITC Avant Garde"/>
          <w:bCs/>
          <w:color w:val="000000"/>
          <w:sz w:val="22"/>
          <w:szCs w:val="22"/>
          <w:lang w:val="es-ES" w:eastAsia="es-MX"/>
        </w:rPr>
      </w:pPr>
      <w:r w:rsidRPr="00F17180">
        <w:rPr>
          <w:rFonts w:ascii="ITC Avant Garde" w:hAnsi="ITC Avant Garde"/>
          <w:bCs/>
          <w:color w:val="000000"/>
          <w:sz w:val="22"/>
          <w:szCs w:val="22"/>
          <w:lang w:val="es-ES" w:eastAsia="es-MX"/>
        </w:rPr>
        <w:t>En concordancia con lo anterior como se mencionó en el Antecedente X, la Dirección General de Ingeniería del Espectro y Estudios Técnicos, adscrita a la Unidad de Espectro Radioeléctrico del Instituto, señaló lo siguiente respecto de la planificación espectral para la banda 410-430 MHz:</w:t>
      </w:r>
    </w:p>
    <w:p w14:paraId="40A55932" w14:textId="77777777" w:rsidR="0085684A" w:rsidRPr="007C0BC7" w:rsidRDefault="0085684A" w:rsidP="00B53D4B">
      <w:pPr>
        <w:tabs>
          <w:tab w:val="left" w:pos="0"/>
        </w:tabs>
        <w:ind w:right="99"/>
        <w:jc w:val="both"/>
        <w:rPr>
          <w:rFonts w:ascii="ITC Avant Garde" w:hAnsi="ITC Avant Garde"/>
          <w:bCs/>
          <w:color w:val="000000"/>
          <w:sz w:val="16"/>
          <w:szCs w:val="22"/>
          <w:lang w:val="es-ES" w:eastAsia="es-MX"/>
        </w:rPr>
      </w:pPr>
    </w:p>
    <w:p w14:paraId="57386530" w14:textId="607814D6" w:rsidR="000E3628" w:rsidRPr="00F17180" w:rsidRDefault="003F43A6" w:rsidP="003F43A6">
      <w:pPr>
        <w:ind w:left="284" w:right="99"/>
        <w:jc w:val="both"/>
        <w:rPr>
          <w:rFonts w:ascii="ITC Avant Garde" w:hAnsi="ITC Avant Garde" w:cstheme="minorHAnsi"/>
          <w:i/>
          <w:sz w:val="16"/>
          <w:szCs w:val="16"/>
        </w:rPr>
      </w:pPr>
      <w:r w:rsidRPr="00F17180">
        <w:rPr>
          <w:rFonts w:ascii="ITC Avant Garde" w:hAnsi="ITC Avant Garde" w:cstheme="minorHAnsi"/>
          <w:i/>
          <w:sz w:val="16"/>
          <w:szCs w:val="16"/>
        </w:rPr>
        <w:t>“</w:t>
      </w:r>
      <w:r w:rsidR="000E3628" w:rsidRPr="00F17180">
        <w:rPr>
          <w:rFonts w:ascii="ITC Avant Garde" w:hAnsi="ITC Avant Garde" w:cstheme="minorHAnsi"/>
          <w:i/>
          <w:sz w:val="16"/>
          <w:szCs w:val="16"/>
        </w:rPr>
        <w:t>[..]</w:t>
      </w:r>
    </w:p>
    <w:p w14:paraId="6809F139" w14:textId="77777777" w:rsidR="000E3628" w:rsidRPr="00F17180" w:rsidRDefault="000E3628" w:rsidP="003F43A6">
      <w:pPr>
        <w:ind w:left="284" w:right="99"/>
        <w:jc w:val="both"/>
        <w:rPr>
          <w:rFonts w:ascii="ITC Avant Garde" w:hAnsi="ITC Avant Garde" w:cstheme="minorHAnsi"/>
          <w:b/>
          <w:i/>
          <w:sz w:val="16"/>
          <w:szCs w:val="16"/>
        </w:rPr>
      </w:pPr>
    </w:p>
    <w:p w14:paraId="2A27A8C3" w14:textId="298ED83A" w:rsidR="003F43A6" w:rsidRPr="00F17180" w:rsidRDefault="003F43A6" w:rsidP="003F43A6">
      <w:pPr>
        <w:ind w:left="284" w:right="99"/>
        <w:jc w:val="both"/>
        <w:rPr>
          <w:rFonts w:ascii="ITC Avant Garde" w:hAnsi="ITC Avant Garde" w:cstheme="minorHAnsi"/>
          <w:b/>
          <w:i/>
          <w:sz w:val="16"/>
          <w:szCs w:val="16"/>
        </w:rPr>
      </w:pPr>
      <w:r w:rsidRPr="00F17180">
        <w:rPr>
          <w:rFonts w:ascii="ITC Avant Garde" w:hAnsi="ITC Avant Garde" w:cstheme="minorHAnsi"/>
          <w:b/>
          <w:i/>
          <w:sz w:val="16"/>
          <w:szCs w:val="16"/>
        </w:rPr>
        <w:t>II. Planificación espectral para la banda 410-430 MHz</w:t>
      </w:r>
    </w:p>
    <w:p w14:paraId="4E821C40" w14:textId="77777777" w:rsidR="003F43A6" w:rsidRPr="00F17180" w:rsidRDefault="003F43A6" w:rsidP="003F43A6">
      <w:pPr>
        <w:ind w:left="284" w:right="528"/>
        <w:jc w:val="both"/>
        <w:rPr>
          <w:rFonts w:ascii="ITC Avant Garde" w:hAnsi="ITC Avant Garde" w:cstheme="minorHAnsi"/>
          <w:b/>
          <w:i/>
          <w:sz w:val="16"/>
          <w:szCs w:val="16"/>
        </w:rPr>
      </w:pPr>
    </w:p>
    <w:p w14:paraId="7082B42A" w14:textId="77777777" w:rsidR="003F43A6" w:rsidRPr="00F17180" w:rsidRDefault="003F43A6" w:rsidP="003F43A6">
      <w:pPr>
        <w:pStyle w:val="Prrafodelista"/>
        <w:numPr>
          <w:ilvl w:val="0"/>
          <w:numId w:val="47"/>
        </w:numPr>
        <w:ind w:right="528"/>
        <w:jc w:val="both"/>
        <w:rPr>
          <w:rFonts w:ascii="ITC Avant Garde" w:hAnsi="ITC Avant Garde" w:cstheme="minorHAnsi"/>
          <w:i/>
          <w:sz w:val="16"/>
          <w:szCs w:val="16"/>
        </w:rPr>
      </w:pPr>
      <w:r w:rsidRPr="00F17180">
        <w:rPr>
          <w:rFonts w:ascii="ITC Avant Garde" w:hAnsi="ITC Avant Garde" w:cstheme="minorHAnsi"/>
          <w:i/>
          <w:sz w:val="16"/>
          <w:szCs w:val="16"/>
        </w:rPr>
        <w:t>Reconfiguración de la banda 806-824 / 851-869 MHz</w:t>
      </w:r>
    </w:p>
    <w:p w14:paraId="6146A531" w14:textId="77777777" w:rsidR="003F43A6" w:rsidRPr="00F17180" w:rsidRDefault="003F43A6" w:rsidP="003F43A6">
      <w:pPr>
        <w:ind w:left="284" w:right="528"/>
        <w:jc w:val="both"/>
        <w:rPr>
          <w:rFonts w:ascii="ITC Avant Garde" w:hAnsi="ITC Avant Garde" w:cstheme="minorHAnsi"/>
          <w:i/>
          <w:sz w:val="16"/>
          <w:szCs w:val="16"/>
        </w:rPr>
      </w:pPr>
    </w:p>
    <w:p w14:paraId="6E3C4567" w14:textId="710C438C" w:rsidR="003F43A6" w:rsidRPr="00F17180" w:rsidRDefault="003F43A6" w:rsidP="003F43A6">
      <w:pPr>
        <w:ind w:left="284" w:right="528"/>
        <w:jc w:val="both"/>
        <w:rPr>
          <w:rFonts w:ascii="ITC Avant Garde" w:hAnsi="ITC Avant Garde" w:cstheme="minorHAnsi"/>
          <w:i/>
          <w:sz w:val="16"/>
          <w:szCs w:val="16"/>
        </w:rPr>
      </w:pPr>
      <w:r w:rsidRPr="00F17180">
        <w:rPr>
          <w:rFonts w:ascii="ITC Avant Garde" w:hAnsi="ITC Avant Garde" w:cstheme="minorHAnsi"/>
          <w:i/>
          <w:sz w:val="16"/>
          <w:szCs w:val="16"/>
        </w:rPr>
        <w:t xml:space="preserve">Las acciones de planificación respecto a la banda 806-824/851-869 MHz corresponden al proceso de reorganización de la citada banda conforme a lo </w:t>
      </w:r>
      <w:r w:rsidR="000E3628" w:rsidRPr="00F17180">
        <w:rPr>
          <w:rFonts w:ascii="ITC Avant Garde" w:hAnsi="ITC Avant Garde" w:cstheme="minorHAnsi"/>
          <w:i/>
          <w:sz w:val="16"/>
          <w:szCs w:val="16"/>
        </w:rPr>
        <w:t>indicado en el ‘</w:t>
      </w:r>
      <w:r w:rsidRPr="00F17180">
        <w:rPr>
          <w:rFonts w:ascii="ITC Avant Garde" w:hAnsi="ITC Avant Garde" w:cstheme="minorHAnsi"/>
          <w:i/>
          <w:sz w:val="16"/>
          <w:szCs w:val="16"/>
        </w:rPr>
        <w:t>Acuerdo mediante el cual el Pleno del Instituto Federal de Telecomunicaciones modifica el Programa Anual de Uso y Aprovechamient</w:t>
      </w:r>
      <w:r w:rsidR="000E3628" w:rsidRPr="00F17180">
        <w:rPr>
          <w:rFonts w:ascii="ITC Avant Garde" w:hAnsi="ITC Avant Garde" w:cstheme="minorHAnsi"/>
          <w:i/>
          <w:sz w:val="16"/>
          <w:szCs w:val="16"/>
        </w:rPr>
        <w:t>o de bandas de frecuencias 2015’</w:t>
      </w:r>
      <w:r w:rsidRPr="00F17180">
        <w:rPr>
          <w:rFonts w:ascii="ITC Avant Garde" w:hAnsi="ITC Avant Garde" w:cstheme="minorHAnsi"/>
          <w:i/>
          <w:sz w:val="16"/>
          <w:szCs w:val="16"/>
        </w:rPr>
        <w:t>, publicado  en el Diario Oficial de la Federación el 6 de abril de 2015</w:t>
      </w:r>
      <w:r w:rsidRPr="00F17180">
        <w:rPr>
          <w:rFonts w:ascii="ITC Avant Garde" w:hAnsi="ITC Avant Garde"/>
          <w:i/>
          <w:sz w:val="16"/>
          <w:szCs w:val="16"/>
        </w:rPr>
        <w:footnoteReference w:id="1"/>
      </w:r>
      <w:r w:rsidRPr="00F17180">
        <w:rPr>
          <w:rFonts w:ascii="ITC Avant Garde" w:hAnsi="ITC Avant Garde" w:cstheme="minorHAnsi"/>
          <w:i/>
          <w:sz w:val="16"/>
          <w:szCs w:val="16"/>
        </w:rPr>
        <w:t xml:space="preserve">; con el fin de posibilitar la introducción de servicios de banda ancha móvil en el rango de frecuencias 814-824/859-869 MHz, de conformidad con la identificación de esta banda para las Telecomunicaciones Móviles Internacionales (IMT), para la introducción de tecnologías de banda ancha compatibles con el estándar tecnológico definido para la banda 26 especificado por el 3GPP (3rd </w:t>
      </w:r>
      <w:proofErr w:type="spellStart"/>
      <w:r w:rsidRPr="00F17180">
        <w:rPr>
          <w:rFonts w:ascii="ITC Avant Garde" w:hAnsi="ITC Avant Garde" w:cstheme="minorHAnsi"/>
          <w:i/>
          <w:sz w:val="16"/>
          <w:szCs w:val="16"/>
        </w:rPr>
        <w:t>Generation</w:t>
      </w:r>
      <w:proofErr w:type="spellEnd"/>
      <w:r w:rsidRPr="00F17180">
        <w:rPr>
          <w:rFonts w:ascii="ITC Avant Garde" w:hAnsi="ITC Avant Garde" w:cstheme="minorHAnsi"/>
          <w:i/>
          <w:sz w:val="16"/>
          <w:szCs w:val="16"/>
        </w:rPr>
        <w:t xml:space="preserve"> </w:t>
      </w:r>
      <w:proofErr w:type="spellStart"/>
      <w:r w:rsidRPr="00F17180">
        <w:rPr>
          <w:rFonts w:ascii="ITC Avant Garde" w:hAnsi="ITC Avant Garde" w:cstheme="minorHAnsi"/>
          <w:i/>
          <w:sz w:val="16"/>
          <w:szCs w:val="16"/>
        </w:rPr>
        <w:t>Partnership</w:t>
      </w:r>
      <w:proofErr w:type="spellEnd"/>
      <w:r w:rsidRPr="00F17180">
        <w:rPr>
          <w:rFonts w:ascii="ITC Avant Garde" w:hAnsi="ITC Avant Garde" w:cstheme="minorHAnsi"/>
          <w:i/>
          <w:sz w:val="16"/>
          <w:szCs w:val="16"/>
        </w:rPr>
        <w:t xml:space="preserve"> Project).</w:t>
      </w:r>
    </w:p>
    <w:p w14:paraId="193F833F" w14:textId="77777777" w:rsidR="003F43A6" w:rsidRPr="00F17180" w:rsidRDefault="003F43A6" w:rsidP="003F43A6">
      <w:pPr>
        <w:ind w:left="284" w:right="528"/>
        <w:jc w:val="both"/>
        <w:rPr>
          <w:rFonts w:ascii="ITC Avant Garde" w:hAnsi="ITC Avant Garde" w:cstheme="minorHAnsi"/>
          <w:i/>
          <w:sz w:val="16"/>
          <w:szCs w:val="16"/>
        </w:rPr>
      </w:pPr>
    </w:p>
    <w:p w14:paraId="349AC10F" w14:textId="77777777" w:rsidR="003F43A6" w:rsidRPr="00F17180" w:rsidRDefault="003F43A6" w:rsidP="003F43A6">
      <w:pPr>
        <w:ind w:left="284" w:right="528"/>
        <w:jc w:val="both"/>
        <w:rPr>
          <w:rFonts w:ascii="ITC Avant Garde" w:hAnsi="ITC Avant Garde" w:cstheme="minorHAnsi"/>
          <w:i/>
          <w:sz w:val="16"/>
          <w:szCs w:val="16"/>
        </w:rPr>
      </w:pPr>
      <w:r w:rsidRPr="00F17180">
        <w:rPr>
          <w:rFonts w:ascii="ITC Avant Garde" w:hAnsi="ITC Avant Garde" w:cstheme="minorHAnsi"/>
          <w:i/>
          <w:sz w:val="16"/>
          <w:szCs w:val="16"/>
        </w:rPr>
        <w:t>En este sentido, se ha identificado la banda 410-430 MHz como una de las alternativas para la reubicación de las operaciones de los concesionarios de sistemas de radiocomunicación especializada de flotillas (</w:t>
      </w:r>
      <w:proofErr w:type="spellStart"/>
      <w:r w:rsidRPr="00F17180">
        <w:rPr>
          <w:rFonts w:ascii="ITC Avant Garde" w:hAnsi="ITC Avant Garde" w:cstheme="minorHAnsi"/>
          <w:i/>
          <w:sz w:val="16"/>
          <w:szCs w:val="16"/>
        </w:rPr>
        <w:t>trunking</w:t>
      </w:r>
      <w:proofErr w:type="spellEnd"/>
      <w:r w:rsidRPr="00F17180">
        <w:rPr>
          <w:rFonts w:ascii="ITC Avant Garde" w:hAnsi="ITC Avant Garde" w:cstheme="minorHAnsi"/>
          <w:i/>
          <w:sz w:val="16"/>
          <w:szCs w:val="16"/>
        </w:rPr>
        <w:t>) provenientes de las bandas 806-821/851-866 MHz y 430-440 MHz. Lo anterior, debido a que el rango de frecuencias 410-430 MHz se considera propicio para la operación de sistemas de banda angosta, esto en virtud de que cuenta con soluciones tecnológicas disponibles, además de que no se encuentra identificada por la Unión Internacional de Telecomunicaciones (UIT) para el despliegue de las IMT por lo que actualmente no se tiene contemplada la introducción de tecnologías de banda ancha móvil.</w:t>
      </w:r>
    </w:p>
    <w:p w14:paraId="2FED26A1" w14:textId="77777777" w:rsidR="003F43A6" w:rsidRPr="00F17180" w:rsidRDefault="003F43A6" w:rsidP="003F43A6">
      <w:pPr>
        <w:ind w:left="284" w:right="528"/>
        <w:jc w:val="both"/>
        <w:rPr>
          <w:rFonts w:ascii="ITC Avant Garde" w:hAnsi="ITC Avant Garde" w:cstheme="minorHAnsi"/>
          <w:i/>
          <w:sz w:val="16"/>
          <w:szCs w:val="16"/>
        </w:rPr>
      </w:pPr>
    </w:p>
    <w:p w14:paraId="37EFC196" w14:textId="77777777" w:rsidR="003F43A6" w:rsidRPr="00F17180" w:rsidRDefault="003F43A6" w:rsidP="003F43A6">
      <w:pPr>
        <w:pStyle w:val="Prrafodelista"/>
        <w:numPr>
          <w:ilvl w:val="0"/>
          <w:numId w:val="47"/>
        </w:numPr>
        <w:ind w:right="528"/>
        <w:jc w:val="both"/>
        <w:rPr>
          <w:rFonts w:ascii="ITC Avant Garde" w:hAnsi="ITC Avant Garde" w:cstheme="minorHAnsi"/>
          <w:i/>
          <w:sz w:val="16"/>
          <w:szCs w:val="16"/>
        </w:rPr>
      </w:pPr>
      <w:r w:rsidRPr="00F17180">
        <w:rPr>
          <w:rFonts w:ascii="ITC Avant Garde" w:hAnsi="ITC Avant Garde" w:cstheme="minorHAnsi"/>
          <w:i/>
          <w:sz w:val="16"/>
          <w:szCs w:val="16"/>
        </w:rPr>
        <w:t>Planificación de la banda 410-430 MHz</w:t>
      </w:r>
    </w:p>
    <w:p w14:paraId="03E25BD5" w14:textId="77777777" w:rsidR="003F43A6" w:rsidRPr="00F17180" w:rsidRDefault="003F43A6" w:rsidP="003F43A6">
      <w:pPr>
        <w:ind w:left="284" w:right="528"/>
        <w:jc w:val="both"/>
        <w:rPr>
          <w:rFonts w:ascii="ITC Avant Garde" w:hAnsi="ITC Avant Garde" w:cstheme="minorHAnsi"/>
          <w:i/>
          <w:sz w:val="16"/>
          <w:szCs w:val="16"/>
        </w:rPr>
      </w:pPr>
    </w:p>
    <w:p w14:paraId="1DE9A0AB" w14:textId="77777777" w:rsidR="003F43A6" w:rsidRPr="00F17180" w:rsidRDefault="003F43A6" w:rsidP="003F43A6">
      <w:pPr>
        <w:ind w:left="284" w:right="528"/>
        <w:jc w:val="both"/>
        <w:rPr>
          <w:rFonts w:ascii="ITC Avant Garde" w:hAnsi="ITC Avant Garde" w:cstheme="minorHAnsi"/>
          <w:i/>
          <w:sz w:val="16"/>
          <w:szCs w:val="16"/>
        </w:rPr>
      </w:pPr>
      <w:r w:rsidRPr="00F17180">
        <w:rPr>
          <w:rFonts w:ascii="ITC Avant Garde" w:hAnsi="ITC Avant Garde" w:cstheme="minorHAnsi"/>
          <w:i/>
          <w:sz w:val="16"/>
          <w:szCs w:val="16"/>
        </w:rPr>
        <w:t>Una vez determinado que la banda de 410-430 MHz podrá alojar los servicios de radiocomunicación especializada de flotillas (</w:t>
      </w:r>
      <w:proofErr w:type="spellStart"/>
      <w:r w:rsidRPr="00F17180">
        <w:rPr>
          <w:rFonts w:ascii="ITC Avant Garde" w:hAnsi="ITC Avant Garde" w:cstheme="minorHAnsi"/>
          <w:i/>
          <w:sz w:val="16"/>
          <w:szCs w:val="16"/>
        </w:rPr>
        <w:t>trunking</w:t>
      </w:r>
      <w:proofErr w:type="spellEnd"/>
      <w:r w:rsidRPr="00F17180">
        <w:rPr>
          <w:rFonts w:ascii="ITC Avant Garde" w:hAnsi="ITC Avant Garde" w:cstheme="minorHAnsi"/>
          <w:i/>
          <w:sz w:val="16"/>
          <w:szCs w:val="16"/>
        </w:rPr>
        <w:t>), se tiene planeada la operación de los sistemas para uso comercial en la parte inferior de la banda, esto es, en el rango 410-415/420-425 MHz. Por otra parte, se prevé que las operaciones de los sistemas de concesiones de uso público sean alojadas en el en el rango 415-420/425-430 MHz. Todo ello acorde con la Planeación espectral para la banda 410-430 MHz determinada por la Dirección General de Planeación del Espectro de la Unidad de Espectro Radioeléctrico.</w:t>
      </w:r>
    </w:p>
    <w:p w14:paraId="26C592FE" w14:textId="77777777" w:rsidR="003F43A6" w:rsidRPr="00F17180" w:rsidRDefault="003F43A6" w:rsidP="003F43A6">
      <w:pPr>
        <w:ind w:left="284" w:right="528"/>
        <w:jc w:val="both"/>
        <w:rPr>
          <w:rFonts w:ascii="ITC Avant Garde" w:hAnsi="ITC Avant Garde" w:cstheme="minorHAnsi"/>
          <w:i/>
          <w:sz w:val="16"/>
          <w:szCs w:val="16"/>
        </w:rPr>
      </w:pPr>
    </w:p>
    <w:p w14:paraId="04A4F012" w14:textId="77777777" w:rsidR="003F43A6" w:rsidRPr="00F17180" w:rsidRDefault="003F43A6" w:rsidP="003F43A6">
      <w:pPr>
        <w:ind w:left="284" w:right="528"/>
        <w:jc w:val="both"/>
        <w:rPr>
          <w:rFonts w:ascii="ITC Avant Garde" w:hAnsi="ITC Avant Garde" w:cstheme="minorHAnsi"/>
          <w:i/>
          <w:sz w:val="16"/>
          <w:szCs w:val="16"/>
        </w:rPr>
      </w:pPr>
      <w:r w:rsidRPr="00F17180">
        <w:rPr>
          <w:rFonts w:ascii="ITC Avant Garde" w:hAnsi="ITC Avant Garde" w:cstheme="minorHAnsi"/>
          <w:i/>
          <w:sz w:val="16"/>
          <w:szCs w:val="16"/>
        </w:rPr>
        <w:t>[…]</w:t>
      </w:r>
    </w:p>
    <w:p w14:paraId="469A9531" w14:textId="77777777" w:rsidR="003F43A6" w:rsidRPr="00F17180" w:rsidRDefault="003F43A6" w:rsidP="003F43A6">
      <w:pPr>
        <w:ind w:left="284" w:right="528"/>
        <w:jc w:val="both"/>
        <w:rPr>
          <w:rFonts w:ascii="ITC Avant Garde" w:hAnsi="ITC Avant Garde" w:cstheme="minorHAnsi"/>
          <w:i/>
          <w:sz w:val="16"/>
          <w:szCs w:val="16"/>
        </w:rPr>
      </w:pPr>
    </w:p>
    <w:p w14:paraId="335A4A8C" w14:textId="77777777" w:rsidR="003F43A6" w:rsidRPr="00F17180" w:rsidRDefault="003F43A6" w:rsidP="003F43A6">
      <w:pPr>
        <w:ind w:right="528" w:firstLine="284"/>
        <w:contextualSpacing/>
        <w:rPr>
          <w:rFonts w:ascii="ITC Avant Garde" w:hAnsi="ITC Avant Garde" w:cstheme="minorHAnsi"/>
          <w:b/>
          <w:i/>
          <w:sz w:val="16"/>
          <w:szCs w:val="16"/>
        </w:rPr>
      </w:pPr>
      <w:r w:rsidRPr="00F17180">
        <w:rPr>
          <w:rFonts w:ascii="ITC Avant Garde" w:hAnsi="ITC Avant Garde" w:cstheme="minorHAnsi"/>
          <w:b/>
          <w:i/>
          <w:sz w:val="16"/>
          <w:szCs w:val="16"/>
        </w:rPr>
        <w:t xml:space="preserve">III. Definición de criterios respecto a las prórrogas solicitadas. </w:t>
      </w:r>
    </w:p>
    <w:p w14:paraId="29EABD38" w14:textId="77777777" w:rsidR="003F43A6" w:rsidRPr="00F17180" w:rsidRDefault="003F43A6" w:rsidP="003F43A6">
      <w:pPr>
        <w:ind w:left="284" w:right="528"/>
        <w:rPr>
          <w:rFonts w:ascii="ITC Avant Garde" w:hAnsi="ITC Avant Garde" w:cstheme="minorHAnsi"/>
          <w:b/>
          <w:i/>
          <w:sz w:val="16"/>
          <w:szCs w:val="16"/>
        </w:rPr>
      </w:pPr>
    </w:p>
    <w:p w14:paraId="2D69D773" w14:textId="77777777" w:rsidR="003F43A6" w:rsidRPr="00F17180" w:rsidRDefault="003F43A6" w:rsidP="003F43A6">
      <w:pPr>
        <w:pStyle w:val="Prrafodelista"/>
        <w:numPr>
          <w:ilvl w:val="0"/>
          <w:numId w:val="36"/>
        </w:numPr>
        <w:ind w:left="851" w:hanging="567"/>
        <w:contextualSpacing/>
        <w:jc w:val="both"/>
        <w:rPr>
          <w:rFonts w:ascii="ITC Avant Garde Book" w:hAnsi="ITC Avant Garde Book" w:cstheme="minorHAnsi"/>
          <w:i/>
          <w:sz w:val="16"/>
          <w:szCs w:val="16"/>
        </w:rPr>
      </w:pPr>
      <w:r w:rsidRPr="00F17180">
        <w:rPr>
          <w:rFonts w:ascii="ITC Avant Garde Book" w:hAnsi="ITC Avant Garde Book" w:cstheme="minorHAnsi"/>
          <w:i/>
          <w:sz w:val="16"/>
          <w:szCs w:val="16"/>
        </w:rPr>
        <w:t>Criterios definidos para la asignación de cobertura</w:t>
      </w:r>
    </w:p>
    <w:p w14:paraId="507B22E7" w14:textId="77777777" w:rsidR="003F43A6" w:rsidRPr="00F17180" w:rsidRDefault="003F43A6" w:rsidP="003F43A6">
      <w:pPr>
        <w:jc w:val="both"/>
        <w:rPr>
          <w:rFonts w:ascii="ITC Avant Garde Book" w:hAnsi="ITC Avant Garde Book" w:cstheme="minorHAnsi"/>
          <w:i/>
          <w:sz w:val="16"/>
          <w:szCs w:val="16"/>
        </w:rPr>
      </w:pPr>
    </w:p>
    <w:p w14:paraId="1EF6E6BD" w14:textId="72A3BA91" w:rsidR="003F43A6" w:rsidRPr="00F17180" w:rsidRDefault="003F43A6" w:rsidP="003F43A6">
      <w:pPr>
        <w:ind w:left="284"/>
        <w:jc w:val="both"/>
        <w:rPr>
          <w:rFonts w:ascii="ITC Avant Garde Book" w:hAnsi="ITC Avant Garde Book" w:cstheme="minorHAnsi"/>
          <w:i/>
          <w:sz w:val="16"/>
          <w:szCs w:val="16"/>
        </w:rPr>
      </w:pPr>
      <w:r w:rsidRPr="00F17180">
        <w:rPr>
          <w:rFonts w:ascii="ITC Avant Garde Book" w:hAnsi="ITC Avant Garde Book" w:cstheme="minorHAnsi"/>
          <w:i/>
          <w:sz w:val="16"/>
          <w:szCs w:val="16"/>
        </w:rPr>
        <w:t xml:space="preserve">Los títulos de concesión de referencia, contienen condiciones acordes al Marco Jurídico vigente en la fecha de su otorgamiento, tal es el caso de las condiciones relacionas con el </w:t>
      </w:r>
      <w:r w:rsidR="000E3628" w:rsidRPr="00F17180">
        <w:rPr>
          <w:rFonts w:ascii="ITC Avant Garde Book" w:hAnsi="ITC Avant Garde Book" w:cstheme="minorHAnsi"/>
          <w:i/>
          <w:sz w:val="16"/>
          <w:szCs w:val="16"/>
        </w:rPr>
        <w:t>‘</w:t>
      </w:r>
      <w:r w:rsidRPr="00F17180">
        <w:rPr>
          <w:rFonts w:ascii="ITC Avant Garde Book" w:hAnsi="ITC Avant Garde Book" w:cstheme="minorHAnsi"/>
          <w:i/>
          <w:sz w:val="16"/>
          <w:szCs w:val="16"/>
        </w:rPr>
        <w:t>área se servicio</w:t>
      </w:r>
      <w:r w:rsidR="000E3628" w:rsidRPr="00F17180">
        <w:rPr>
          <w:rFonts w:ascii="ITC Avant Garde Book" w:hAnsi="ITC Avant Garde Book" w:cstheme="minorHAnsi"/>
          <w:i/>
          <w:sz w:val="16"/>
          <w:szCs w:val="16"/>
        </w:rPr>
        <w:t>’</w:t>
      </w:r>
      <w:r w:rsidRPr="00F17180">
        <w:rPr>
          <w:rFonts w:ascii="ITC Avant Garde Book" w:hAnsi="ITC Avant Garde Book" w:cstheme="minorHAnsi"/>
          <w:i/>
          <w:sz w:val="16"/>
          <w:szCs w:val="16"/>
        </w:rPr>
        <w:t xml:space="preserve"> (cobertura), donde se manejan criterios de cobertura diferentes en cada título, tales como rutas carreteras, estados, ciudades específicas, zonas metropolitanas o la ubicación geográfica de las estaciones </w:t>
      </w:r>
      <w:r w:rsidRPr="00F17180">
        <w:rPr>
          <w:rFonts w:ascii="ITC Avant Garde" w:hAnsi="ITC Avant Garde"/>
          <w:i/>
          <w:sz w:val="16"/>
          <w:szCs w:val="16"/>
        </w:rPr>
        <w:t xml:space="preserve">transmisoras </w:t>
      </w:r>
      <w:r w:rsidRPr="00F17180">
        <w:rPr>
          <w:rFonts w:ascii="ITC Avant Garde Book" w:hAnsi="ITC Avant Garde Book" w:cstheme="minorHAnsi"/>
          <w:i/>
          <w:sz w:val="16"/>
          <w:szCs w:val="16"/>
        </w:rPr>
        <w:t>pertenecientes al concesionario.</w:t>
      </w:r>
    </w:p>
    <w:p w14:paraId="00FEACF1" w14:textId="77777777" w:rsidR="003F43A6" w:rsidRPr="00F17180" w:rsidRDefault="003F43A6" w:rsidP="003F43A6">
      <w:pPr>
        <w:ind w:left="284"/>
        <w:jc w:val="both"/>
        <w:rPr>
          <w:rFonts w:ascii="ITC Avant Garde Book" w:hAnsi="ITC Avant Garde Book" w:cstheme="minorHAnsi"/>
          <w:i/>
          <w:sz w:val="16"/>
          <w:szCs w:val="16"/>
        </w:rPr>
      </w:pPr>
    </w:p>
    <w:p w14:paraId="453D4994" w14:textId="77777777" w:rsidR="003F43A6" w:rsidRPr="00F17180" w:rsidRDefault="003F43A6" w:rsidP="003F43A6">
      <w:pPr>
        <w:ind w:left="284"/>
        <w:jc w:val="both"/>
        <w:rPr>
          <w:rFonts w:ascii="ITC Avant Garde Book" w:hAnsi="ITC Avant Garde Book" w:cstheme="minorHAnsi"/>
          <w:i/>
          <w:sz w:val="16"/>
          <w:szCs w:val="16"/>
        </w:rPr>
      </w:pPr>
      <w:r w:rsidRPr="00F17180">
        <w:rPr>
          <w:rFonts w:ascii="ITC Avant Garde Book" w:hAnsi="ITC Avant Garde Book" w:cstheme="minorHAnsi"/>
          <w:i/>
          <w:sz w:val="16"/>
          <w:szCs w:val="16"/>
        </w:rPr>
        <w:t xml:space="preserve">Debido a lo anterior, resultó necesario definir de forma precisa la cobertura de cada título de concesión prorrogado, lo cual tiene como finalidad eliminar ambigüedades respecto la cobertura de cada uno de los títulos, especialmente aquellas definidas por ruta carretera y repetidores. Además, esto también incide en la definición del monto de contraprestación a pagar por los concesionarios, de así resultar procedente el otorgamiento de sus prórrogas. </w:t>
      </w:r>
    </w:p>
    <w:p w14:paraId="5B3C9D2A" w14:textId="77777777" w:rsidR="003F43A6" w:rsidRPr="00F17180" w:rsidRDefault="003F43A6" w:rsidP="003F43A6">
      <w:pPr>
        <w:ind w:left="284"/>
        <w:jc w:val="both"/>
        <w:rPr>
          <w:rFonts w:ascii="ITC Avant Garde Book" w:hAnsi="ITC Avant Garde Book" w:cstheme="minorHAnsi"/>
          <w:i/>
          <w:sz w:val="16"/>
          <w:szCs w:val="16"/>
        </w:rPr>
      </w:pPr>
    </w:p>
    <w:p w14:paraId="3F6636DD" w14:textId="77777777" w:rsidR="003F43A6" w:rsidRPr="00F17180" w:rsidRDefault="003F43A6" w:rsidP="003F43A6">
      <w:pPr>
        <w:ind w:left="284"/>
        <w:jc w:val="both"/>
        <w:rPr>
          <w:rFonts w:ascii="ITC Avant Garde Book" w:hAnsi="ITC Avant Garde Book" w:cstheme="minorHAnsi"/>
          <w:i/>
          <w:sz w:val="16"/>
          <w:szCs w:val="16"/>
        </w:rPr>
      </w:pPr>
      <w:r w:rsidRPr="00F17180">
        <w:rPr>
          <w:rFonts w:ascii="ITC Avant Garde Book" w:hAnsi="ITC Avant Garde Book" w:cstheme="minorHAnsi"/>
          <w:i/>
          <w:sz w:val="16"/>
          <w:szCs w:val="16"/>
        </w:rPr>
        <w:t xml:space="preserve">De este modo, se propone que la unidad mínima para establecer la cobertura de cada uno de los concesionarios sea el </w:t>
      </w:r>
      <w:r w:rsidRPr="00F17180">
        <w:rPr>
          <w:rFonts w:ascii="ITC Avant Garde Book" w:hAnsi="ITC Avant Garde Book" w:cstheme="minorHAnsi"/>
          <w:b/>
          <w:i/>
          <w:sz w:val="16"/>
          <w:szCs w:val="16"/>
        </w:rPr>
        <w:t>municipio y/o delegación</w:t>
      </w:r>
      <w:r w:rsidRPr="00F17180">
        <w:rPr>
          <w:rFonts w:ascii="ITC Avant Garde Book" w:hAnsi="ITC Avant Garde Book" w:cstheme="minorHAnsi"/>
          <w:i/>
          <w:sz w:val="16"/>
          <w:szCs w:val="16"/>
        </w:rPr>
        <w:t>, para lo cual debieron establecerse ciertos criterios para asignar las áreas de cobertura, los cuales se mencionan a continuación:</w:t>
      </w:r>
    </w:p>
    <w:p w14:paraId="4F53979F" w14:textId="77777777" w:rsidR="003F43A6" w:rsidRPr="00F17180" w:rsidRDefault="003F43A6" w:rsidP="003F43A6">
      <w:pPr>
        <w:jc w:val="both"/>
        <w:rPr>
          <w:rFonts w:ascii="ITC Avant Garde Book" w:hAnsi="ITC Avant Garde Book" w:cstheme="minorHAnsi"/>
          <w:i/>
          <w:sz w:val="16"/>
          <w:szCs w:val="16"/>
        </w:rPr>
      </w:pPr>
    </w:p>
    <w:p w14:paraId="54EC98B6" w14:textId="77777777" w:rsidR="003F43A6" w:rsidRPr="00F17180" w:rsidRDefault="003F43A6" w:rsidP="003F43A6">
      <w:pPr>
        <w:ind w:left="284"/>
        <w:jc w:val="both"/>
        <w:rPr>
          <w:rFonts w:ascii="ITC Avant Garde Book" w:hAnsi="ITC Avant Garde Book" w:cstheme="minorHAnsi"/>
          <w:i/>
          <w:sz w:val="16"/>
          <w:szCs w:val="16"/>
        </w:rPr>
      </w:pPr>
      <w:r w:rsidRPr="00F17180">
        <w:rPr>
          <w:rFonts w:ascii="ITC Avant Garde Book" w:hAnsi="ITC Avant Garde Book" w:cstheme="minorHAnsi"/>
          <w:i/>
          <w:sz w:val="16"/>
          <w:szCs w:val="16"/>
        </w:rPr>
        <w:t>a) Rutas Carreteras.</w:t>
      </w:r>
    </w:p>
    <w:p w14:paraId="13AB51D1" w14:textId="77777777" w:rsidR="003F43A6" w:rsidRPr="00F17180" w:rsidRDefault="003F43A6" w:rsidP="003F43A6">
      <w:pPr>
        <w:jc w:val="both"/>
        <w:rPr>
          <w:rFonts w:ascii="ITC Avant Garde Book" w:hAnsi="ITC Avant Garde Book" w:cstheme="minorHAnsi"/>
          <w:i/>
          <w:sz w:val="16"/>
          <w:szCs w:val="16"/>
        </w:rPr>
      </w:pPr>
    </w:p>
    <w:p w14:paraId="2E6E6E48" w14:textId="77777777" w:rsidR="003F43A6" w:rsidRPr="00F17180" w:rsidRDefault="003F43A6" w:rsidP="003F43A6">
      <w:pPr>
        <w:ind w:left="284"/>
        <w:jc w:val="both"/>
        <w:rPr>
          <w:rFonts w:ascii="ITC Avant Garde Book" w:hAnsi="ITC Avant Garde Book" w:cstheme="minorHAnsi"/>
          <w:i/>
          <w:sz w:val="16"/>
          <w:szCs w:val="16"/>
        </w:rPr>
      </w:pPr>
      <w:r w:rsidRPr="00F17180">
        <w:rPr>
          <w:rFonts w:ascii="ITC Avant Garde Book" w:hAnsi="ITC Avant Garde Book" w:cstheme="minorHAnsi"/>
          <w:i/>
          <w:sz w:val="16"/>
          <w:szCs w:val="16"/>
        </w:rPr>
        <w:t xml:space="preserve">Dado que el origen del servicio de </w:t>
      </w:r>
      <w:proofErr w:type="spellStart"/>
      <w:r w:rsidRPr="00F17180">
        <w:rPr>
          <w:rFonts w:ascii="ITC Avant Garde Book" w:hAnsi="ITC Avant Garde Book" w:cstheme="minorHAnsi"/>
          <w:i/>
          <w:sz w:val="16"/>
          <w:szCs w:val="16"/>
        </w:rPr>
        <w:t>trunking</w:t>
      </w:r>
      <w:proofErr w:type="spellEnd"/>
      <w:r w:rsidRPr="00F17180">
        <w:rPr>
          <w:rFonts w:ascii="ITC Avant Garde Book" w:hAnsi="ITC Avant Garde Book" w:cstheme="minorHAnsi"/>
          <w:i/>
          <w:sz w:val="16"/>
          <w:szCs w:val="16"/>
        </w:rPr>
        <w:t xml:space="preserve"> se encuentra en el servicio de radiocomunicación para flotillas, existen casos donde la cobertura autorizada en las concesiones se estableció por rutas carreteras, las cuales comunican ciudades y/o poblaciones.</w:t>
      </w:r>
    </w:p>
    <w:p w14:paraId="5D899234" w14:textId="77777777" w:rsidR="003F43A6" w:rsidRPr="00F17180" w:rsidRDefault="003F43A6" w:rsidP="003F43A6">
      <w:pPr>
        <w:jc w:val="both"/>
        <w:rPr>
          <w:rFonts w:ascii="ITC Avant Garde Book" w:hAnsi="ITC Avant Garde Book" w:cstheme="minorHAnsi"/>
          <w:i/>
          <w:sz w:val="16"/>
          <w:szCs w:val="16"/>
        </w:rPr>
      </w:pPr>
    </w:p>
    <w:p w14:paraId="01BAAAC3" w14:textId="77777777" w:rsidR="003F43A6" w:rsidRPr="00F17180" w:rsidRDefault="003F43A6" w:rsidP="003F43A6">
      <w:pPr>
        <w:ind w:left="284"/>
        <w:jc w:val="both"/>
        <w:rPr>
          <w:rFonts w:ascii="ITC Avant Garde Book" w:hAnsi="ITC Avant Garde Book" w:cstheme="minorHAnsi"/>
          <w:i/>
          <w:sz w:val="16"/>
          <w:szCs w:val="16"/>
        </w:rPr>
      </w:pPr>
      <w:r w:rsidRPr="00F17180">
        <w:rPr>
          <w:rFonts w:ascii="ITC Avant Garde Book" w:hAnsi="ITC Avant Garde Book" w:cstheme="minorHAnsi"/>
          <w:i/>
          <w:sz w:val="16"/>
          <w:szCs w:val="16"/>
        </w:rPr>
        <w:t xml:space="preserve">Conforme a los indicado en los títulos de concesión, en su momento se otorgó la posibilidad a los concesionarios de ofrecer el servicio en </w:t>
      </w:r>
      <w:r w:rsidRPr="00F17180">
        <w:rPr>
          <w:rFonts w:ascii="ITC Avant Garde Book" w:hAnsi="ITC Avant Garde Book" w:cstheme="minorHAnsi"/>
          <w:b/>
          <w:i/>
          <w:sz w:val="16"/>
          <w:szCs w:val="16"/>
        </w:rPr>
        <w:t>“…áreas rurales, pequeños núcleos de población, así como regiones urbanas y suburbanas a lo largo de las troncales carreteras…”,</w:t>
      </w:r>
      <w:r w:rsidRPr="00F17180">
        <w:rPr>
          <w:rFonts w:ascii="ITC Avant Garde Book" w:hAnsi="ITC Avant Garde Book" w:cstheme="minorHAnsi"/>
          <w:i/>
          <w:sz w:val="16"/>
          <w:szCs w:val="16"/>
        </w:rPr>
        <w:t xml:space="preserve"> en adición a las ciudades y/o poblaciones que comprenden tales rutas.</w:t>
      </w:r>
    </w:p>
    <w:p w14:paraId="7135B475" w14:textId="77777777" w:rsidR="003F43A6" w:rsidRPr="00F17180" w:rsidRDefault="003F43A6" w:rsidP="003F43A6">
      <w:pPr>
        <w:jc w:val="both"/>
        <w:rPr>
          <w:rFonts w:ascii="ITC Avant Garde Book" w:hAnsi="ITC Avant Garde Book" w:cstheme="minorHAnsi"/>
          <w:i/>
          <w:sz w:val="16"/>
          <w:szCs w:val="16"/>
        </w:rPr>
      </w:pPr>
    </w:p>
    <w:p w14:paraId="3458E07F" w14:textId="77777777" w:rsidR="003F43A6" w:rsidRPr="00F17180" w:rsidRDefault="003F43A6" w:rsidP="003F43A6">
      <w:pPr>
        <w:ind w:left="284"/>
        <w:jc w:val="both"/>
        <w:rPr>
          <w:rFonts w:ascii="ITC Avant Garde Book" w:hAnsi="ITC Avant Garde Book" w:cstheme="minorHAnsi"/>
          <w:i/>
          <w:sz w:val="16"/>
          <w:szCs w:val="16"/>
        </w:rPr>
      </w:pPr>
      <w:r w:rsidRPr="00F17180">
        <w:rPr>
          <w:rFonts w:ascii="ITC Avant Garde Book" w:hAnsi="ITC Avant Garde Book" w:cstheme="minorHAnsi"/>
          <w:i/>
          <w:sz w:val="16"/>
          <w:szCs w:val="16"/>
        </w:rPr>
        <w:t>Con base en lo anteriormente descrito, este análisis considera que las coberturas asignadas por ruta carretera estarán conformadas por todos aquellos municipios por los que cruce la carretera mencionada en su título de concesión.</w:t>
      </w:r>
    </w:p>
    <w:p w14:paraId="50A93995" w14:textId="77777777" w:rsidR="003F43A6" w:rsidRPr="00F17180" w:rsidRDefault="003F43A6" w:rsidP="003F43A6">
      <w:pPr>
        <w:ind w:left="284"/>
        <w:jc w:val="both"/>
        <w:rPr>
          <w:rFonts w:ascii="ITC Avant Garde Book" w:hAnsi="ITC Avant Garde Book" w:cstheme="minorHAnsi"/>
          <w:i/>
          <w:sz w:val="16"/>
          <w:szCs w:val="16"/>
        </w:rPr>
      </w:pPr>
    </w:p>
    <w:p w14:paraId="0712F3FB" w14:textId="2BDD16C0" w:rsidR="003F43A6" w:rsidRPr="00F17180" w:rsidRDefault="003F43A6" w:rsidP="003F43A6">
      <w:pPr>
        <w:ind w:left="284"/>
        <w:jc w:val="both"/>
        <w:rPr>
          <w:rFonts w:ascii="ITC Avant Garde Book" w:hAnsi="ITC Avant Garde Book" w:cstheme="minorHAnsi"/>
          <w:i/>
          <w:sz w:val="16"/>
          <w:szCs w:val="16"/>
        </w:rPr>
      </w:pPr>
      <w:r w:rsidRPr="00F17180">
        <w:rPr>
          <w:rFonts w:ascii="ITC Avant Garde Book" w:hAnsi="ITC Avant Garde Book" w:cstheme="minorHAnsi"/>
          <w:i/>
          <w:sz w:val="16"/>
          <w:szCs w:val="16"/>
        </w:rPr>
        <w:t xml:space="preserve">Adicionalmente, se han considerado como parte de la cobertura aquellos municipios conectados por troncales que no forman parte de una carretera principal, siempre que la distancia de la carretera principal a la mancha urbana fuera menor o igual a 10 km. Esto, en atención a la asignación de coberturas en los títulos de concesión originalmente otorgados, los cuales brindaban la posibilidad de conectar poblaciones fuera del trayecto principal de la carretera, a través de sus troncales, mientras que la distancia de 10 km se tomó con base en la definición de zonas metropolitanas que </w:t>
      </w:r>
      <w:r w:rsidRPr="00F17180">
        <w:rPr>
          <w:rFonts w:ascii="ITC Avant Garde" w:hAnsi="ITC Avant Garde"/>
          <w:i/>
          <w:sz w:val="16"/>
          <w:szCs w:val="16"/>
        </w:rPr>
        <w:t>el Instituto Nacional de Estadística Geográfica e Informática</w:t>
      </w:r>
      <w:r w:rsidR="000E3628" w:rsidRPr="00F17180">
        <w:rPr>
          <w:rStyle w:val="Refdenotaalpie"/>
          <w:rFonts w:ascii="ITC Avant Garde" w:hAnsi="ITC Avant Garde"/>
          <w:i/>
          <w:sz w:val="16"/>
          <w:szCs w:val="16"/>
        </w:rPr>
        <w:footnoteReference w:id="2"/>
      </w:r>
      <w:r w:rsidR="000E3628" w:rsidRPr="00F17180">
        <w:rPr>
          <w:rFonts w:ascii="ITC Avant Garde Book" w:hAnsi="ITC Avant Garde Book" w:cstheme="minorHAnsi"/>
          <w:i/>
          <w:sz w:val="16"/>
          <w:szCs w:val="16"/>
        </w:rPr>
        <w:t xml:space="preserve"> </w:t>
      </w:r>
      <w:r w:rsidRPr="00F17180">
        <w:rPr>
          <w:rFonts w:ascii="ITC Avant Garde Book" w:hAnsi="ITC Avant Garde Book" w:cstheme="minorHAnsi"/>
          <w:i/>
          <w:sz w:val="16"/>
          <w:szCs w:val="16"/>
        </w:rPr>
        <w:t xml:space="preserve"> (INEGI) hace en el documento Delimitación de las Zonas Metropolitanas México 2010</w:t>
      </w:r>
      <w:r w:rsidRPr="00F17180">
        <w:rPr>
          <w:rStyle w:val="Refdenotaalpie"/>
          <w:rFonts w:ascii="ITC Avant Garde Book" w:hAnsi="ITC Avant Garde Book" w:cstheme="minorHAnsi"/>
          <w:i/>
          <w:sz w:val="16"/>
          <w:szCs w:val="16"/>
        </w:rPr>
        <w:footnoteReference w:id="3"/>
      </w:r>
      <w:r w:rsidRPr="00F17180">
        <w:rPr>
          <w:rFonts w:ascii="ITC Avant Garde Book" w:hAnsi="ITC Avant Garde Book" w:cstheme="minorHAnsi"/>
          <w:i/>
          <w:sz w:val="16"/>
          <w:szCs w:val="16"/>
        </w:rPr>
        <w:t xml:space="preserve"> (el documento ZMM).</w:t>
      </w:r>
    </w:p>
    <w:p w14:paraId="7D269868" w14:textId="77777777" w:rsidR="003F43A6" w:rsidRPr="00F17180" w:rsidRDefault="003F43A6" w:rsidP="003F43A6">
      <w:pPr>
        <w:jc w:val="both"/>
        <w:rPr>
          <w:rFonts w:ascii="ITC Avant Garde" w:hAnsi="ITC Avant Garde"/>
          <w:i/>
          <w:sz w:val="16"/>
          <w:szCs w:val="16"/>
        </w:rPr>
      </w:pPr>
    </w:p>
    <w:p w14:paraId="4CB1BEC6" w14:textId="77777777" w:rsidR="003F43A6" w:rsidRPr="00F17180" w:rsidRDefault="003F43A6" w:rsidP="003F43A6">
      <w:pPr>
        <w:ind w:left="284"/>
        <w:jc w:val="both"/>
        <w:rPr>
          <w:rFonts w:ascii="ITC Avant Garde" w:hAnsi="ITC Avant Garde"/>
          <w:i/>
          <w:sz w:val="16"/>
          <w:szCs w:val="16"/>
        </w:rPr>
      </w:pPr>
      <w:r w:rsidRPr="00F17180">
        <w:rPr>
          <w:rFonts w:ascii="ITC Avant Garde" w:hAnsi="ITC Avant Garde"/>
          <w:i/>
          <w:sz w:val="16"/>
          <w:szCs w:val="16"/>
        </w:rPr>
        <w:lastRenderedPageBreak/>
        <w:t>b) Zonas Metropolitanas</w:t>
      </w:r>
    </w:p>
    <w:p w14:paraId="59F08878" w14:textId="77777777" w:rsidR="003F43A6" w:rsidRPr="00F17180" w:rsidRDefault="003F43A6" w:rsidP="003F43A6">
      <w:pPr>
        <w:jc w:val="both"/>
        <w:rPr>
          <w:rFonts w:ascii="ITC Avant Garde" w:hAnsi="ITC Avant Garde"/>
          <w:i/>
          <w:sz w:val="16"/>
          <w:szCs w:val="16"/>
        </w:rPr>
      </w:pPr>
    </w:p>
    <w:p w14:paraId="7BB05BED" w14:textId="77777777" w:rsidR="003F43A6" w:rsidRPr="00F17180" w:rsidRDefault="003F43A6" w:rsidP="003F43A6">
      <w:pPr>
        <w:ind w:left="284"/>
        <w:jc w:val="both"/>
        <w:rPr>
          <w:rFonts w:ascii="ITC Avant Garde" w:hAnsi="ITC Avant Garde"/>
          <w:i/>
          <w:sz w:val="16"/>
          <w:szCs w:val="16"/>
        </w:rPr>
      </w:pPr>
      <w:r w:rsidRPr="00F17180">
        <w:rPr>
          <w:rFonts w:ascii="ITC Avant Garde" w:hAnsi="ITC Avant Garde"/>
          <w:i/>
          <w:sz w:val="16"/>
          <w:szCs w:val="16"/>
        </w:rPr>
        <w:t>Algunos títulos de concesión incluidos en las solicitudes de prórroga tienen definidas sus áreas de cobertura por ciudades y/o zonas conurbadas por lo que en los casos donde estas coberturas tratasen de municipios centrales, se decidió unificar estos criterios de acuerdo a lo definido por el INEGI en el documento ZMM:</w:t>
      </w:r>
    </w:p>
    <w:p w14:paraId="37C3885C" w14:textId="77777777" w:rsidR="003F43A6" w:rsidRPr="00F17180" w:rsidRDefault="003F43A6" w:rsidP="003F43A6">
      <w:pPr>
        <w:jc w:val="both"/>
        <w:rPr>
          <w:rFonts w:ascii="ITC Avant Garde" w:hAnsi="ITC Avant Garde"/>
          <w:i/>
          <w:sz w:val="16"/>
          <w:szCs w:val="16"/>
        </w:rPr>
      </w:pPr>
    </w:p>
    <w:p w14:paraId="63531599" w14:textId="1CBF24AB" w:rsidR="003F43A6" w:rsidRPr="00F17180" w:rsidRDefault="000E3628" w:rsidP="003F43A6">
      <w:pPr>
        <w:ind w:left="567" w:right="758"/>
        <w:jc w:val="both"/>
        <w:rPr>
          <w:rFonts w:ascii="ITC Avant Garde" w:hAnsi="ITC Avant Garde"/>
          <w:i/>
          <w:sz w:val="16"/>
          <w:szCs w:val="16"/>
        </w:rPr>
      </w:pPr>
      <w:r w:rsidRPr="00F17180">
        <w:rPr>
          <w:rFonts w:ascii="ITC Avant Garde" w:hAnsi="ITC Avant Garde"/>
          <w:i/>
          <w:sz w:val="16"/>
          <w:szCs w:val="16"/>
        </w:rPr>
        <w:t>‘</w:t>
      </w:r>
      <w:r w:rsidR="003F43A6" w:rsidRPr="00F17180">
        <w:rPr>
          <w:rFonts w:ascii="ITC Avant Garde" w:hAnsi="ITC Avant Garde"/>
          <w:i/>
          <w:sz w:val="16"/>
          <w:szCs w:val="16"/>
        </w:rPr>
        <w:t xml:space="preserve">Se define como </w:t>
      </w:r>
      <w:r w:rsidR="003F43A6" w:rsidRPr="00F17180">
        <w:rPr>
          <w:rFonts w:ascii="ITC Avant Garde" w:hAnsi="ITC Avant Garde"/>
          <w:b/>
          <w:i/>
          <w:sz w:val="16"/>
          <w:szCs w:val="16"/>
        </w:rPr>
        <w:t>zona metropolitana</w:t>
      </w:r>
      <w:r w:rsidR="003F43A6" w:rsidRPr="00F17180">
        <w:rPr>
          <w:rFonts w:ascii="ITC Avant Garde" w:hAnsi="ITC Avant Garde"/>
          <w:i/>
          <w:sz w:val="16"/>
          <w:szCs w:val="16"/>
        </w:rPr>
        <w:t xml:space="preserve"> al conjunto de dos o más municipios donde se localiza una ciudad de 50 mil o más habitantes, cuya área urbana, funciones y actividades rebasan el límite del municipio que originalmente la contenía, incorporando como parte de sí misma o de su área de influencia directa a municipios vecinos, predominantemente urbanos, con los que mantiene un alto grado de integración socioeconómica. También se incluyen aquellos municipios que por sus características particulares son relevantes para la planeación y política urbanas de las zonas metropolitanas en cuestión.</w:t>
      </w:r>
    </w:p>
    <w:p w14:paraId="0570892B" w14:textId="77777777" w:rsidR="003F43A6" w:rsidRPr="00F17180" w:rsidRDefault="003F43A6" w:rsidP="003F43A6">
      <w:pPr>
        <w:ind w:left="567" w:right="758"/>
        <w:jc w:val="both"/>
        <w:rPr>
          <w:rFonts w:ascii="ITC Avant Garde" w:hAnsi="ITC Avant Garde"/>
          <w:i/>
          <w:sz w:val="16"/>
          <w:szCs w:val="16"/>
        </w:rPr>
      </w:pPr>
    </w:p>
    <w:p w14:paraId="494AF064" w14:textId="77777777" w:rsidR="003F43A6" w:rsidRPr="00F17180" w:rsidRDefault="003F43A6" w:rsidP="003F43A6">
      <w:pPr>
        <w:ind w:left="567" w:right="758"/>
        <w:jc w:val="both"/>
        <w:rPr>
          <w:rFonts w:ascii="ITC Avant Garde" w:hAnsi="ITC Avant Garde"/>
          <w:i/>
          <w:sz w:val="16"/>
          <w:szCs w:val="16"/>
        </w:rPr>
      </w:pPr>
      <w:r w:rsidRPr="00F17180">
        <w:rPr>
          <w:rFonts w:ascii="ITC Avant Garde" w:hAnsi="ITC Avant Garde"/>
          <w:i/>
          <w:sz w:val="16"/>
          <w:szCs w:val="16"/>
        </w:rPr>
        <w:t>Adicionalmente, se define como zonas metropolitanas a todos aquellos municipios que contienen una ciudad de un millón o más habitantes, así como ciudades de 250 mil o más habitantes que comparten procesos de conurbación con ciudades de Estados Unidos de América.</w:t>
      </w:r>
    </w:p>
    <w:p w14:paraId="5AF507E4" w14:textId="77777777" w:rsidR="003F43A6" w:rsidRPr="00F17180" w:rsidRDefault="003F43A6" w:rsidP="003F43A6">
      <w:pPr>
        <w:ind w:right="758"/>
        <w:jc w:val="both"/>
        <w:rPr>
          <w:rFonts w:ascii="ITC Avant Garde" w:hAnsi="ITC Avant Garde"/>
          <w:i/>
          <w:sz w:val="16"/>
          <w:szCs w:val="16"/>
        </w:rPr>
      </w:pPr>
    </w:p>
    <w:p w14:paraId="053C8E53" w14:textId="77777777" w:rsidR="003F43A6" w:rsidRPr="00F17180" w:rsidRDefault="003F43A6" w:rsidP="003F43A6">
      <w:pPr>
        <w:ind w:left="284" w:right="-93"/>
        <w:jc w:val="both"/>
        <w:rPr>
          <w:rFonts w:ascii="ITC Avant Garde" w:hAnsi="ITC Avant Garde"/>
          <w:i/>
          <w:sz w:val="16"/>
          <w:szCs w:val="16"/>
        </w:rPr>
      </w:pPr>
      <w:r w:rsidRPr="00F17180">
        <w:rPr>
          <w:rFonts w:ascii="ITC Avant Garde" w:hAnsi="ITC Avant Garde"/>
          <w:i/>
          <w:sz w:val="16"/>
          <w:szCs w:val="16"/>
        </w:rPr>
        <w:t>Para delimitar las zonas metropolitanas, el INEGI a su vez define tres grupos de municipios metropolitanos, de los cuales en donde se localiza la ciudad principal es denominado Municipio Central.</w:t>
      </w:r>
    </w:p>
    <w:p w14:paraId="7F2CA71E" w14:textId="77777777" w:rsidR="003F43A6" w:rsidRPr="00F17180" w:rsidRDefault="003F43A6" w:rsidP="003F43A6">
      <w:pPr>
        <w:ind w:right="758"/>
        <w:jc w:val="both"/>
        <w:rPr>
          <w:rFonts w:ascii="ITC Avant Garde" w:hAnsi="ITC Avant Garde"/>
          <w:i/>
          <w:sz w:val="16"/>
          <w:szCs w:val="16"/>
        </w:rPr>
      </w:pPr>
    </w:p>
    <w:p w14:paraId="6F14271A" w14:textId="31ABFF28" w:rsidR="003F43A6" w:rsidRPr="00F17180" w:rsidRDefault="003F43A6" w:rsidP="003F43A6">
      <w:pPr>
        <w:ind w:left="567" w:right="758"/>
        <w:jc w:val="both"/>
        <w:rPr>
          <w:rFonts w:ascii="ITC Avant Garde" w:hAnsi="ITC Avant Garde"/>
          <w:i/>
          <w:sz w:val="16"/>
          <w:szCs w:val="16"/>
        </w:rPr>
      </w:pPr>
      <w:r w:rsidRPr="00F17180">
        <w:rPr>
          <w:rFonts w:ascii="ITC Avant Garde" w:hAnsi="ITC Avant Garde"/>
          <w:b/>
          <w:i/>
          <w:sz w:val="16"/>
          <w:szCs w:val="16"/>
        </w:rPr>
        <w:t>Municipios Centrales</w:t>
      </w:r>
      <w:r w:rsidRPr="00F17180">
        <w:rPr>
          <w:rFonts w:ascii="ITC Avant Garde" w:hAnsi="ITC Avant Garde"/>
          <w:i/>
          <w:sz w:val="16"/>
          <w:szCs w:val="16"/>
        </w:rPr>
        <w:t xml:space="preserve">. Corresponden a los municipios donde se localiza la ciudad central que da origen a la zona metropolitana; es la localidad </w:t>
      </w:r>
      <w:proofErr w:type="spellStart"/>
      <w:r w:rsidRPr="00F17180">
        <w:rPr>
          <w:rFonts w:ascii="ITC Avant Garde" w:hAnsi="ITC Avant Garde"/>
          <w:i/>
          <w:sz w:val="16"/>
          <w:szCs w:val="16"/>
        </w:rPr>
        <w:t>geoestadística</w:t>
      </w:r>
      <w:proofErr w:type="spellEnd"/>
      <w:r w:rsidRPr="00F17180">
        <w:rPr>
          <w:rFonts w:ascii="ITC Avant Garde" w:hAnsi="ITC Avant Garde"/>
          <w:i/>
          <w:sz w:val="16"/>
          <w:szCs w:val="16"/>
        </w:rPr>
        <w:t xml:space="preserve"> urbana o conurbación que da </w:t>
      </w:r>
      <w:r w:rsidR="000E3628" w:rsidRPr="00F17180">
        <w:rPr>
          <w:rFonts w:ascii="ITC Avant Garde" w:hAnsi="ITC Avant Garde"/>
          <w:i/>
          <w:sz w:val="16"/>
          <w:szCs w:val="16"/>
        </w:rPr>
        <w:t>origen a la zona metropolitana.’</w:t>
      </w:r>
    </w:p>
    <w:p w14:paraId="732CFE5D" w14:textId="77777777" w:rsidR="003F43A6" w:rsidRPr="00F17180" w:rsidRDefault="003F43A6" w:rsidP="003F43A6">
      <w:pPr>
        <w:ind w:right="758"/>
        <w:jc w:val="both"/>
        <w:rPr>
          <w:rFonts w:ascii="ITC Avant Garde" w:hAnsi="ITC Avant Garde"/>
          <w:i/>
          <w:sz w:val="16"/>
          <w:szCs w:val="16"/>
        </w:rPr>
      </w:pPr>
    </w:p>
    <w:p w14:paraId="2027219C" w14:textId="77777777" w:rsidR="003F43A6" w:rsidRPr="00F17180" w:rsidRDefault="003F43A6" w:rsidP="003F43A6">
      <w:pPr>
        <w:ind w:left="284"/>
        <w:jc w:val="both"/>
        <w:rPr>
          <w:rFonts w:ascii="ITC Avant Garde" w:hAnsi="ITC Avant Garde"/>
          <w:i/>
          <w:sz w:val="16"/>
          <w:szCs w:val="16"/>
        </w:rPr>
      </w:pPr>
      <w:r w:rsidRPr="00F17180">
        <w:rPr>
          <w:rFonts w:ascii="ITC Avant Garde" w:hAnsi="ITC Avant Garde"/>
          <w:i/>
          <w:sz w:val="16"/>
          <w:szCs w:val="16"/>
        </w:rPr>
        <w:t>Así, para aquel concesionario cuya área de cobertura estuviera definida por ciudad (y ésta fuera parte de un municipio central) y/o zona conurbada, se asignaron los municipios pertenecientes a la zona metropolitana asociada, de acuerdo al documento ZMM.</w:t>
      </w:r>
    </w:p>
    <w:p w14:paraId="18411FD6" w14:textId="77777777" w:rsidR="003F43A6" w:rsidRPr="00F17180" w:rsidRDefault="003F43A6" w:rsidP="003F43A6">
      <w:pPr>
        <w:jc w:val="both"/>
        <w:rPr>
          <w:rFonts w:ascii="ITC Avant Garde" w:hAnsi="ITC Avant Garde"/>
          <w:i/>
          <w:sz w:val="16"/>
          <w:szCs w:val="16"/>
        </w:rPr>
      </w:pPr>
    </w:p>
    <w:p w14:paraId="156F1722" w14:textId="77777777" w:rsidR="003F43A6" w:rsidRPr="00F17180" w:rsidRDefault="003F43A6" w:rsidP="003F43A6">
      <w:pPr>
        <w:ind w:left="284"/>
        <w:jc w:val="both"/>
        <w:rPr>
          <w:rFonts w:ascii="ITC Avant Garde" w:hAnsi="ITC Avant Garde"/>
          <w:i/>
          <w:sz w:val="16"/>
          <w:szCs w:val="16"/>
        </w:rPr>
      </w:pPr>
      <w:r w:rsidRPr="00F17180">
        <w:rPr>
          <w:rFonts w:ascii="ITC Avant Garde" w:hAnsi="ITC Avant Garde"/>
          <w:i/>
          <w:sz w:val="16"/>
          <w:szCs w:val="16"/>
        </w:rPr>
        <w:t>c) Repetidores</w:t>
      </w:r>
    </w:p>
    <w:p w14:paraId="61D72447" w14:textId="77777777" w:rsidR="003F43A6" w:rsidRPr="00F17180" w:rsidRDefault="003F43A6" w:rsidP="003F43A6">
      <w:pPr>
        <w:jc w:val="both"/>
        <w:rPr>
          <w:rFonts w:ascii="ITC Avant Garde" w:hAnsi="ITC Avant Garde"/>
          <w:i/>
          <w:sz w:val="16"/>
          <w:szCs w:val="16"/>
        </w:rPr>
      </w:pPr>
    </w:p>
    <w:p w14:paraId="1597A916" w14:textId="77777777" w:rsidR="003F43A6" w:rsidRPr="00F17180" w:rsidRDefault="003F43A6" w:rsidP="003F43A6">
      <w:pPr>
        <w:ind w:left="284"/>
        <w:jc w:val="both"/>
        <w:rPr>
          <w:rFonts w:ascii="ITC Avant Garde" w:hAnsi="ITC Avant Garde"/>
          <w:i/>
          <w:sz w:val="16"/>
          <w:szCs w:val="16"/>
        </w:rPr>
      </w:pPr>
      <w:r w:rsidRPr="00F17180">
        <w:rPr>
          <w:rFonts w:ascii="ITC Avant Garde" w:hAnsi="ITC Avant Garde"/>
          <w:i/>
          <w:sz w:val="16"/>
          <w:szCs w:val="16"/>
        </w:rPr>
        <w:t>Para el caso único del concesionario “Radiocomunicaciones y Desarrollos de México, S.A. de C.V”, en cual la definición de su área de cobertura solo se puede deducir a través de la ubicación de sus repetidores y la ciudad/municipio en donde se encuentran éstos localizados, se consideró proponer como área de cobertura la zona metropolitana asociada al municipio en donde se ubica el repetidor siempre y cuando el municipio fuera del tipo central, de ser el caso contrario, sólo se asignó como cobertura el municipio asociado al repetidor.</w:t>
      </w:r>
    </w:p>
    <w:p w14:paraId="763E7D0B" w14:textId="77777777" w:rsidR="003F43A6" w:rsidRPr="00F17180" w:rsidRDefault="003F43A6" w:rsidP="003F43A6">
      <w:pPr>
        <w:jc w:val="both"/>
        <w:rPr>
          <w:rFonts w:ascii="ITC Avant Garde" w:hAnsi="ITC Avant Garde"/>
          <w:i/>
          <w:sz w:val="16"/>
          <w:szCs w:val="16"/>
        </w:rPr>
      </w:pPr>
    </w:p>
    <w:p w14:paraId="564FF6D8" w14:textId="77777777" w:rsidR="003F43A6" w:rsidRPr="00F17180" w:rsidRDefault="003F43A6" w:rsidP="003F43A6">
      <w:pPr>
        <w:pStyle w:val="Prrafodelista"/>
        <w:numPr>
          <w:ilvl w:val="0"/>
          <w:numId w:val="36"/>
        </w:numPr>
        <w:spacing w:line="276" w:lineRule="auto"/>
        <w:ind w:left="851" w:hanging="567"/>
        <w:contextualSpacing/>
        <w:jc w:val="both"/>
        <w:rPr>
          <w:rFonts w:ascii="ITC Avant Garde" w:hAnsi="ITC Avant Garde"/>
          <w:i/>
          <w:sz w:val="16"/>
          <w:szCs w:val="16"/>
        </w:rPr>
      </w:pPr>
      <w:r w:rsidRPr="00F17180">
        <w:rPr>
          <w:rFonts w:ascii="ITC Avant Garde" w:hAnsi="ITC Avant Garde"/>
          <w:i/>
          <w:sz w:val="16"/>
          <w:szCs w:val="16"/>
        </w:rPr>
        <w:t>Canalización de la banda 410-430 MHz</w:t>
      </w:r>
    </w:p>
    <w:p w14:paraId="54BDB361" w14:textId="77777777" w:rsidR="003F43A6" w:rsidRPr="00F17180" w:rsidRDefault="003F43A6" w:rsidP="003F43A6">
      <w:pPr>
        <w:pStyle w:val="Prrafodelista"/>
        <w:ind w:left="360"/>
        <w:jc w:val="both"/>
        <w:rPr>
          <w:rFonts w:ascii="ITC Avant Garde" w:hAnsi="ITC Avant Garde"/>
          <w:i/>
          <w:sz w:val="16"/>
          <w:szCs w:val="16"/>
        </w:rPr>
      </w:pPr>
    </w:p>
    <w:p w14:paraId="0C977432" w14:textId="77777777" w:rsidR="003F43A6" w:rsidRPr="00F17180" w:rsidRDefault="003F43A6" w:rsidP="003F43A6">
      <w:pPr>
        <w:pStyle w:val="Prrafodelista"/>
        <w:ind w:left="284"/>
        <w:jc w:val="both"/>
        <w:rPr>
          <w:rFonts w:ascii="ITC Avant Garde" w:hAnsi="ITC Avant Garde"/>
          <w:i/>
          <w:sz w:val="16"/>
          <w:szCs w:val="16"/>
        </w:rPr>
      </w:pPr>
      <w:r w:rsidRPr="00F17180">
        <w:rPr>
          <w:rFonts w:ascii="ITC Avant Garde" w:hAnsi="ITC Avant Garde"/>
          <w:i/>
          <w:sz w:val="16"/>
          <w:szCs w:val="16"/>
        </w:rPr>
        <w:t xml:space="preserve">Las solicitudes de prórroga de los títulos de concesión fueron asignadas en un principio dentro de la banda de 800 MHz y con una canalización de un ancho de banda de 25 kHz por canal. Debido a que los servicios objeto de estas prórrogas son los referidos a radiocomunicación móvil de flotillas, o </w:t>
      </w:r>
      <w:proofErr w:type="spellStart"/>
      <w:r w:rsidRPr="00F17180">
        <w:rPr>
          <w:rFonts w:ascii="ITC Avant Garde" w:hAnsi="ITC Avant Garde"/>
          <w:i/>
          <w:sz w:val="16"/>
          <w:szCs w:val="16"/>
        </w:rPr>
        <w:t>trunking</w:t>
      </w:r>
      <w:proofErr w:type="spellEnd"/>
      <w:r w:rsidRPr="00F17180">
        <w:rPr>
          <w:rFonts w:ascii="ITC Avant Garde" w:hAnsi="ITC Avant Garde"/>
          <w:i/>
          <w:sz w:val="16"/>
          <w:szCs w:val="16"/>
        </w:rPr>
        <w:t xml:space="preserve">, la tecnología disponible en el mercado cuando originalmente se otorgaron estos títulos era apropiada para tal canalización. No obstante, hoy existen tecnologías ampliamente disponibles que pueden operar con canalizaciones que permiten una eficiencia espectral mayor, al permitir canales de comunicación en anchos de banda menores permitiendo así como un uso más eficiente del espectro. </w:t>
      </w:r>
    </w:p>
    <w:p w14:paraId="2951617B" w14:textId="77777777" w:rsidR="003F43A6" w:rsidRPr="00F17180" w:rsidRDefault="003F43A6" w:rsidP="003F43A6">
      <w:pPr>
        <w:pStyle w:val="Prrafodelista"/>
        <w:ind w:left="284"/>
        <w:jc w:val="both"/>
        <w:rPr>
          <w:rFonts w:ascii="ITC Avant Garde" w:hAnsi="ITC Avant Garde"/>
          <w:i/>
          <w:sz w:val="16"/>
          <w:szCs w:val="16"/>
        </w:rPr>
      </w:pPr>
    </w:p>
    <w:p w14:paraId="321571D1" w14:textId="77777777" w:rsidR="003F43A6" w:rsidRPr="00F17180" w:rsidRDefault="003F43A6" w:rsidP="003F43A6">
      <w:pPr>
        <w:pStyle w:val="Prrafodelista"/>
        <w:ind w:left="284"/>
        <w:jc w:val="both"/>
        <w:rPr>
          <w:rFonts w:ascii="ITC Avant Garde" w:hAnsi="ITC Avant Garde"/>
          <w:i/>
          <w:sz w:val="16"/>
          <w:szCs w:val="16"/>
        </w:rPr>
      </w:pPr>
      <w:r w:rsidRPr="00F17180">
        <w:rPr>
          <w:rFonts w:ascii="ITC Avant Garde" w:hAnsi="ITC Avant Garde"/>
          <w:i/>
          <w:sz w:val="16"/>
          <w:szCs w:val="16"/>
        </w:rPr>
        <w:t xml:space="preserve">Considerando lo anterior y en fomento al uso más eficiente del espectro, esta Dirección General recomienda que se adopte un esquema estándar de canalización de 12.5 kHz de ancho de banda por canal para la banda de 410-430 MHz. No obstante que el espaciamiento estándar de cada canal dentro de esta banda es de 12.5 kHz, el esquema propuesto permite la flexibilidad de operar dos canales contiguos, lo cual es equivalente a un canal de 25 kHz. </w:t>
      </w:r>
    </w:p>
    <w:p w14:paraId="7BBC395C" w14:textId="77777777" w:rsidR="003F43A6" w:rsidRPr="00F17180" w:rsidRDefault="003F43A6" w:rsidP="003F43A6">
      <w:pPr>
        <w:pStyle w:val="Prrafodelista"/>
        <w:ind w:left="284"/>
        <w:jc w:val="both"/>
        <w:rPr>
          <w:rFonts w:ascii="ITC Avant Garde" w:hAnsi="ITC Avant Garde"/>
          <w:i/>
          <w:sz w:val="16"/>
          <w:szCs w:val="16"/>
        </w:rPr>
      </w:pPr>
    </w:p>
    <w:p w14:paraId="7EF187D6" w14:textId="77777777" w:rsidR="003F43A6" w:rsidRPr="00F17180" w:rsidRDefault="003F43A6" w:rsidP="003F43A6">
      <w:pPr>
        <w:pStyle w:val="Prrafodelista"/>
        <w:ind w:left="284"/>
        <w:jc w:val="both"/>
        <w:rPr>
          <w:rFonts w:ascii="ITC Avant Garde" w:hAnsi="ITC Avant Garde"/>
          <w:i/>
          <w:sz w:val="16"/>
          <w:szCs w:val="16"/>
        </w:rPr>
      </w:pPr>
      <w:r w:rsidRPr="00F17180">
        <w:rPr>
          <w:rFonts w:ascii="ITC Avant Garde" w:hAnsi="ITC Avant Garde"/>
          <w:i/>
          <w:sz w:val="16"/>
          <w:szCs w:val="16"/>
        </w:rPr>
        <w:t>Lo anterior respeta la canalización de 25 kHz con la que actualmente operan los concesionarios comerciales y de uso público, reconociendo así la cantidad de espectro concesionado, al mismo tiempo que se promueve el uso más eficiente del espectro radioeléctrico y se respeta el principio de neutralidad tecnológica.</w:t>
      </w:r>
    </w:p>
    <w:p w14:paraId="12F5220B" w14:textId="77777777" w:rsidR="003F43A6" w:rsidRPr="00F17180" w:rsidRDefault="003F43A6" w:rsidP="003F43A6">
      <w:pPr>
        <w:pStyle w:val="Prrafodelista"/>
        <w:ind w:left="284"/>
        <w:jc w:val="both"/>
        <w:rPr>
          <w:rFonts w:ascii="ITC Avant Garde" w:hAnsi="ITC Avant Garde"/>
          <w:i/>
          <w:sz w:val="16"/>
          <w:szCs w:val="16"/>
        </w:rPr>
      </w:pPr>
    </w:p>
    <w:p w14:paraId="6127B8DD" w14:textId="77777777" w:rsidR="003F43A6" w:rsidRPr="00F17180" w:rsidRDefault="003F43A6" w:rsidP="003F43A6">
      <w:pPr>
        <w:ind w:left="284" w:right="528"/>
        <w:jc w:val="both"/>
        <w:rPr>
          <w:rFonts w:ascii="ITC Avant Garde" w:hAnsi="ITC Avant Garde"/>
          <w:i/>
          <w:sz w:val="16"/>
          <w:szCs w:val="16"/>
        </w:rPr>
      </w:pPr>
      <w:r w:rsidRPr="00F17180">
        <w:rPr>
          <w:rFonts w:ascii="ITC Avant Garde" w:hAnsi="ITC Avant Garde"/>
          <w:i/>
          <w:sz w:val="16"/>
          <w:szCs w:val="16"/>
        </w:rPr>
        <w:t>[…]</w:t>
      </w:r>
    </w:p>
    <w:p w14:paraId="4BEBF151" w14:textId="77777777" w:rsidR="003F43A6" w:rsidRPr="00F17180" w:rsidRDefault="003F43A6" w:rsidP="003F43A6">
      <w:pPr>
        <w:ind w:left="284" w:right="528"/>
        <w:jc w:val="both"/>
        <w:rPr>
          <w:rFonts w:ascii="ITC Avant Garde" w:hAnsi="ITC Avant Garde"/>
          <w:i/>
          <w:sz w:val="16"/>
          <w:szCs w:val="16"/>
        </w:rPr>
      </w:pPr>
    </w:p>
    <w:p w14:paraId="35959402" w14:textId="77777777" w:rsidR="003F43A6" w:rsidRPr="00F17180" w:rsidRDefault="003F43A6" w:rsidP="003F43A6">
      <w:pPr>
        <w:pStyle w:val="Prrafodelista"/>
        <w:numPr>
          <w:ilvl w:val="0"/>
          <w:numId w:val="41"/>
        </w:numPr>
        <w:ind w:right="528"/>
        <w:contextualSpacing/>
        <w:jc w:val="both"/>
        <w:rPr>
          <w:rFonts w:ascii="ITC Avant Garde" w:hAnsi="ITC Avant Garde"/>
          <w:b/>
          <w:i/>
          <w:sz w:val="16"/>
          <w:szCs w:val="16"/>
        </w:rPr>
      </w:pPr>
      <w:r w:rsidRPr="00F17180">
        <w:rPr>
          <w:rFonts w:ascii="ITC Avant Garde" w:hAnsi="ITC Avant Garde"/>
          <w:b/>
          <w:i/>
          <w:sz w:val="16"/>
          <w:szCs w:val="16"/>
        </w:rPr>
        <w:t>Opinión respecto a la solicitud</w:t>
      </w:r>
    </w:p>
    <w:p w14:paraId="465BD390" w14:textId="77777777" w:rsidR="003F43A6" w:rsidRPr="00F17180" w:rsidRDefault="003F43A6" w:rsidP="003F43A6">
      <w:pPr>
        <w:ind w:left="284" w:right="528"/>
        <w:jc w:val="both"/>
        <w:rPr>
          <w:rFonts w:ascii="ITC Avant Garde" w:hAnsi="ITC Avant Garde"/>
          <w:i/>
          <w:sz w:val="16"/>
          <w:szCs w:val="16"/>
        </w:rPr>
      </w:pPr>
    </w:p>
    <w:p w14:paraId="4BD0160D" w14:textId="77777777" w:rsidR="003F43A6" w:rsidRPr="00F17180" w:rsidRDefault="003F43A6" w:rsidP="003F43A6">
      <w:pPr>
        <w:ind w:left="284" w:right="528"/>
        <w:jc w:val="both"/>
        <w:rPr>
          <w:rFonts w:ascii="ITC Avant Garde" w:hAnsi="ITC Avant Garde"/>
          <w:i/>
          <w:sz w:val="16"/>
          <w:szCs w:val="16"/>
        </w:rPr>
      </w:pPr>
      <w:r w:rsidRPr="00F17180">
        <w:rPr>
          <w:rFonts w:ascii="ITC Avant Garde" w:hAnsi="ITC Avant Garde"/>
          <w:i/>
          <w:sz w:val="16"/>
          <w:szCs w:val="16"/>
        </w:rPr>
        <w:t>Con base en lo expuesto en las secciones anteriores, en opinión de esta Dirección General las solicitudes de prórroga resultan procedentes desde el punto de vista regulatorio y de planificación del espectro […].”</w:t>
      </w:r>
    </w:p>
    <w:p w14:paraId="5D6A1217" w14:textId="77777777" w:rsidR="008B38B5" w:rsidRDefault="008B38B5" w:rsidP="00B53D4B">
      <w:pPr>
        <w:ind w:left="284"/>
        <w:jc w:val="both"/>
        <w:rPr>
          <w:rFonts w:ascii="ITC Avant Garde" w:hAnsi="ITC Avant Garde"/>
          <w:i/>
          <w:sz w:val="20"/>
          <w:szCs w:val="22"/>
        </w:rPr>
      </w:pPr>
    </w:p>
    <w:p w14:paraId="5379312F" w14:textId="77777777" w:rsidR="007C0BC7" w:rsidRPr="007C0BC7" w:rsidRDefault="007C0BC7" w:rsidP="00B53D4B">
      <w:pPr>
        <w:ind w:left="284"/>
        <w:jc w:val="both"/>
        <w:rPr>
          <w:rFonts w:ascii="ITC Avant Garde" w:hAnsi="ITC Avant Garde"/>
          <w:i/>
          <w:sz w:val="20"/>
          <w:szCs w:val="22"/>
        </w:rPr>
      </w:pPr>
    </w:p>
    <w:p w14:paraId="49FF8EB1" w14:textId="77777777" w:rsidR="002520B5" w:rsidRPr="00F17180" w:rsidRDefault="002520B5" w:rsidP="002520B5">
      <w:pPr>
        <w:jc w:val="both"/>
        <w:rPr>
          <w:rFonts w:ascii="ITC Avant Garde" w:hAnsi="ITC Avant Garde"/>
          <w:sz w:val="22"/>
          <w:szCs w:val="22"/>
        </w:rPr>
      </w:pPr>
      <w:r w:rsidRPr="00F17180">
        <w:rPr>
          <w:rFonts w:ascii="ITC Avant Garde" w:hAnsi="ITC Avant Garde"/>
          <w:sz w:val="22"/>
          <w:szCs w:val="22"/>
        </w:rPr>
        <w:lastRenderedPageBreak/>
        <w:t xml:space="preserve">De igual forma, la citada Dirección General acompañó a su opinión la propuesta de asignación de cobertura por municipio y sus respectivos grupos de frecuencia en la banda de 400 MHz para Radio Sistemas de Tamaulipas, S.A. de C.V., misma que se transcribe a continuación: </w:t>
      </w:r>
    </w:p>
    <w:p w14:paraId="1506E676" w14:textId="77777777" w:rsidR="00EC1596" w:rsidRPr="007C0BC7" w:rsidRDefault="00EC1596" w:rsidP="00B53D4B">
      <w:pPr>
        <w:ind w:right="99"/>
        <w:jc w:val="both"/>
        <w:rPr>
          <w:rFonts w:ascii="ITC Avant Garde" w:hAnsi="ITC Avant Garde"/>
          <w:bCs/>
          <w:color w:val="000000"/>
          <w:sz w:val="22"/>
          <w:szCs w:val="22"/>
          <w:lang w:val="es-ES" w:eastAsia="es-MX"/>
        </w:rPr>
      </w:pPr>
    </w:p>
    <w:p w14:paraId="15B3B6F2" w14:textId="77777777" w:rsidR="00EC1596" w:rsidRPr="00F17180" w:rsidRDefault="00EC1596" w:rsidP="00B53D4B">
      <w:pPr>
        <w:tabs>
          <w:tab w:val="num" w:pos="540"/>
        </w:tabs>
        <w:jc w:val="center"/>
        <w:rPr>
          <w:rFonts w:ascii="ITC Avant Garde" w:eastAsia="Calibri" w:hAnsi="ITC Avant Garde"/>
          <w:b/>
          <w:bCs/>
          <w:color w:val="000000"/>
          <w:sz w:val="22"/>
          <w:szCs w:val="22"/>
          <w:lang w:eastAsia="es-MX"/>
        </w:rPr>
      </w:pPr>
      <w:r w:rsidRPr="00F17180">
        <w:rPr>
          <w:rFonts w:ascii="ITC Avant Garde" w:eastAsia="Calibri" w:hAnsi="ITC Avant Garde"/>
          <w:b/>
          <w:bCs/>
          <w:color w:val="000000"/>
          <w:sz w:val="22"/>
          <w:szCs w:val="22"/>
          <w:lang w:eastAsia="es-MX"/>
        </w:rPr>
        <w:t>Tabla 1</w:t>
      </w:r>
    </w:p>
    <w:p w14:paraId="2081039D" w14:textId="230722CE" w:rsidR="008B38B5" w:rsidRPr="00705A0A" w:rsidRDefault="00705A0A" w:rsidP="00705A0A">
      <w:pPr>
        <w:jc w:val="center"/>
        <w:rPr>
          <w:rFonts w:ascii="ITC Avant Garde" w:hAnsi="ITC Avant Garde"/>
          <w:sz w:val="22"/>
          <w:szCs w:val="22"/>
        </w:rPr>
      </w:pPr>
      <w:r w:rsidRPr="00705A0A">
        <w:rPr>
          <w:rFonts w:ascii="ITC Avant Garde" w:hAnsi="ITC Avant Garde"/>
          <w:b/>
          <w:sz w:val="22"/>
          <w:szCs w:val="22"/>
        </w:rPr>
        <w:t>Cobertura</w:t>
      </w:r>
    </w:p>
    <w:tbl>
      <w:tblPr>
        <w:tblStyle w:val="Tablaconcuadrcula"/>
        <w:tblW w:w="5000" w:type="pct"/>
        <w:tblLook w:val="04A0" w:firstRow="1" w:lastRow="0" w:firstColumn="1" w:lastColumn="0" w:noHBand="0" w:noVBand="1"/>
        <w:tblCaption w:val="Cobertura"/>
        <w:tblDescription w:val="Grupos de frecuencia en la banda de 400 MHz para Radio Sistemas de Tamaulipas, S.A. de C.V.,"/>
      </w:tblPr>
      <w:tblGrid>
        <w:gridCol w:w="2556"/>
        <w:gridCol w:w="1456"/>
        <w:gridCol w:w="4371"/>
        <w:gridCol w:w="1633"/>
      </w:tblGrid>
      <w:tr w:rsidR="00705A0A" w:rsidRPr="00F17180" w14:paraId="5DDB8CCC" w14:textId="77777777" w:rsidTr="00705A0A">
        <w:trPr>
          <w:trHeight w:val="1114"/>
          <w:tblHeader/>
        </w:trPr>
        <w:tc>
          <w:tcPr>
            <w:tcW w:w="1276" w:type="pct"/>
            <w:shd w:val="clear" w:color="auto" w:fill="A6A6A6" w:themeFill="background1" w:themeFillShade="A6"/>
            <w:vAlign w:val="center"/>
          </w:tcPr>
          <w:p w14:paraId="52235FE4" w14:textId="77777777" w:rsidR="00705A0A" w:rsidRPr="00F17180" w:rsidRDefault="00705A0A" w:rsidP="006D6CE4">
            <w:pPr>
              <w:jc w:val="center"/>
              <w:rPr>
                <w:rFonts w:ascii="ITC Avant Garde" w:hAnsi="ITC Avant Garde"/>
                <w:b/>
                <w:sz w:val="18"/>
                <w:szCs w:val="18"/>
              </w:rPr>
            </w:pPr>
            <w:r w:rsidRPr="00F17180">
              <w:rPr>
                <w:rFonts w:ascii="ITC Avant Garde" w:hAnsi="ITC Avant Garde"/>
                <w:b/>
                <w:sz w:val="18"/>
                <w:szCs w:val="18"/>
              </w:rPr>
              <w:t>Concesionario</w:t>
            </w:r>
          </w:p>
        </w:tc>
        <w:tc>
          <w:tcPr>
            <w:tcW w:w="727" w:type="pct"/>
            <w:shd w:val="clear" w:color="auto" w:fill="A6A6A6" w:themeFill="background1" w:themeFillShade="A6"/>
            <w:vAlign w:val="center"/>
          </w:tcPr>
          <w:p w14:paraId="28FCD431" w14:textId="77777777" w:rsidR="00705A0A" w:rsidRPr="00F17180" w:rsidRDefault="00705A0A" w:rsidP="006D6CE4">
            <w:pPr>
              <w:jc w:val="center"/>
              <w:rPr>
                <w:rFonts w:ascii="ITC Avant Garde" w:hAnsi="ITC Avant Garde"/>
                <w:b/>
                <w:sz w:val="18"/>
                <w:szCs w:val="18"/>
              </w:rPr>
            </w:pPr>
            <w:r w:rsidRPr="00F17180">
              <w:rPr>
                <w:rFonts w:ascii="ITC Avant Garde" w:hAnsi="ITC Avant Garde"/>
                <w:b/>
                <w:sz w:val="18"/>
                <w:szCs w:val="18"/>
              </w:rPr>
              <w:t>Estado</w:t>
            </w:r>
          </w:p>
        </w:tc>
        <w:tc>
          <w:tcPr>
            <w:tcW w:w="2182" w:type="pct"/>
            <w:shd w:val="clear" w:color="auto" w:fill="A6A6A6" w:themeFill="background1" w:themeFillShade="A6"/>
            <w:vAlign w:val="center"/>
          </w:tcPr>
          <w:p w14:paraId="3222A052" w14:textId="49B467BF" w:rsidR="00705A0A" w:rsidRPr="00F17180" w:rsidRDefault="00705A0A" w:rsidP="006D6CE4">
            <w:pPr>
              <w:jc w:val="center"/>
              <w:rPr>
                <w:rFonts w:ascii="ITC Avant Garde" w:hAnsi="ITC Avant Garde"/>
                <w:b/>
                <w:sz w:val="18"/>
                <w:szCs w:val="18"/>
              </w:rPr>
            </w:pPr>
            <w:r w:rsidRPr="00F17180">
              <w:rPr>
                <w:rFonts w:ascii="ITC Avant Garde" w:hAnsi="ITC Avant Garde"/>
                <w:b/>
                <w:sz w:val="18"/>
                <w:szCs w:val="18"/>
              </w:rPr>
              <w:t>Municipios</w:t>
            </w:r>
          </w:p>
        </w:tc>
        <w:tc>
          <w:tcPr>
            <w:tcW w:w="816" w:type="pct"/>
            <w:shd w:val="clear" w:color="auto" w:fill="A6A6A6" w:themeFill="background1" w:themeFillShade="A6"/>
            <w:vAlign w:val="center"/>
          </w:tcPr>
          <w:p w14:paraId="756D323E" w14:textId="77777777" w:rsidR="00705A0A" w:rsidRPr="00F17180" w:rsidRDefault="00705A0A" w:rsidP="006D6CE4">
            <w:pPr>
              <w:jc w:val="center"/>
              <w:rPr>
                <w:rFonts w:ascii="ITC Avant Garde" w:hAnsi="ITC Avant Garde"/>
                <w:b/>
                <w:sz w:val="18"/>
                <w:szCs w:val="18"/>
              </w:rPr>
            </w:pPr>
            <w:r w:rsidRPr="00F17180">
              <w:rPr>
                <w:rFonts w:ascii="ITC Avant Garde" w:hAnsi="ITC Avant Garde"/>
                <w:b/>
                <w:sz w:val="18"/>
                <w:szCs w:val="18"/>
              </w:rPr>
              <w:t>Grupos de frecuencia asignados en la banda de 400 MHz</w:t>
            </w:r>
          </w:p>
        </w:tc>
      </w:tr>
      <w:tr w:rsidR="00D57A8F" w:rsidRPr="00F17180" w14:paraId="0A8C6015" w14:textId="77777777" w:rsidTr="00705A0A">
        <w:trPr>
          <w:trHeight w:val="139"/>
        </w:trPr>
        <w:tc>
          <w:tcPr>
            <w:tcW w:w="1276" w:type="pct"/>
          </w:tcPr>
          <w:p w14:paraId="73C0364A" w14:textId="77777777" w:rsidR="00D57A8F" w:rsidRPr="00F17180" w:rsidRDefault="00D57A8F" w:rsidP="006D6CE4">
            <w:pPr>
              <w:rPr>
                <w:rFonts w:ascii="ITC Avant Garde" w:hAnsi="ITC Avant Garde"/>
                <w:b/>
                <w:sz w:val="18"/>
                <w:szCs w:val="18"/>
              </w:rPr>
            </w:pPr>
            <w:r w:rsidRPr="00F17180">
              <w:rPr>
                <w:rFonts w:ascii="ITC Avant Garde" w:hAnsi="ITC Avant Garde"/>
                <w:b/>
                <w:sz w:val="18"/>
                <w:szCs w:val="18"/>
              </w:rPr>
              <w:t>RADIO SISTEMAS DE TAMAULIPAS, S.A. DE C.V.</w:t>
            </w:r>
          </w:p>
          <w:p w14:paraId="2FEFA667" w14:textId="77777777" w:rsidR="00D57A8F" w:rsidRPr="00F17180" w:rsidRDefault="00D57A8F" w:rsidP="006D6CE4">
            <w:pPr>
              <w:rPr>
                <w:rFonts w:ascii="ITC Avant Garde" w:hAnsi="ITC Avant Garde"/>
                <w:b/>
                <w:sz w:val="18"/>
                <w:szCs w:val="18"/>
              </w:rPr>
            </w:pPr>
          </w:p>
        </w:tc>
        <w:tc>
          <w:tcPr>
            <w:tcW w:w="727" w:type="pct"/>
          </w:tcPr>
          <w:p w14:paraId="17CF7817" w14:textId="77777777" w:rsidR="00D57A8F" w:rsidRPr="00F17180" w:rsidRDefault="00D57A8F" w:rsidP="006D6CE4">
            <w:pPr>
              <w:rPr>
                <w:rFonts w:ascii="ITC Avant Garde" w:hAnsi="ITC Avant Garde"/>
                <w:sz w:val="18"/>
                <w:szCs w:val="18"/>
              </w:rPr>
            </w:pPr>
            <w:r w:rsidRPr="00F17180">
              <w:rPr>
                <w:rFonts w:ascii="ITC Avant Garde" w:hAnsi="ITC Avant Garde"/>
                <w:sz w:val="18"/>
                <w:szCs w:val="18"/>
              </w:rPr>
              <w:t>Tamaulipas</w:t>
            </w:r>
          </w:p>
        </w:tc>
        <w:tc>
          <w:tcPr>
            <w:tcW w:w="2182" w:type="pct"/>
          </w:tcPr>
          <w:p w14:paraId="7F9B4FEE" w14:textId="77777777" w:rsidR="00D57A8F" w:rsidRPr="00F17180" w:rsidRDefault="00D57A8F" w:rsidP="00D57A8F">
            <w:pPr>
              <w:jc w:val="both"/>
              <w:rPr>
                <w:rFonts w:ascii="ITC Avant Garde" w:hAnsi="ITC Avant Garde"/>
                <w:color w:val="000000"/>
                <w:sz w:val="18"/>
                <w:szCs w:val="18"/>
              </w:rPr>
            </w:pPr>
            <w:r w:rsidRPr="00F17180">
              <w:rPr>
                <w:rFonts w:ascii="ITC Avant Garde" w:hAnsi="ITC Avant Garde"/>
                <w:color w:val="000000"/>
                <w:sz w:val="18"/>
                <w:szCs w:val="18"/>
              </w:rPr>
              <w:t xml:space="preserve">Abasolo, Aldama, Altamira, Antiguo Morelos, Burgos, Bustamante, Camargo, Casas, Ciudad Madero, </w:t>
            </w:r>
            <w:proofErr w:type="spellStart"/>
            <w:r w:rsidRPr="00F17180">
              <w:rPr>
                <w:rFonts w:ascii="ITC Avant Garde" w:hAnsi="ITC Avant Garde"/>
                <w:color w:val="000000"/>
                <w:sz w:val="18"/>
                <w:szCs w:val="18"/>
              </w:rPr>
              <w:t>Cruillas</w:t>
            </w:r>
            <w:proofErr w:type="spellEnd"/>
            <w:r w:rsidRPr="00F17180">
              <w:rPr>
                <w:rFonts w:ascii="ITC Avant Garde" w:hAnsi="ITC Avant Garde"/>
                <w:color w:val="000000"/>
                <w:sz w:val="18"/>
                <w:szCs w:val="18"/>
              </w:rPr>
              <w:t xml:space="preserve">, El Mante, Gomez Farías, González, </w:t>
            </w:r>
            <w:proofErr w:type="spellStart"/>
            <w:r w:rsidRPr="00F17180">
              <w:rPr>
                <w:rFonts w:ascii="ITC Avant Garde" w:hAnsi="ITC Avant Garde"/>
                <w:color w:val="000000"/>
                <w:sz w:val="18"/>
                <w:szCs w:val="18"/>
              </w:rPr>
              <w:t>Güémez</w:t>
            </w:r>
            <w:proofErr w:type="spellEnd"/>
            <w:r w:rsidRPr="00F17180">
              <w:rPr>
                <w:rFonts w:ascii="ITC Avant Garde" w:hAnsi="ITC Avant Garde"/>
                <w:color w:val="000000"/>
                <w:sz w:val="18"/>
                <w:szCs w:val="18"/>
              </w:rPr>
              <w:t xml:space="preserve">, Guerrero, Gustavo Díaz Ordaz, Hidalgo, </w:t>
            </w:r>
            <w:proofErr w:type="spellStart"/>
            <w:r w:rsidRPr="00F17180">
              <w:rPr>
                <w:rFonts w:ascii="ITC Avant Garde" w:hAnsi="ITC Avant Garde"/>
                <w:color w:val="000000"/>
                <w:sz w:val="18"/>
                <w:szCs w:val="18"/>
              </w:rPr>
              <w:t>Jaumave</w:t>
            </w:r>
            <w:proofErr w:type="spellEnd"/>
            <w:r w:rsidRPr="00F17180">
              <w:rPr>
                <w:rFonts w:ascii="ITC Avant Garde" w:hAnsi="ITC Avant Garde"/>
                <w:color w:val="000000"/>
                <w:sz w:val="18"/>
                <w:szCs w:val="18"/>
              </w:rPr>
              <w:t xml:space="preserve">, Jiménez, Llera, </w:t>
            </w:r>
            <w:proofErr w:type="spellStart"/>
            <w:r w:rsidRPr="00F17180">
              <w:rPr>
                <w:rFonts w:ascii="ITC Avant Garde" w:hAnsi="ITC Avant Garde"/>
                <w:color w:val="000000"/>
                <w:sz w:val="18"/>
                <w:szCs w:val="18"/>
              </w:rPr>
              <w:t>Mainero</w:t>
            </w:r>
            <w:proofErr w:type="spellEnd"/>
            <w:r w:rsidRPr="00F17180">
              <w:rPr>
                <w:rFonts w:ascii="ITC Avant Garde" w:hAnsi="ITC Avant Garde"/>
                <w:color w:val="000000"/>
                <w:sz w:val="18"/>
                <w:szCs w:val="18"/>
              </w:rPr>
              <w:t xml:space="preserve">, Matamoros, Méndez, Mier, Miguel Alemán, </w:t>
            </w:r>
            <w:proofErr w:type="spellStart"/>
            <w:r w:rsidRPr="00F17180">
              <w:rPr>
                <w:rFonts w:ascii="ITC Avant Garde" w:hAnsi="ITC Avant Garde"/>
                <w:color w:val="000000"/>
                <w:sz w:val="18"/>
                <w:szCs w:val="18"/>
              </w:rPr>
              <w:t>Miquihuana</w:t>
            </w:r>
            <w:proofErr w:type="spellEnd"/>
            <w:r w:rsidRPr="00F17180">
              <w:rPr>
                <w:rFonts w:ascii="ITC Avant Garde" w:hAnsi="ITC Avant Garde"/>
                <w:color w:val="000000"/>
                <w:sz w:val="18"/>
                <w:szCs w:val="18"/>
              </w:rPr>
              <w:t xml:space="preserve">, Nuevo Laredo, Nuevo Morelos, Ocampo, Padilla, Palmillas, Reynosa, Río Bravo, San Carlos, San Fernando, San Nicolás, Soto la Marina, Tampico, Tula, Valle Hermoso, </w:t>
            </w:r>
          </w:p>
          <w:p w14:paraId="0D3EC674" w14:textId="04566C21" w:rsidR="00D57A8F" w:rsidRPr="00F17180" w:rsidRDefault="00D57A8F" w:rsidP="00D57A8F">
            <w:pPr>
              <w:jc w:val="both"/>
              <w:rPr>
                <w:rFonts w:ascii="ITC Avant Garde" w:hAnsi="ITC Avant Garde"/>
                <w:color w:val="000000"/>
                <w:sz w:val="18"/>
                <w:szCs w:val="18"/>
              </w:rPr>
            </w:pPr>
            <w:r w:rsidRPr="00F17180">
              <w:rPr>
                <w:rFonts w:ascii="ITC Avant Garde" w:hAnsi="ITC Avant Garde"/>
                <w:color w:val="000000"/>
                <w:sz w:val="18"/>
                <w:szCs w:val="18"/>
              </w:rPr>
              <w:t>Victoria, Villagrán y Xicoténcatl.</w:t>
            </w:r>
          </w:p>
        </w:tc>
        <w:tc>
          <w:tcPr>
            <w:tcW w:w="816" w:type="pct"/>
          </w:tcPr>
          <w:p w14:paraId="3C4FF72E" w14:textId="6408A1B4" w:rsidR="00D57A8F" w:rsidRPr="00F17180" w:rsidRDefault="00D57A8F" w:rsidP="006D6CE4">
            <w:pPr>
              <w:jc w:val="center"/>
              <w:rPr>
                <w:rFonts w:ascii="ITC Avant Garde" w:hAnsi="ITC Avant Garde"/>
                <w:sz w:val="18"/>
                <w:szCs w:val="18"/>
              </w:rPr>
            </w:pPr>
            <w:r w:rsidRPr="00F17180">
              <w:rPr>
                <w:rFonts w:ascii="ITC Avant Garde" w:hAnsi="ITC Avant Garde"/>
                <w:sz w:val="18"/>
                <w:szCs w:val="18"/>
              </w:rPr>
              <w:t>14, 15 y 16</w:t>
            </w:r>
          </w:p>
        </w:tc>
      </w:tr>
    </w:tbl>
    <w:p w14:paraId="33E9285F" w14:textId="77777777" w:rsidR="00D775FA" w:rsidRPr="00F17180" w:rsidRDefault="00D775FA" w:rsidP="00B53D4B">
      <w:pPr>
        <w:jc w:val="both"/>
        <w:rPr>
          <w:rFonts w:ascii="ITC Avant Garde" w:hAnsi="ITC Avant Garde"/>
          <w:bCs/>
          <w:color w:val="000000"/>
          <w:sz w:val="22"/>
          <w:szCs w:val="22"/>
          <w:lang w:val="es-ES" w:eastAsia="es-MX"/>
        </w:rPr>
      </w:pPr>
    </w:p>
    <w:p w14:paraId="58BDA42F" w14:textId="02473C74" w:rsidR="0032751F" w:rsidRPr="00F17180" w:rsidRDefault="0032751F" w:rsidP="0032751F">
      <w:pPr>
        <w:jc w:val="both"/>
        <w:rPr>
          <w:rFonts w:ascii="ITC Avant Garde" w:hAnsi="ITC Avant Garde"/>
          <w:sz w:val="22"/>
          <w:szCs w:val="22"/>
        </w:rPr>
      </w:pPr>
      <w:r w:rsidRPr="00F17180">
        <w:rPr>
          <w:rFonts w:ascii="ITC Avant Garde" w:hAnsi="ITC Avant Garde"/>
          <w:sz w:val="22"/>
          <w:szCs w:val="22"/>
        </w:rPr>
        <w:t xml:space="preserve">Por lo que respecta a la asignación de los pares de frecuencias, la Dirección General de Ingeniería del Espectro y Estudios Técnicos, remitió dos canalizaciones de la banda con anchos de banda por canal de 25 kHz y 12.5 kHz, recomendando que se adoptara esta última </w:t>
      </w:r>
      <w:r w:rsidR="00477249" w:rsidRPr="00F17180">
        <w:rPr>
          <w:rFonts w:ascii="ITC Avant Garde" w:hAnsi="ITC Avant Garde"/>
          <w:sz w:val="22"/>
          <w:szCs w:val="22"/>
        </w:rPr>
        <w:t>pues propicia un uso más</w:t>
      </w:r>
      <w:r w:rsidRPr="00F17180">
        <w:rPr>
          <w:rFonts w:ascii="ITC Avant Garde" w:hAnsi="ITC Avant Garde"/>
          <w:sz w:val="22"/>
          <w:szCs w:val="22"/>
        </w:rPr>
        <w:t xml:space="preserve"> eficiente del espectro. Asimismo, las canalizaciones propuestas permiten la flexibilidad de operar en dos canales contiguos de 12.5 kHz, lo cual es equivalente a un canal de 25 kHz, situación que respeta la canalización de 25 kHz con que actualmente operan otros concesionarios comerciales y públicos en la misma banda de frecuencias. </w:t>
      </w:r>
    </w:p>
    <w:p w14:paraId="7E5074F0" w14:textId="77777777" w:rsidR="0032751F" w:rsidRPr="00F17180" w:rsidRDefault="0032751F" w:rsidP="0032751F">
      <w:pPr>
        <w:jc w:val="both"/>
        <w:rPr>
          <w:rFonts w:ascii="ITC Avant Garde" w:hAnsi="ITC Avant Garde"/>
          <w:sz w:val="22"/>
          <w:szCs w:val="22"/>
        </w:rPr>
      </w:pPr>
    </w:p>
    <w:p w14:paraId="6FA32188" w14:textId="77777777" w:rsidR="0032751F" w:rsidRPr="00F17180" w:rsidRDefault="0032751F" w:rsidP="0032751F">
      <w:pPr>
        <w:jc w:val="both"/>
        <w:rPr>
          <w:rFonts w:ascii="ITC Avant Garde" w:hAnsi="ITC Avant Garde"/>
          <w:sz w:val="22"/>
          <w:szCs w:val="22"/>
        </w:rPr>
      </w:pPr>
      <w:r w:rsidRPr="00F17180">
        <w:rPr>
          <w:rFonts w:ascii="ITC Avant Garde" w:hAnsi="ITC Avant Garde"/>
          <w:sz w:val="22"/>
          <w:szCs w:val="22"/>
        </w:rPr>
        <w:t>Derivado de lo anterior, y con base en el principio de neutralidad tecnológica, este Pleno considera que las frecuencias que se asignen como consecuencia de la Solicitud de Prórroga deberán contemplar canales con un ancho de banda de 12.5 kHz o bien de 25 kHz, conforme a las canalizaciones definidas en las siguientes tablas:</w:t>
      </w:r>
    </w:p>
    <w:p w14:paraId="7A732B2C" w14:textId="77777777" w:rsidR="000660C0" w:rsidRDefault="000660C0" w:rsidP="00B53D4B">
      <w:pPr>
        <w:jc w:val="both"/>
        <w:rPr>
          <w:rFonts w:ascii="ITC Avant Garde" w:eastAsia="Calibri" w:hAnsi="ITC Avant Garde"/>
          <w:bCs/>
          <w:color w:val="000000"/>
          <w:sz w:val="22"/>
          <w:szCs w:val="22"/>
          <w:lang w:eastAsia="es-MX"/>
        </w:rPr>
      </w:pPr>
    </w:p>
    <w:p w14:paraId="6B60C2D8" w14:textId="77777777" w:rsidR="007C0BC7" w:rsidRDefault="007C0BC7" w:rsidP="00B53D4B">
      <w:pPr>
        <w:jc w:val="both"/>
        <w:rPr>
          <w:rFonts w:ascii="ITC Avant Garde" w:eastAsia="Calibri" w:hAnsi="ITC Avant Garde"/>
          <w:bCs/>
          <w:color w:val="000000"/>
          <w:sz w:val="22"/>
          <w:szCs w:val="22"/>
          <w:lang w:eastAsia="es-MX"/>
        </w:rPr>
      </w:pPr>
    </w:p>
    <w:p w14:paraId="0AB719FF" w14:textId="604A5278" w:rsidR="00EC1596" w:rsidRPr="00F17180" w:rsidRDefault="00EC1596" w:rsidP="00B53D4B">
      <w:pPr>
        <w:jc w:val="center"/>
        <w:rPr>
          <w:rFonts w:ascii="ITC Avant Garde" w:hAnsi="ITC Avant Garde"/>
          <w:b/>
          <w:sz w:val="22"/>
          <w:szCs w:val="22"/>
        </w:rPr>
      </w:pPr>
      <w:r w:rsidRPr="00F17180">
        <w:rPr>
          <w:rFonts w:ascii="ITC Avant Garde" w:hAnsi="ITC Avant Garde"/>
          <w:b/>
          <w:sz w:val="22"/>
          <w:szCs w:val="22"/>
        </w:rPr>
        <w:t>Tabla 2</w:t>
      </w:r>
      <w:r w:rsidR="0032751F" w:rsidRPr="00F17180">
        <w:rPr>
          <w:rFonts w:ascii="ITC Avant Garde" w:hAnsi="ITC Avant Garde"/>
          <w:b/>
          <w:sz w:val="22"/>
          <w:szCs w:val="22"/>
        </w:rPr>
        <w:t>.1</w:t>
      </w:r>
    </w:p>
    <w:p w14:paraId="2DF5ABD1" w14:textId="77777777" w:rsidR="00BF215B" w:rsidRDefault="00BF215B" w:rsidP="006D6CE4">
      <w:pPr>
        <w:rPr>
          <w:rFonts w:ascii="ITC Avant Garde" w:hAnsi="ITC Avant Garde"/>
          <w:sz w:val="22"/>
          <w:szCs w:val="22"/>
        </w:rPr>
      </w:pPr>
    </w:p>
    <w:p w14:paraId="568AEAE1" w14:textId="77777777" w:rsidR="002A0CC9" w:rsidRPr="00F17180" w:rsidRDefault="002A0CC9" w:rsidP="006D6CE4">
      <w:pPr>
        <w:rPr>
          <w:rFonts w:ascii="ITC Avant Garde" w:hAnsi="ITC Avant Garde"/>
          <w:sz w:val="22"/>
          <w:szCs w:val="22"/>
        </w:rPr>
      </w:pPr>
      <w:r w:rsidRPr="00F17180">
        <w:rPr>
          <w:rFonts w:ascii="ITC Avant Garde" w:hAnsi="ITC Avant Garde"/>
          <w:sz w:val="22"/>
          <w:szCs w:val="22"/>
        </w:rPr>
        <w:t xml:space="preserve">Grupos de Frecuencia en la banda de 400 MHz para una </w:t>
      </w:r>
      <w:r w:rsidRPr="00F17180">
        <w:rPr>
          <w:rFonts w:ascii="ITC Avant Garde" w:hAnsi="ITC Avant Garde"/>
          <w:b/>
          <w:sz w:val="22"/>
          <w:szCs w:val="22"/>
          <w:u w:val="single"/>
        </w:rPr>
        <w:t>canalización de 12.5 kHz</w:t>
      </w:r>
      <w:r w:rsidRPr="00F17180">
        <w:rPr>
          <w:rFonts w:ascii="ITC Avant Garde" w:hAnsi="ITC Avant Garde"/>
          <w:sz w:val="22"/>
          <w:szCs w:val="22"/>
        </w:rPr>
        <w:t xml:space="preserve"> (donde la frecuencia de </w:t>
      </w:r>
      <w:proofErr w:type="spellStart"/>
      <w:r w:rsidRPr="00F17180">
        <w:rPr>
          <w:rFonts w:ascii="ITC Avant Garde" w:hAnsi="ITC Avant Garde"/>
          <w:sz w:val="22"/>
          <w:szCs w:val="22"/>
        </w:rPr>
        <w:t>Tx</w:t>
      </w:r>
      <w:proofErr w:type="spellEnd"/>
      <w:r w:rsidRPr="00F17180">
        <w:rPr>
          <w:rFonts w:ascii="ITC Avant Garde" w:hAnsi="ITC Avant Garde"/>
          <w:sz w:val="22"/>
          <w:szCs w:val="22"/>
        </w:rPr>
        <w:t xml:space="preserve"> corresponde a la estación transmisora).</w:t>
      </w:r>
    </w:p>
    <w:p w14:paraId="5689BB7D" w14:textId="7CEA948B" w:rsidR="00F74181" w:rsidRDefault="00F74181" w:rsidP="00B53D4B">
      <w:pPr>
        <w:jc w:val="both"/>
        <w:rPr>
          <w:rFonts w:ascii="Times New Roman" w:hAnsi="Times New Roman"/>
          <w:sz w:val="20"/>
          <w:lang w:val="es-ES"/>
        </w:rPr>
      </w:pPr>
      <w:r>
        <w:rPr>
          <w:rFonts w:eastAsia="Calibri"/>
        </w:rPr>
        <w:fldChar w:fldCharType="begin"/>
      </w:r>
      <w:r>
        <w:rPr>
          <w:rFonts w:eastAsia="Calibri"/>
        </w:rPr>
        <w:instrText xml:space="preserve"> LINK Excel.Sheet.12 "Libro1" "Hoja1!F1C1:F14C12" \a \f 4 \h  \* MERGEFORMAT </w:instrText>
      </w:r>
      <w:r>
        <w:rPr>
          <w:rFonts w:eastAsia="Calibri"/>
        </w:rPr>
        <w:fldChar w:fldCharType="separate"/>
      </w:r>
    </w:p>
    <w:p w14:paraId="11FD7315" w14:textId="55F4FAE9" w:rsidR="00765B4D" w:rsidRPr="007C0BC7" w:rsidRDefault="00F74181" w:rsidP="00B53D4B">
      <w:pPr>
        <w:jc w:val="both"/>
        <w:rPr>
          <w:rFonts w:ascii="ITC Avant Garde" w:eastAsia="Calibri" w:hAnsi="ITC Avant Garde"/>
          <w:bCs/>
          <w:color w:val="000000"/>
          <w:sz w:val="18"/>
          <w:szCs w:val="22"/>
          <w:lang w:eastAsia="es-MX"/>
        </w:rPr>
      </w:pPr>
      <w:r>
        <w:rPr>
          <w:rFonts w:eastAsia="Calibri"/>
        </w:rPr>
        <w:lastRenderedPageBreak/>
        <w:fldChar w:fldCharType="end"/>
      </w:r>
      <w:r w:rsidR="00305CD0" w:rsidRPr="00305CD0">
        <w:rPr>
          <w:rFonts w:eastAsia="Calibri"/>
        </w:rPr>
        <w:t xml:space="preserve"> </w:t>
      </w:r>
      <w:r w:rsidR="00305CD0" w:rsidRPr="00305CD0">
        <w:rPr>
          <w:rFonts w:eastAsia="Calibri"/>
        </w:rPr>
        <w:drawing>
          <wp:inline distT="0" distB="0" distL="0" distR="0" wp14:anchorId="1B98B23D" wp14:editId="4BFA8BC0">
            <wp:extent cx="6366510" cy="2603500"/>
            <wp:effectExtent l="0" t="0" r="0" b="6350"/>
            <wp:docPr id="3" name="Imagen 3" descr=" Donde la frecuencia de Tx corresponde a la estación transmisora.&#10;&#10;&#10;" title="Grupos de Frecuencia en la banda de 400 MHz para una canalización de 12.5 k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66510" cy="2603500"/>
                    </a:xfrm>
                    <a:prstGeom prst="rect">
                      <a:avLst/>
                    </a:prstGeom>
                    <a:noFill/>
                    <a:ln>
                      <a:noFill/>
                    </a:ln>
                  </pic:spPr>
                </pic:pic>
              </a:graphicData>
            </a:graphic>
          </wp:inline>
        </w:drawing>
      </w:r>
    </w:p>
    <w:p w14:paraId="12F817B0" w14:textId="566C264A" w:rsidR="0032751F" w:rsidRPr="00F17180" w:rsidRDefault="00331ADC" w:rsidP="00331ADC">
      <w:pPr>
        <w:tabs>
          <w:tab w:val="left" w:pos="2304"/>
          <w:tab w:val="center" w:pos="5013"/>
        </w:tabs>
        <w:rPr>
          <w:rFonts w:ascii="ITC Avant Garde" w:hAnsi="ITC Avant Garde"/>
          <w:b/>
          <w:sz w:val="22"/>
          <w:szCs w:val="22"/>
        </w:rPr>
      </w:pPr>
      <w:r>
        <w:rPr>
          <w:rFonts w:ascii="ITC Avant Garde" w:hAnsi="ITC Avant Garde"/>
          <w:b/>
          <w:sz w:val="22"/>
          <w:szCs w:val="22"/>
        </w:rPr>
        <w:tab/>
      </w:r>
      <w:r>
        <w:rPr>
          <w:rFonts w:ascii="ITC Avant Garde" w:hAnsi="ITC Avant Garde"/>
          <w:b/>
          <w:sz w:val="22"/>
          <w:szCs w:val="22"/>
        </w:rPr>
        <w:tab/>
      </w:r>
      <w:r w:rsidR="0032751F" w:rsidRPr="00F17180">
        <w:rPr>
          <w:rFonts w:ascii="ITC Avant Garde" w:hAnsi="ITC Avant Garde"/>
          <w:b/>
          <w:sz w:val="22"/>
          <w:szCs w:val="22"/>
        </w:rPr>
        <w:t>Tabla 2.2</w:t>
      </w:r>
    </w:p>
    <w:p w14:paraId="52B18424" w14:textId="694C0577" w:rsidR="0032751F" w:rsidRPr="007C0BC7" w:rsidRDefault="00F74181" w:rsidP="00F74181">
      <w:pPr>
        <w:tabs>
          <w:tab w:val="left" w:pos="8294"/>
        </w:tabs>
        <w:rPr>
          <w:rFonts w:ascii="ITC Avant Garde" w:hAnsi="ITC Avant Garde"/>
          <w:sz w:val="18"/>
          <w:szCs w:val="22"/>
        </w:rPr>
      </w:pPr>
      <w:r>
        <w:rPr>
          <w:rFonts w:ascii="ITC Avant Garde" w:hAnsi="ITC Avant Garde"/>
          <w:sz w:val="18"/>
          <w:szCs w:val="22"/>
        </w:rPr>
        <w:tab/>
      </w:r>
    </w:p>
    <w:p w14:paraId="7F2744AC" w14:textId="459560DB" w:rsidR="0032751F" w:rsidRPr="00F17180" w:rsidRDefault="0032751F" w:rsidP="0032751F">
      <w:pPr>
        <w:rPr>
          <w:rFonts w:ascii="ITC Avant Garde" w:hAnsi="ITC Avant Garde"/>
          <w:sz w:val="22"/>
          <w:szCs w:val="22"/>
        </w:rPr>
      </w:pPr>
      <w:r w:rsidRPr="00F17180">
        <w:rPr>
          <w:rFonts w:ascii="ITC Avant Garde" w:hAnsi="ITC Avant Garde"/>
          <w:sz w:val="22"/>
          <w:szCs w:val="22"/>
        </w:rPr>
        <w:t xml:space="preserve">Grupos de Frecuencia en la banda de 400 MHz para una </w:t>
      </w:r>
      <w:r w:rsidRPr="00F17180">
        <w:rPr>
          <w:rFonts w:ascii="ITC Avant Garde" w:hAnsi="ITC Avant Garde"/>
          <w:b/>
          <w:sz w:val="22"/>
          <w:szCs w:val="22"/>
          <w:u w:val="single"/>
        </w:rPr>
        <w:t>canalización de 25 kHz</w:t>
      </w:r>
      <w:r w:rsidRPr="00F17180">
        <w:rPr>
          <w:rFonts w:ascii="ITC Avant Garde" w:hAnsi="ITC Avant Garde"/>
          <w:sz w:val="22"/>
          <w:szCs w:val="22"/>
        </w:rPr>
        <w:t xml:space="preserve"> (donde la frecuencia de </w:t>
      </w:r>
      <w:proofErr w:type="spellStart"/>
      <w:r w:rsidRPr="00F17180">
        <w:rPr>
          <w:rFonts w:ascii="ITC Avant Garde" w:hAnsi="ITC Avant Garde"/>
          <w:sz w:val="22"/>
          <w:szCs w:val="22"/>
        </w:rPr>
        <w:t>Tx</w:t>
      </w:r>
      <w:proofErr w:type="spellEnd"/>
      <w:r w:rsidRPr="00F17180">
        <w:rPr>
          <w:rFonts w:ascii="ITC Avant Garde" w:hAnsi="ITC Avant Garde"/>
          <w:sz w:val="22"/>
          <w:szCs w:val="22"/>
        </w:rPr>
        <w:t xml:space="preserve"> corresponde a la estación transmisora).</w:t>
      </w:r>
    </w:p>
    <w:p w14:paraId="31E9DEF1" w14:textId="7DEE97AF" w:rsidR="0032751F" w:rsidRPr="007C0BC7" w:rsidRDefault="00305CD0" w:rsidP="00B53D4B">
      <w:pPr>
        <w:jc w:val="both"/>
        <w:rPr>
          <w:rFonts w:ascii="ITC Avant Garde" w:eastAsia="Calibri" w:hAnsi="ITC Avant Garde"/>
          <w:bCs/>
          <w:color w:val="000000"/>
          <w:sz w:val="18"/>
          <w:szCs w:val="22"/>
          <w:lang w:eastAsia="es-MX"/>
        </w:rPr>
      </w:pPr>
      <w:r w:rsidRPr="008069B8">
        <w:rPr>
          <w:rFonts w:eastAsia="Calibri"/>
        </w:rPr>
        <w:drawing>
          <wp:inline distT="0" distB="0" distL="0" distR="0" wp14:anchorId="6B6059E0" wp14:editId="6A64D378">
            <wp:extent cx="4761865" cy="2921000"/>
            <wp:effectExtent l="0" t="0" r="635" b="0"/>
            <wp:docPr id="2" name="Imagen 2" descr="Donde la frecuencia de Tx corresponde a la estación transmisora." title="Grupos de Frecuencia en la banda de 400 M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1865" cy="2921000"/>
                    </a:xfrm>
                    <a:prstGeom prst="rect">
                      <a:avLst/>
                    </a:prstGeom>
                    <a:noFill/>
                    <a:ln>
                      <a:noFill/>
                    </a:ln>
                  </pic:spPr>
                </pic:pic>
              </a:graphicData>
            </a:graphic>
          </wp:inline>
        </w:drawing>
      </w:r>
    </w:p>
    <w:p w14:paraId="7A1FD273" w14:textId="4AA6D963" w:rsidR="007C0BC7" w:rsidRPr="007C0BC7" w:rsidRDefault="007C0BC7" w:rsidP="00B53D4B">
      <w:pPr>
        <w:jc w:val="both"/>
        <w:rPr>
          <w:rFonts w:ascii="ITC Avant Garde" w:eastAsia="Calibri" w:hAnsi="ITC Avant Garde"/>
          <w:bCs/>
          <w:color w:val="000000"/>
          <w:sz w:val="18"/>
          <w:szCs w:val="22"/>
          <w:lang w:eastAsia="es-MX"/>
        </w:rPr>
      </w:pPr>
    </w:p>
    <w:p w14:paraId="6FC1F722" w14:textId="06DC095A" w:rsidR="002A0CC9" w:rsidRPr="00F17180" w:rsidRDefault="006D6CE4" w:rsidP="00B53D4B">
      <w:pPr>
        <w:jc w:val="both"/>
        <w:rPr>
          <w:rFonts w:ascii="ITC Avant Garde" w:eastAsia="Calibri" w:hAnsi="ITC Avant Garde"/>
          <w:bCs/>
          <w:color w:val="000000"/>
          <w:sz w:val="22"/>
          <w:szCs w:val="22"/>
          <w:lang w:eastAsia="es-MX"/>
        </w:rPr>
      </w:pPr>
      <w:r w:rsidRPr="00F17180">
        <w:rPr>
          <w:rFonts w:ascii="ITC Avant Garde" w:eastAsia="Calibri" w:hAnsi="ITC Avant Garde"/>
          <w:bCs/>
          <w:color w:val="000000"/>
          <w:sz w:val="22"/>
          <w:szCs w:val="22"/>
          <w:lang w:eastAsia="es-MX"/>
        </w:rPr>
        <w:t>P</w:t>
      </w:r>
      <w:r w:rsidR="00EC1596" w:rsidRPr="00F17180">
        <w:rPr>
          <w:rFonts w:ascii="ITC Avant Garde" w:eastAsia="Calibri" w:hAnsi="ITC Avant Garde"/>
          <w:bCs/>
          <w:color w:val="000000"/>
          <w:sz w:val="22"/>
          <w:szCs w:val="22"/>
          <w:lang w:eastAsia="es-MX"/>
        </w:rPr>
        <w:t>or otro lado, la Unidad de Competencia Económica del Instituto</w:t>
      </w:r>
      <w:r w:rsidR="005A7E62" w:rsidRPr="00F17180">
        <w:rPr>
          <w:rFonts w:ascii="ITC Avant Garde" w:eastAsia="Calibri" w:hAnsi="ITC Avant Garde"/>
          <w:bCs/>
          <w:color w:val="000000"/>
          <w:sz w:val="22"/>
          <w:szCs w:val="22"/>
          <w:lang w:eastAsia="es-MX"/>
        </w:rPr>
        <w:t>, a través de la Dirección General de Concentraciones y Concesiones,</w:t>
      </w:r>
      <w:r w:rsidR="00EC1596" w:rsidRPr="00F17180">
        <w:rPr>
          <w:rFonts w:ascii="ITC Avant Garde" w:eastAsia="Calibri" w:hAnsi="ITC Avant Garde"/>
          <w:bCs/>
          <w:color w:val="000000"/>
          <w:sz w:val="22"/>
          <w:szCs w:val="22"/>
          <w:lang w:eastAsia="es-MX"/>
        </w:rPr>
        <w:t xml:space="preserve"> informó que no se identifican elementos ni indicios de que la autorización de la prórroga solicitada por Radio Sistemas de Tamaulipas, S.A. de C.V., </w:t>
      </w:r>
      <w:r w:rsidR="005A7E62" w:rsidRPr="00F17180">
        <w:rPr>
          <w:rFonts w:ascii="ITC Avant Garde" w:eastAsia="Calibri" w:hAnsi="ITC Avant Garde"/>
          <w:bCs/>
          <w:color w:val="000000"/>
          <w:sz w:val="22"/>
          <w:szCs w:val="22"/>
          <w:lang w:eastAsia="es-MX"/>
        </w:rPr>
        <w:t>pu</w:t>
      </w:r>
      <w:r w:rsidR="00EC1596" w:rsidRPr="00F17180">
        <w:rPr>
          <w:rFonts w:ascii="ITC Avant Garde" w:eastAsia="Calibri" w:hAnsi="ITC Avant Garde"/>
          <w:bCs/>
          <w:color w:val="000000"/>
          <w:sz w:val="22"/>
          <w:szCs w:val="22"/>
          <w:lang w:eastAsia="es-MX"/>
        </w:rPr>
        <w:t>d</w:t>
      </w:r>
      <w:r w:rsidR="005A7E62" w:rsidRPr="00F17180">
        <w:rPr>
          <w:rFonts w:ascii="ITC Avant Garde" w:eastAsia="Calibri" w:hAnsi="ITC Avant Garde"/>
          <w:bCs/>
          <w:color w:val="000000"/>
          <w:sz w:val="22"/>
          <w:szCs w:val="22"/>
          <w:lang w:eastAsia="es-MX"/>
        </w:rPr>
        <w:t>iera</w:t>
      </w:r>
      <w:r w:rsidR="00EC1596" w:rsidRPr="00F17180">
        <w:rPr>
          <w:rFonts w:ascii="ITC Avant Garde" w:eastAsia="Calibri" w:hAnsi="ITC Avant Garde"/>
          <w:bCs/>
          <w:color w:val="000000"/>
          <w:sz w:val="22"/>
          <w:szCs w:val="22"/>
          <w:lang w:eastAsia="es-MX"/>
        </w:rPr>
        <w:t xml:space="preserve"> tener efectos contrarios en el proceso de competencia y libre concurrencia en los mercados.</w:t>
      </w:r>
    </w:p>
    <w:p w14:paraId="3345AABC" w14:textId="6219C373" w:rsidR="00EC1596" w:rsidRPr="00F17180" w:rsidRDefault="00074FE7" w:rsidP="00B53D4B">
      <w:pPr>
        <w:tabs>
          <w:tab w:val="num" w:pos="540"/>
        </w:tabs>
        <w:jc w:val="both"/>
        <w:rPr>
          <w:rFonts w:ascii="ITC Avant Garde" w:eastAsia="Calibri" w:hAnsi="ITC Avant Garde"/>
          <w:bCs/>
          <w:color w:val="000000"/>
          <w:sz w:val="22"/>
          <w:szCs w:val="22"/>
          <w:lang w:eastAsia="es-MX"/>
        </w:rPr>
      </w:pPr>
      <w:r>
        <w:rPr>
          <w:rFonts w:ascii="ITC Avant Garde" w:eastAsia="Calibri" w:hAnsi="ITC Avant Garde"/>
          <w:b/>
          <w:bCs/>
          <w:color w:val="000000"/>
          <w:sz w:val="22"/>
          <w:szCs w:val="22"/>
          <w:lang w:eastAsia="es-MX"/>
        </w:rPr>
        <w:t>Noven</w:t>
      </w:r>
      <w:r w:rsidR="004A5BE4" w:rsidRPr="00F17180">
        <w:rPr>
          <w:rFonts w:ascii="ITC Avant Garde" w:eastAsia="Calibri" w:hAnsi="ITC Avant Garde"/>
          <w:b/>
          <w:bCs/>
          <w:color w:val="000000"/>
          <w:sz w:val="22"/>
          <w:szCs w:val="22"/>
          <w:lang w:eastAsia="es-MX"/>
        </w:rPr>
        <w:t>o</w:t>
      </w:r>
      <w:r w:rsidR="00EC1596" w:rsidRPr="00F17180">
        <w:rPr>
          <w:rFonts w:ascii="ITC Avant Garde" w:eastAsia="Calibri" w:hAnsi="ITC Avant Garde"/>
          <w:b/>
          <w:bCs/>
          <w:color w:val="000000"/>
          <w:sz w:val="22"/>
          <w:szCs w:val="22"/>
          <w:lang w:eastAsia="es-MX"/>
        </w:rPr>
        <w:t>.- Contraprestación.</w:t>
      </w:r>
      <w:r w:rsidR="00EC1596" w:rsidRPr="00F17180">
        <w:rPr>
          <w:rFonts w:ascii="ITC Avant Garde" w:hAnsi="ITC Avant Garde"/>
          <w:bCs/>
          <w:color w:val="000000"/>
          <w:sz w:val="22"/>
          <w:szCs w:val="22"/>
          <w:lang w:val="es-ES" w:eastAsia="es-MX"/>
        </w:rPr>
        <w:t xml:space="preserve"> </w:t>
      </w:r>
      <w:r w:rsidR="00EC1596" w:rsidRPr="00F17180">
        <w:rPr>
          <w:rFonts w:ascii="ITC Avant Garde" w:eastAsia="Calibri" w:hAnsi="ITC Avant Garde"/>
          <w:bCs/>
          <w:color w:val="000000"/>
          <w:sz w:val="22"/>
          <w:szCs w:val="22"/>
          <w:lang w:eastAsia="es-MX"/>
        </w:rPr>
        <w:t>Como ya quedó señalado en el Considerando Segundo, la normatividad aplicable a la Solicitud de Prórroga está contenida en la LFT, la cual, en su artículo 19 establece, entre otros, el requisito de fijar nuevas condiciones a</w:t>
      </w:r>
      <w:r w:rsidR="00BF215B" w:rsidRPr="00F17180">
        <w:rPr>
          <w:rFonts w:ascii="ITC Avant Garde" w:eastAsia="Calibri" w:hAnsi="ITC Avant Garde"/>
          <w:bCs/>
          <w:color w:val="000000"/>
          <w:sz w:val="22"/>
          <w:szCs w:val="22"/>
          <w:lang w:eastAsia="es-MX"/>
        </w:rPr>
        <w:t>l concesionario</w:t>
      </w:r>
      <w:r w:rsidR="00EC1596" w:rsidRPr="00F17180">
        <w:rPr>
          <w:rFonts w:ascii="ITC Avant Garde" w:eastAsia="Calibri" w:hAnsi="ITC Avant Garde"/>
          <w:bCs/>
          <w:color w:val="000000"/>
          <w:sz w:val="22"/>
          <w:szCs w:val="22"/>
          <w:lang w:eastAsia="es-MX"/>
        </w:rPr>
        <w:t xml:space="preserve">, </w:t>
      </w:r>
      <w:r w:rsidR="00EC1596" w:rsidRPr="00F17180">
        <w:rPr>
          <w:rFonts w:ascii="ITC Avant Garde" w:eastAsia="Calibri" w:hAnsi="ITC Avant Garde"/>
          <w:bCs/>
          <w:color w:val="000000"/>
          <w:sz w:val="22"/>
          <w:szCs w:val="22"/>
          <w:lang w:eastAsia="es-MX"/>
        </w:rPr>
        <w:lastRenderedPageBreak/>
        <w:t xml:space="preserve">entre las que se encuentra fijar una contraprestación por el uso, aprovechamiento y </w:t>
      </w:r>
      <w:proofErr w:type="gramStart"/>
      <w:r w:rsidR="00EC1596" w:rsidRPr="00F17180">
        <w:rPr>
          <w:rFonts w:ascii="ITC Avant Garde" w:eastAsia="Calibri" w:hAnsi="ITC Avant Garde"/>
          <w:bCs/>
          <w:color w:val="000000"/>
          <w:sz w:val="22"/>
          <w:szCs w:val="22"/>
          <w:lang w:eastAsia="es-MX"/>
        </w:rPr>
        <w:t>explotación</w:t>
      </w:r>
      <w:proofErr w:type="gramEnd"/>
      <w:r w:rsidR="00EC1596" w:rsidRPr="00F17180">
        <w:rPr>
          <w:rFonts w:ascii="ITC Avant Garde" w:eastAsia="Calibri" w:hAnsi="ITC Avant Garde"/>
          <w:bCs/>
          <w:color w:val="000000"/>
          <w:sz w:val="22"/>
          <w:szCs w:val="22"/>
          <w:lang w:eastAsia="es-MX"/>
        </w:rPr>
        <w:t xml:space="preserve"> de bandas de frecuencias del espectro radioeléctrico.</w:t>
      </w:r>
    </w:p>
    <w:p w14:paraId="12B3CAE9" w14:textId="77777777" w:rsidR="00EC1596" w:rsidRPr="007C0BC7" w:rsidRDefault="00EC1596" w:rsidP="00B53D4B">
      <w:pPr>
        <w:tabs>
          <w:tab w:val="num" w:pos="540"/>
        </w:tabs>
        <w:jc w:val="both"/>
        <w:rPr>
          <w:rFonts w:ascii="ITC Avant Garde" w:eastAsia="Calibri" w:hAnsi="ITC Avant Garde"/>
          <w:bCs/>
          <w:color w:val="000000"/>
          <w:sz w:val="22"/>
          <w:szCs w:val="22"/>
          <w:lang w:eastAsia="es-MX"/>
        </w:rPr>
      </w:pPr>
    </w:p>
    <w:p w14:paraId="167C139B" w14:textId="77777777" w:rsidR="00EC1596" w:rsidRPr="00F17180" w:rsidRDefault="00EC1596" w:rsidP="00B53D4B">
      <w:pPr>
        <w:tabs>
          <w:tab w:val="num" w:pos="540"/>
        </w:tabs>
        <w:jc w:val="both"/>
        <w:rPr>
          <w:rFonts w:ascii="ITC Avant Garde" w:eastAsia="Calibri" w:hAnsi="ITC Avant Garde"/>
          <w:bCs/>
          <w:color w:val="000000"/>
          <w:sz w:val="22"/>
          <w:szCs w:val="22"/>
          <w:lang w:eastAsia="es-MX"/>
        </w:rPr>
      </w:pPr>
      <w:r w:rsidRPr="00F17180">
        <w:rPr>
          <w:rFonts w:ascii="ITC Avant Garde" w:eastAsia="Calibri" w:hAnsi="ITC Avant Garde"/>
          <w:bCs/>
          <w:color w:val="000000"/>
          <w:sz w:val="22"/>
          <w:szCs w:val="22"/>
          <w:lang w:eastAsia="es-MX"/>
        </w:rPr>
        <w:t>Por su parte, el artículo 14 del citado ordenamiento, señala lo siguiente:</w:t>
      </w:r>
    </w:p>
    <w:p w14:paraId="1B70E31B" w14:textId="77777777" w:rsidR="00D2656D" w:rsidRPr="007C0BC7" w:rsidRDefault="00D2656D" w:rsidP="00B53D4B">
      <w:pPr>
        <w:tabs>
          <w:tab w:val="num" w:pos="540"/>
        </w:tabs>
        <w:jc w:val="both"/>
        <w:rPr>
          <w:rFonts w:ascii="ITC Avant Garde" w:eastAsia="Calibri" w:hAnsi="ITC Avant Garde"/>
          <w:bCs/>
          <w:color w:val="000000"/>
          <w:sz w:val="22"/>
          <w:szCs w:val="22"/>
          <w:lang w:eastAsia="es-MX"/>
        </w:rPr>
      </w:pPr>
    </w:p>
    <w:p w14:paraId="23636588" w14:textId="77777777" w:rsidR="007C0BC7" w:rsidRPr="007C0BC7" w:rsidRDefault="007C0BC7" w:rsidP="00B53D4B">
      <w:pPr>
        <w:tabs>
          <w:tab w:val="num" w:pos="540"/>
        </w:tabs>
        <w:jc w:val="both"/>
        <w:rPr>
          <w:rFonts w:ascii="ITC Avant Garde" w:eastAsia="Calibri" w:hAnsi="ITC Avant Garde"/>
          <w:bCs/>
          <w:color w:val="000000"/>
          <w:sz w:val="22"/>
          <w:szCs w:val="22"/>
          <w:lang w:eastAsia="es-MX"/>
        </w:rPr>
      </w:pPr>
    </w:p>
    <w:p w14:paraId="3AEC13C9" w14:textId="77777777" w:rsidR="00EC1596" w:rsidRPr="00F17180" w:rsidRDefault="00EC1596" w:rsidP="00B53D4B">
      <w:pPr>
        <w:tabs>
          <w:tab w:val="num" w:pos="540"/>
        </w:tabs>
        <w:ind w:left="540" w:right="528"/>
        <w:jc w:val="both"/>
        <w:rPr>
          <w:rFonts w:ascii="ITC Avant Garde" w:eastAsia="Calibri" w:hAnsi="ITC Avant Garde"/>
          <w:bCs/>
          <w:color w:val="000000"/>
          <w:sz w:val="16"/>
          <w:szCs w:val="16"/>
          <w:lang w:eastAsia="es-MX"/>
        </w:rPr>
      </w:pPr>
      <w:r w:rsidRPr="00F17180">
        <w:rPr>
          <w:rFonts w:ascii="ITC Avant Garde" w:eastAsia="Calibri" w:hAnsi="ITC Avant Garde"/>
          <w:bCs/>
          <w:i/>
          <w:color w:val="000000"/>
          <w:sz w:val="16"/>
          <w:szCs w:val="16"/>
          <w:lang w:eastAsia="es-MX"/>
        </w:rPr>
        <w:t>“</w:t>
      </w:r>
      <w:r w:rsidRPr="00F17180">
        <w:rPr>
          <w:rFonts w:ascii="ITC Avant Garde" w:eastAsia="Calibri" w:hAnsi="ITC Avant Garde"/>
          <w:b/>
          <w:bCs/>
          <w:i/>
          <w:color w:val="000000"/>
          <w:sz w:val="16"/>
          <w:szCs w:val="16"/>
          <w:lang w:eastAsia="es-MX"/>
        </w:rPr>
        <w:t>Artículo 14.</w:t>
      </w:r>
      <w:r w:rsidRPr="00F17180">
        <w:rPr>
          <w:rFonts w:ascii="ITC Avant Garde" w:eastAsia="Calibri" w:hAnsi="ITC Avant Garde"/>
          <w:bCs/>
          <w:i/>
          <w:color w:val="000000"/>
          <w:sz w:val="16"/>
          <w:szCs w:val="16"/>
          <w:lang w:eastAsia="es-MX"/>
        </w:rPr>
        <w:t xml:space="preserve"> Las concesiones sobre bandas de frecuencias del espectro para usos determinados se otorgarán mediante licitación pública. </w:t>
      </w:r>
      <w:r w:rsidRPr="00F17180">
        <w:rPr>
          <w:rFonts w:ascii="ITC Avant Garde" w:eastAsia="Calibri" w:hAnsi="ITC Avant Garde"/>
          <w:bCs/>
          <w:i/>
          <w:color w:val="000000"/>
          <w:sz w:val="16"/>
          <w:szCs w:val="16"/>
          <w:u w:val="single"/>
          <w:lang w:eastAsia="es-MX"/>
        </w:rPr>
        <w:t>El Gobierno Federal tendrá derecho a recibir una contraprestación económica por el otorgamiento de la concesión correspondiente</w:t>
      </w:r>
      <w:r w:rsidRPr="00F17180">
        <w:rPr>
          <w:rFonts w:ascii="ITC Avant Garde" w:eastAsia="Calibri" w:hAnsi="ITC Avant Garde"/>
          <w:bCs/>
          <w:i/>
          <w:color w:val="000000"/>
          <w:sz w:val="16"/>
          <w:szCs w:val="16"/>
          <w:lang w:eastAsia="es-MX"/>
        </w:rPr>
        <w:t xml:space="preserve">.” </w:t>
      </w:r>
      <w:r w:rsidRPr="00F17180">
        <w:rPr>
          <w:rFonts w:ascii="ITC Avant Garde" w:eastAsia="Calibri" w:hAnsi="ITC Avant Garde"/>
          <w:bCs/>
          <w:color w:val="000000"/>
          <w:sz w:val="16"/>
          <w:szCs w:val="16"/>
          <w:lang w:eastAsia="es-MX"/>
        </w:rPr>
        <w:t>(Énfasis añadido)</w:t>
      </w:r>
    </w:p>
    <w:p w14:paraId="0DBFE8EE" w14:textId="77777777" w:rsidR="00EC1596" w:rsidRPr="007C0BC7" w:rsidRDefault="00EC1596" w:rsidP="00B53D4B">
      <w:pPr>
        <w:tabs>
          <w:tab w:val="num" w:pos="540"/>
        </w:tabs>
        <w:ind w:left="540"/>
        <w:jc w:val="both"/>
        <w:rPr>
          <w:rFonts w:ascii="ITC Avant Garde" w:eastAsia="Calibri" w:hAnsi="ITC Avant Garde"/>
          <w:bCs/>
          <w:color w:val="000000"/>
          <w:sz w:val="22"/>
          <w:szCs w:val="22"/>
          <w:lang w:eastAsia="es-MX"/>
        </w:rPr>
      </w:pPr>
    </w:p>
    <w:p w14:paraId="373AD877" w14:textId="77777777" w:rsidR="007C0BC7" w:rsidRPr="007C0BC7" w:rsidRDefault="007C0BC7" w:rsidP="00B53D4B">
      <w:pPr>
        <w:tabs>
          <w:tab w:val="num" w:pos="540"/>
        </w:tabs>
        <w:ind w:left="540"/>
        <w:jc w:val="both"/>
        <w:rPr>
          <w:rFonts w:ascii="ITC Avant Garde" w:eastAsia="Calibri" w:hAnsi="ITC Avant Garde"/>
          <w:bCs/>
          <w:color w:val="000000"/>
          <w:sz w:val="22"/>
          <w:szCs w:val="22"/>
          <w:lang w:eastAsia="es-MX"/>
        </w:rPr>
      </w:pPr>
    </w:p>
    <w:p w14:paraId="16579CF3" w14:textId="77777777" w:rsidR="00EC1596" w:rsidRPr="00F17180" w:rsidRDefault="00EC1596" w:rsidP="00B53D4B">
      <w:pPr>
        <w:jc w:val="both"/>
        <w:rPr>
          <w:rFonts w:ascii="ITC Avant Garde" w:hAnsi="ITC Avant Garde"/>
          <w:sz w:val="22"/>
          <w:szCs w:val="22"/>
        </w:rPr>
      </w:pPr>
      <w:r w:rsidRPr="00F17180">
        <w:rPr>
          <w:rFonts w:ascii="ITC Avant Garde" w:eastAsia="Calibri" w:hAnsi="ITC Avant Garde"/>
          <w:bCs/>
          <w:color w:val="000000"/>
          <w:sz w:val="22"/>
          <w:szCs w:val="22"/>
          <w:lang w:eastAsia="es-MX"/>
        </w:rPr>
        <w:t xml:space="preserve">Es decir, el otorgamiento de una prórroga de vigencia constituye un nuevo acto de otorgamiento de una concesión por un plazo determinado, que en el caso que nos ocupa, tiene por objeto el uso, aprovechamiento y explotación del </w:t>
      </w:r>
      <w:r w:rsidRPr="00F17180">
        <w:rPr>
          <w:rFonts w:ascii="ITC Avant Garde" w:hAnsi="ITC Avant Garde"/>
          <w:sz w:val="22"/>
          <w:szCs w:val="22"/>
        </w:rPr>
        <w:t xml:space="preserve">espectro radioeléctrico, bien de uso común sujeto al régimen de dominio público de la Federación. </w:t>
      </w:r>
    </w:p>
    <w:p w14:paraId="3A2CC961" w14:textId="77777777" w:rsidR="00EC1596" w:rsidRPr="007C0BC7" w:rsidRDefault="00EC1596" w:rsidP="00B53D4B">
      <w:pPr>
        <w:jc w:val="both"/>
        <w:rPr>
          <w:rFonts w:ascii="ITC Avant Garde" w:hAnsi="ITC Avant Garde"/>
          <w:sz w:val="22"/>
          <w:szCs w:val="22"/>
        </w:rPr>
      </w:pPr>
    </w:p>
    <w:p w14:paraId="6336636E" w14:textId="77777777" w:rsidR="00EC1596" w:rsidRPr="00F17180" w:rsidRDefault="00EC1596" w:rsidP="00B53D4B">
      <w:pPr>
        <w:jc w:val="both"/>
        <w:rPr>
          <w:rFonts w:ascii="ITC Avant Garde" w:hAnsi="ITC Avant Garde"/>
          <w:sz w:val="22"/>
          <w:szCs w:val="22"/>
        </w:rPr>
      </w:pPr>
      <w:r w:rsidRPr="00F17180">
        <w:rPr>
          <w:rFonts w:ascii="ITC Avant Garde" w:hAnsi="ITC Avant Garde"/>
          <w:sz w:val="22"/>
          <w:szCs w:val="22"/>
        </w:rPr>
        <w:t>En este caso, constituye un recurso económico del Estado al que le son aplicables los principios contenidos en el artículo 134 de la Constitución, conjuntamente con los establecidos en los artículos 25, 26, 27 y 28 que conforman el capítulo económico de Ley Fundamental, por lo que se otorga en concesión solo a cambio de una contraprestación económica. En este sentido, al prorrogarse el título de concesión respectivo, el Estado tiene derecho a percibir una contraprestación por el uso, goce, aprovechamiento o explotación del bien de dominio público de la Federación al que se hace mención.</w:t>
      </w:r>
    </w:p>
    <w:p w14:paraId="389160F5" w14:textId="77777777" w:rsidR="00EC1596" w:rsidRPr="007C0BC7" w:rsidRDefault="00EC1596" w:rsidP="00B53D4B">
      <w:pPr>
        <w:tabs>
          <w:tab w:val="num" w:pos="540"/>
        </w:tabs>
        <w:jc w:val="both"/>
        <w:rPr>
          <w:rFonts w:ascii="ITC Avant Garde" w:eastAsia="Calibri" w:hAnsi="ITC Avant Garde"/>
          <w:bCs/>
          <w:color w:val="000000"/>
          <w:sz w:val="22"/>
          <w:szCs w:val="22"/>
          <w:lang w:eastAsia="es-MX"/>
        </w:rPr>
      </w:pPr>
    </w:p>
    <w:p w14:paraId="3C41635B" w14:textId="77777777" w:rsidR="00EC1596" w:rsidRPr="00F17180" w:rsidRDefault="00EC1596" w:rsidP="00B53D4B">
      <w:pPr>
        <w:tabs>
          <w:tab w:val="num" w:pos="540"/>
        </w:tabs>
        <w:jc w:val="both"/>
        <w:rPr>
          <w:rFonts w:ascii="ITC Avant Garde" w:eastAsia="Calibri" w:hAnsi="ITC Avant Garde"/>
          <w:bCs/>
          <w:color w:val="000000"/>
          <w:sz w:val="22"/>
          <w:szCs w:val="22"/>
          <w:lang w:eastAsia="es-MX"/>
        </w:rPr>
      </w:pPr>
      <w:r w:rsidRPr="00F17180">
        <w:rPr>
          <w:rFonts w:ascii="ITC Avant Garde" w:eastAsia="Calibri" w:hAnsi="ITC Avant Garde"/>
          <w:bCs/>
          <w:color w:val="000000"/>
          <w:sz w:val="22"/>
          <w:szCs w:val="22"/>
          <w:lang w:eastAsia="es-MX"/>
        </w:rPr>
        <w:t xml:space="preserve">Ahora bien, la Solicitud de Prórroga fue presentada antes de la entrada en vigor del Decreto de Reforma Constitucional, en ese sentido, dicha disposición estableció en el segundo párrafo del artículo Séptimo Transitorio que los procedimientos iniciados con anterioridad a la integración del Instituto, continuarán su trámite en términos de la legislación aplicable al momento de su inicio, por lo que corresponde a la Secretaría de Hacienda y Crédito Público, en atención a lo señalado en el artículo 10 de la Ley de Ingresos de la Federación, fijar los aprovechamientos que se cobrarán en el ejercicio fiscal correspondiente por el uso, goce, aprovechamiento o explotación de bienes sujetos al régimen de dominio público de la Federación. </w:t>
      </w:r>
    </w:p>
    <w:p w14:paraId="338D776C" w14:textId="77777777" w:rsidR="00EC1596" w:rsidRPr="007C0BC7" w:rsidRDefault="00EC1596" w:rsidP="00B53D4B">
      <w:pPr>
        <w:tabs>
          <w:tab w:val="num" w:pos="540"/>
        </w:tabs>
        <w:jc w:val="both"/>
        <w:rPr>
          <w:rFonts w:ascii="ITC Avant Garde" w:hAnsi="ITC Avant Garde"/>
          <w:bCs/>
          <w:color w:val="000000"/>
          <w:sz w:val="22"/>
          <w:szCs w:val="22"/>
          <w:lang w:val="es-ES" w:eastAsia="es-MX"/>
        </w:rPr>
      </w:pPr>
    </w:p>
    <w:p w14:paraId="552B2A26" w14:textId="75F5672C" w:rsidR="00EC1596" w:rsidRPr="00F17180" w:rsidRDefault="00BF215B" w:rsidP="00B53D4B">
      <w:pPr>
        <w:tabs>
          <w:tab w:val="num" w:pos="540"/>
        </w:tabs>
        <w:jc w:val="both"/>
        <w:rPr>
          <w:rFonts w:ascii="ITC Avant Garde" w:hAnsi="ITC Avant Garde"/>
          <w:bCs/>
          <w:color w:val="000000"/>
          <w:sz w:val="22"/>
          <w:szCs w:val="22"/>
          <w:lang w:val="es-ES" w:eastAsia="es-MX"/>
        </w:rPr>
      </w:pPr>
      <w:r w:rsidRPr="00F17180">
        <w:rPr>
          <w:rFonts w:ascii="ITC Avant Garde" w:hAnsi="ITC Avant Garde"/>
          <w:bCs/>
          <w:color w:val="000000"/>
          <w:sz w:val="22"/>
          <w:szCs w:val="22"/>
          <w:lang w:val="es-ES" w:eastAsia="es-MX"/>
        </w:rPr>
        <w:t>En ese sentido</w:t>
      </w:r>
      <w:r w:rsidR="00EC1596" w:rsidRPr="00F17180">
        <w:rPr>
          <w:rFonts w:ascii="ITC Avant Garde" w:hAnsi="ITC Avant Garde"/>
          <w:bCs/>
          <w:color w:val="000000"/>
          <w:sz w:val="22"/>
          <w:szCs w:val="22"/>
          <w:lang w:val="es-ES" w:eastAsia="es-MX"/>
        </w:rPr>
        <w:t>, a fin de que la Secretaría de Hacienda y Crédito Público fij</w:t>
      </w:r>
      <w:r w:rsidR="008B38B5" w:rsidRPr="00F17180">
        <w:rPr>
          <w:rFonts w:ascii="ITC Avant Garde" w:hAnsi="ITC Avant Garde"/>
          <w:bCs/>
          <w:color w:val="000000"/>
          <w:sz w:val="22"/>
          <w:szCs w:val="22"/>
          <w:lang w:val="es-ES" w:eastAsia="es-MX"/>
        </w:rPr>
        <w:t>ara</w:t>
      </w:r>
      <w:r w:rsidR="00EC1596" w:rsidRPr="00F17180">
        <w:rPr>
          <w:rFonts w:ascii="ITC Avant Garde" w:hAnsi="ITC Avant Garde"/>
          <w:bCs/>
          <w:color w:val="000000"/>
          <w:sz w:val="22"/>
          <w:szCs w:val="22"/>
          <w:lang w:val="es-ES" w:eastAsia="es-MX"/>
        </w:rPr>
        <w:t xml:space="preserve"> el monto del aprovechamiento correspondiente, la Unidad de Espectro Radioeléctrico </w:t>
      </w:r>
      <w:r w:rsidR="004A5BE4" w:rsidRPr="00F17180">
        <w:rPr>
          <w:rFonts w:ascii="ITC Avant Garde" w:hAnsi="ITC Avant Garde"/>
          <w:bCs/>
          <w:color w:val="000000"/>
          <w:sz w:val="22"/>
          <w:szCs w:val="22"/>
          <w:lang w:val="es-ES" w:eastAsia="es-MX"/>
        </w:rPr>
        <w:t xml:space="preserve">del Instituto, mediante oficios IFT/222/UER/010/2014 de fecha 6 de octubre de 2014 e IFT/222/UER/154/2015 de fecha 24 de junio de 2015, </w:t>
      </w:r>
      <w:r w:rsidR="00EC1596" w:rsidRPr="00F17180">
        <w:rPr>
          <w:rFonts w:ascii="ITC Avant Garde" w:hAnsi="ITC Avant Garde"/>
          <w:bCs/>
          <w:color w:val="000000"/>
          <w:sz w:val="22"/>
          <w:szCs w:val="22"/>
          <w:lang w:val="es-ES" w:eastAsia="es-MX"/>
        </w:rPr>
        <w:t xml:space="preserve"> remit</w:t>
      </w:r>
      <w:r w:rsidR="008B38B5" w:rsidRPr="00F17180">
        <w:rPr>
          <w:rFonts w:ascii="ITC Avant Garde" w:hAnsi="ITC Avant Garde"/>
          <w:bCs/>
          <w:color w:val="000000"/>
          <w:sz w:val="22"/>
          <w:szCs w:val="22"/>
          <w:lang w:val="es-ES" w:eastAsia="es-MX"/>
        </w:rPr>
        <w:t>ió</w:t>
      </w:r>
      <w:r w:rsidR="00EC1596" w:rsidRPr="00F17180">
        <w:rPr>
          <w:rFonts w:ascii="ITC Avant Garde" w:hAnsi="ITC Avant Garde"/>
          <w:bCs/>
          <w:color w:val="000000"/>
          <w:sz w:val="22"/>
          <w:szCs w:val="22"/>
          <w:lang w:val="es-ES" w:eastAsia="es-MX"/>
        </w:rPr>
        <w:t xml:space="preserve"> a dicha Dependencia</w:t>
      </w:r>
      <w:r w:rsidR="008B38B5" w:rsidRPr="00F17180">
        <w:rPr>
          <w:rFonts w:ascii="ITC Avant Garde" w:hAnsi="ITC Avant Garde"/>
          <w:bCs/>
          <w:color w:val="000000"/>
          <w:sz w:val="22"/>
          <w:szCs w:val="22"/>
          <w:lang w:val="es-ES" w:eastAsia="es-MX"/>
        </w:rPr>
        <w:t xml:space="preserve"> del Ejecutivo Federal</w:t>
      </w:r>
      <w:r w:rsidR="00EC1596" w:rsidRPr="00F17180">
        <w:rPr>
          <w:rFonts w:ascii="ITC Avant Garde" w:hAnsi="ITC Avant Garde"/>
          <w:bCs/>
          <w:color w:val="000000"/>
          <w:sz w:val="22"/>
          <w:szCs w:val="22"/>
          <w:lang w:val="es-ES" w:eastAsia="es-MX"/>
        </w:rPr>
        <w:t xml:space="preserve">, la propuesta de aprovechamiento que deberá pagar </w:t>
      </w:r>
      <w:r w:rsidR="00EC1596" w:rsidRPr="00F17180">
        <w:rPr>
          <w:rFonts w:ascii="ITC Avant Garde" w:eastAsia="Calibri" w:hAnsi="ITC Avant Garde"/>
          <w:bCs/>
          <w:color w:val="000000"/>
          <w:sz w:val="22"/>
          <w:szCs w:val="22"/>
          <w:lang w:eastAsia="es-MX"/>
        </w:rPr>
        <w:t>Radio Sistemas de Tamaulipas</w:t>
      </w:r>
      <w:r w:rsidR="00EC1596" w:rsidRPr="00F17180">
        <w:rPr>
          <w:rFonts w:ascii="ITC Avant Garde" w:hAnsi="ITC Avant Garde"/>
          <w:bCs/>
          <w:color w:val="000000"/>
          <w:sz w:val="22"/>
          <w:szCs w:val="22"/>
          <w:lang w:val="es-ES" w:eastAsia="es-MX"/>
        </w:rPr>
        <w:t>, S.A. de C.V., por el uso, aprovechamiento y explotación d</w:t>
      </w:r>
      <w:r w:rsidR="008B38B5" w:rsidRPr="00F17180">
        <w:rPr>
          <w:rFonts w:ascii="ITC Avant Garde" w:hAnsi="ITC Avant Garde"/>
          <w:bCs/>
          <w:color w:val="000000"/>
          <w:sz w:val="22"/>
          <w:szCs w:val="22"/>
          <w:lang w:val="es-ES" w:eastAsia="es-MX"/>
        </w:rPr>
        <w:t xml:space="preserve">e las bandas de frecuencias en </w:t>
      </w:r>
      <w:r w:rsidR="00EC1596" w:rsidRPr="00F17180">
        <w:rPr>
          <w:rFonts w:ascii="ITC Avant Garde" w:hAnsi="ITC Avant Garde"/>
          <w:bCs/>
          <w:color w:val="000000"/>
          <w:sz w:val="22"/>
          <w:szCs w:val="22"/>
          <w:lang w:val="es-ES" w:eastAsia="es-MX"/>
        </w:rPr>
        <w:t xml:space="preserve">el segmento 410 – 430 MHz, para lo cual, consideró entre otros, los siguientes aspectos: las bandas de espectro radioeléctrico objeto de la las Solicitud de Prórroga, la cobertura geográfica autorizada, así como los pagos promedio realizados en las licitaciones No. 15, 16 y 17 para el otorgamiento de concesiones de bandas de frecuencias para la prestación del servicio móvil de radiocomunicación especializada en flotillas. Además se considera dentro de este aprovechamiento un monto equivalente a las cuotas de derechos del artículo 244-F por el </w:t>
      </w:r>
      <w:r w:rsidR="00EC1596" w:rsidRPr="00F17180">
        <w:rPr>
          <w:rFonts w:ascii="ITC Avant Garde" w:hAnsi="ITC Avant Garde"/>
          <w:bCs/>
          <w:color w:val="000000"/>
          <w:sz w:val="22"/>
          <w:szCs w:val="22"/>
          <w:lang w:val="es-ES" w:eastAsia="es-MX"/>
        </w:rPr>
        <w:lastRenderedPageBreak/>
        <w:t>periodo comprendido desde la fecha de vencimiento de cada una de las concesiones, hasta la fecha en que los concesionarios paguen el aprovechamiento con motivo de la prórroga de la vigencia de cada concesión.</w:t>
      </w:r>
    </w:p>
    <w:p w14:paraId="73FCCB51" w14:textId="77777777" w:rsidR="00EC1596" w:rsidRPr="007C0BC7" w:rsidRDefault="00EC1596" w:rsidP="00B53D4B">
      <w:pPr>
        <w:tabs>
          <w:tab w:val="num" w:pos="540"/>
        </w:tabs>
        <w:jc w:val="both"/>
        <w:rPr>
          <w:rFonts w:ascii="ITC Avant Garde" w:hAnsi="ITC Avant Garde"/>
          <w:bCs/>
          <w:color w:val="000000"/>
          <w:sz w:val="22"/>
          <w:szCs w:val="22"/>
          <w:lang w:val="es-ES" w:eastAsia="es-MX"/>
        </w:rPr>
      </w:pPr>
    </w:p>
    <w:p w14:paraId="57B901E3" w14:textId="02A1B8D1" w:rsidR="00EC1596" w:rsidRDefault="00EC1596" w:rsidP="00B53D4B">
      <w:pPr>
        <w:ind w:right="96"/>
        <w:jc w:val="both"/>
        <w:rPr>
          <w:rFonts w:ascii="ITC Avant Garde" w:eastAsia="Calibri" w:hAnsi="ITC Avant Garde"/>
          <w:bCs/>
          <w:color w:val="000000"/>
          <w:sz w:val="20"/>
          <w:szCs w:val="22"/>
          <w:lang w:eastAsia="es-MX"/>
        </w:rPr>
      </w:pPr>
      <w:r w:rsidRPr="00F17180">
        <w:rPr>
          <w:rFonts w:ascii="ITC Avant Garde" w:eastAsia="Calibri" w:hAnsi="ITC Avant Garde"/>
          <w:bCs/>
          <w:color w:val="000000"/>
          <w:sz w:val="22"/>
          <w:szCs w:val="22"/>
          <w:lang w:eastAsia="es-MX"/>
        </w:rPr>
        <w:t xml:space="preserve">En atención a la propuesta presentada por la Unidad de Espectro Radioeléctrico, </w:t>
      </w:r>
      <w:r w:rsidR="004A5BE4" w:rsidRPr="00F17180">
        <w:rPr>
          <w:rFonts w:ascii="ITC Avant Garde" w:eastAsia="Calibri" w:hAnsi="ITC Avant Garde"/>
          <w:bCs/>
          <w:color w:val="000000"/>
          <w:sz w:val="22"/>
          <w:szCs w:val="22"/>
          <w:lang w:eastAsia="es-MX"/>
        </w:rPr>
        <w:t>con oficios 349-B-367 y 349-B-264 señalados</w:t>
      </w:r>
      <w:r w:rsidRPr="00F17180">
        <w:rPr>
          <w:rFonts w:ascii="ITC Avant Garde" w:eastAsia="Calibri" w:hAnsi="ITC Avant Garde"/>
          <w:bCs/>
          <w:color w:val="000000"/>
          <w:sz w:val="22"/>
          <w:szCs w:val="22"/>
          <w:lang w:eastAsia="es-MX"/>
        </w:rPr>
        <w:t xml:space="preserve"> en el Antecedente XII, la Secretaría de Hacienda y Crédito Público autorizó los aprovecham</w:t>
      </w:r>
      <w:r w:rsidR="00BF215B" w:rsidRPr="00F17180">
        <w:rPr>
          <w:rFonts w:ascii="ITC Avant Garde" w:eastAsia="Calibri" w:hAnsi="ITC Avant Garde"/>
          <w:bCs/>
          <w:color w:val="000000"/>
          <w:sz w:val="22"/>
          <w:szCs w:val="22"/>
          <w:lang w:eastAsia="es-MX"/>
        </w:rPr>
        <w:t>ientos por la prórroga a diversa</w:t>
      </w:r>
      <w:r w:rsidRPr="00F17180">
        <w:rPr>
          <w:rFonts w:ascii="ITC Avant Garde" w:eastAsia="Calibri" w:hAnsi="ITC Avant Garde"/>
          <w:bCs/>
          <w:color w:val="000000"/>
          <w:sz w:val="22"/>
          <w:szCs w:val="22"/>
          <w:lang w:eastAsia="es-MX"/>
        </w:rPr>
        <w:t>s concesio</w:t>
      </w:r>
      <w:r w:rsidR="00BF215B" w:rsidRPr="00F17180">
        <w:rPr>
          <w:rFonts w:ascii="ITC Avant Garde" w:eastAsia="Calibri" w:hAnsi="ITC Avant Garde"/>
          <w:bCs/>
          <w:color w:val="000000"/>
          <w:sz w:val="22"/>
          <w:szCs w:val="22"/>
          <w:lang w:eastAsia="es-MX"/>
        </w:rPr>
        <w:t>nes</w:t>
      </w:r>
      <w:r w:rsidRPr="00F17180">
        <w:rPr>
          <w:rFonts w:ascii="ITC Avant Garde" w:eastAsia="Calibri" w:hAnsi="ITC Avant Garde"/>
          <w:bCs/>
          <w:color w:val="000000"/>
          <w:sz w:val="22"/>
          <w:szCs w:val="22"/>
          <w:lang w:eastAsia="es-MX"/>
        </w:rPr>
        <w:t xml:space="preserve"> </w:t>
      </w:r>
      <w:r w:rsidR="008B38B5" w:rsidRPr="00F17180">
        <w:rPr>
          <w:rFonts w:ascii="ITC Avant Garde" w:eastAsia="Calibri" w:hAnsi="ITC Avant Garde"/>
          <w:bCs/>
          <w:color w:val="000000"/>
          <w:sz w:val="22"/>
          <w:szCs w:val="22"/>
          <w:lang w:eastAsia="es-MX"/>
        </w:rPr>
        <w:t>para prestar</w:t>
      </w:r>
      <w:r w:rsidRPr="00F17180">
        <w:rPr>
          <w:rFonts w:ascii="ITC Avant Garde" w:eastAsia="Calibri" w:hAnsi="ITC Avant Garde"/>
          <w:bCs/>
          <w:color w:val="000000"/>
          <w:sz w:val="22"/>
          <w:szCs w:val="22"/>
          <w:lang w:eastAsia="es-MX"/>
        </w:rPr>
        <w:t xml:space="preserve"> el servicio móvil de radiocomunicación espe</w:t>
      </w:r>
      <w:r w:rsidR="00BF215B" w:rsidRPr="00F17180">
        <w:rPr>
          <w:rFonts w:ascii="ITC Avant Garde" w:eastAsia="Calibri" w:hAnsi="ITC Avant Garde"/>
          <w:bCs/>
          <w:color w:val="000000"/>
          <w:sz w:val="22"/>
          <w:szCs w:val="22"/>
          <w:lang w:eastAsia="es-MX"/>
        </w:rPr>
        <w:t>cializada de flotillas, entre las</w:t>
      </w:r>
      <w:r w:rsidRPr="00F17180">
        <w:rPr>
          <w:rFonts w:ascii="ITC Avant Garde" w:eastAsia="Calibri" w:hAnsi="ITC Avant Garde"/>
          <w:bCs/>
          <w:color w:val="000000"/>
          <w:sz w:val="22"/>
          <w:szCs w:val="22"/>
          <w:lang w:eastAsia="es-MX"/>
        </w:rPr>
        <w:t xml:space="preserve"> que se encuentra</w:t>
      </w:r>
      <w:r w:rsidR="00BF215B" w:rsidRPr="00F17180">
        <w:rPr>
          <w:rFonts w:ascii="ITC Avant Garde" w:eastAsia="Calibri" w:hAnsi="ITC Avant Garde"/>
          <w:bCs/>
          <w:color w:val="000000"/>
          <w:sz w:val="22"/>
          <w:szCs w:val="22"/>
          <w:lang w:eastAsia="es-MX"/>
        </w:rPr>
        <w:t xml:space="preserve"> la Concesión</w:t>
      </w:r>
      <w:r w:rsidRPr="00F17180">
        <w:rPr>
          <w:rFonts w:ascii="ITC Avant Garde" w:eastAsia="Calibri" w:hAnsi="ITC Avant Garde"/>
          <w:bCs/>
          <w:color w:val="000000"/>
          <w:sz w:val="22"/>
          <w:szCs w:val="22"/>
          <w:lang w:eastAsia="es-MX"/>
        </w:rPr>
        <w:t xml:space="preserve"> </w:t>
      </w:r>
      <w:r w:rsidR="00CD744B" w:rsidRPr="00F17180">
        <w:rPr>
          <w:rFonts w:ascii="ITC Avant Garde" w:eastAsia="Calibri" w:hAnsi="ITC Avant Garde"/>
          <w:bCs/>
          <w:color w:val="000000"/>
          <w:sz w:val="22"/>
          <w:szCs w:val="22"/>
          <w:lang w:eastAsia="es-MX"/>
        </w:rPr>
        <w:t xml:space="preserve">de </w:t>
      </w:r>
      <w:r w:rsidRPr="00F17180">
        <w:rPr>
          <w:rFonts w:ascii="ITC Avant Garde" w:eastAsia="Calibri" w:hAnsi="ITC Avant Garde"/>
          <w:bCs/>
          <w:color w:val="000000"/>
          <w:sz w:val="22"/>
          <w:szCs w:val="22"/>
          <w:lang w:eastAsia="es-MX"/>
        </w:rPr>
        <w:t>Radio Sistemas de Tamaulipas, S.A. de C.V., en los siguientes términos:</w:t>
      </w:r>
    </w:p>
    <w:p w14:paraId="678F20B3" w14:textId="77777777" w:rsidR="007C0BC7" w:rsidRPr="007C0BC7" w:rsidRDefault="007C0BC7" w:rsidP="00B53D4B">
      <w:pPr>
        <w:ind w:right="96"/>
        <w:jc w:val="both"/>
        <w:rPr>
          <w:rFonts w:ascii="ITC Avant Garde" w:eastAsia="Calibri" w:hAnsi="ITC Avant Garde"/>
          <w:bCs/>
          <w:color w:val="000000"/>
          <w:sz w:val="20"/>
          <w:szCs w:val="22"/>
          <w:lang w:eastAsia="es-MX"/>
        </w:rPr>
      </w:pPr>
    </w:p>
    <w:p w14:paraId="6F8A5168" w14:textId="77777777" w:rsidR="00EC1596" w:rsidRPr="00F17180" w:rsidRDefault="00EC1596" w:rsidP="00B53D4B">
      <w:pPr>
        <w:ind w:right="96"/>
        <w:jc w:val="both"/>
        <w:rPr>
          <w:rFonts w:ascii="ITC Avant Garde" w:eastAsia="Calibri" w:hAnsi="ITC Avant Garde"/>
          <w:bCs/>
          <w:i/>
          <w:color w:val="000000"/>
          <w:sz w:val="16"/>
          <w:szCs w:val="16"/>
          <w:lang w:eastAsia="es-MX"/>
        </w:rPr>
      </w:pPr>
      <w:r w:rsidRPr="00F17180">
        <w:rPr>
          <w:rFonts w:ascii="ITC Avant Garde" w:eastAsia="Calibri" w:hAnsi="ITC Avant Garde"/>
          <w:bCs/>
          <w:color w:val="000000"/>
          <w:sz w:val="22"/>
          <w:szCs w:val="22"/>
          <w:lang w:eastAsia="es-MX"/>
        </w:rPr>
        <w:tab/>
      </w:r>
      <w:r w:rsidRPr="00F17180">
        <w:rPr>
          <w:rFonts w:ascii="ITC Avant Garde" w:eastAsia="Calibri" w:hAnsi="ITC Avant Garde"/>
          <w:bCs/>
          <w:i/>
          <w:color w:val="000000"/>
          <w:sz w:val="16"/>
          <w:szCs w:val="16"/>
          <w:lang w:eastAsia="es-MX"/>
        </w:rPr>
        <w:t>“[…]</w:t>
      </w:r>
    </w:p>
    <w:p w14:paraId="2861EADC" w14:textId="77777777" w:rsidR="00EC1596" w:rsidRPr="00F17180" w:rsidRDefault="00EC1596" w:rsidP="00B53D4B">
      <w:pPr>
        <w:ind w:right="96"/>
        <w:jc w:val="both"/>
        <w:rPr>
          <w:rFonts w:ascii="ITC Avant Garde" w:eastAsia="Calibri" w:hAnsi="ITC Avant Garde"/>
          <w:bCs/>
          <w:i/>
          <w:color w:val="000000"/>
          <w:sz w:val="16"/>
          <w:szCs w:val="16"/>
          <w:lang w:eastAsia="es-MX"/>
        </w:rPr>
      </w:pPr>
    </w:p>
    <w:p w14:paraId="4F7BB8F0" w14:textId="77777777" w:rsidR="00EC1596" w:rsidRPr="00F17180" w:rsidRDefault="00EC1596" w:rsidP="00B53D4B">
      <w:pPr>
        <w:pStyle w:val="Prrafodelista"/>
        <w:numPr>
          <w:ilvl w:val="0"/>
          <w:numId w:val="30"/>
        </w:numPr>
        <w:ind w:left="993" w:right="528" w:hanging="426"/>
        <w:jc w:val="both"/>
        <w:rPr>
          <w:rFonts w:ascii="ITC Avant Garde" w:eastAsia="Calibri" w:hAnsi="ITC Avant Garde"/>
          <w:bCs/>
          <w:i/>
          <w:color w:val="000000"/>
          <w:sz w:val="16"/>
          <w:szCs w:val="16"/>
          <w:lang w:eastAsia="es-MX"/>
        </w:rPr>
      </w:pPr>
      <w:r w:rsidRPr="00F17180">
        <w:rPr>
          <w:rFonts w:ascii="ITC Avant Garde" w:eastAsia="Calibri" w:hAnsi="ITC Avant Garde"/>
          <w:b/>
          <w:bCs/>
          <w:i/>
          <w:color w:val="000000"/>
          <w:sz w:val="16"/>
          <w:szCs w:val="16"/>
          <w:lang w:eastAsia="es-MX"/>
        </w:rPr>
        <w:t>Un aprovechamiento a pagarse en una sola exhibición</w:t>
      </w:r>
      <w:r w:rsidRPr="00F17180">
        <w:rPr>
          <w:rFonts w:ascii="ITC Avant Garde" w:hAnsi="ITC Avant Garde"/>
          <w:bCs/>
          <w:i/>
          <w:color w:val="000000"/>
          <w:sz w:val="16"/>
          <w:szCs w:val="16"/>
          <w:lang w:val="es-ES" w:eastAsia="es-MX"/>
        </w:rPr>
        <w:t xml:space="preserve"> </w:t>
      </w:r>
      <w:r w:rsidRPr="00F17180">
        <w:rPr>
          <w:rFonts w:ascii="ITC Avant Garde" w:eastAsia="Calibri" w:hAnsi="ITC Avant Garde"/>
          <w:bCs/>
          <w:i/>
          <w:color w:val="000000"/>
          <w:sz w:val="16"/>
          <w:szCs w:val="16"/>
          <w:lang w:eastAsia="es-MX"/>
        </w:rPr>
        <w:t>equivalente a los pagos promedio realizados en las licitaciones No. 15, 16 y 17 para el servicio móvil de radiocomunicación especializada de flotillas (</w:t>
      </w:r>
      <w:proofErr w:type="spellStart"/>
      <w:r w:rsidRPr="00F17180">
        <w:rPr>
          <w:rFonts w:ascii="ITC Avant Garde" w:eastAsia="Calibri" w:hAnsi="ITC Avant Garde"/>
          <w:bCs/>
          <w:i/>
          <w:color w:val="000000"/>
          <w:sz w:val="16"/>
          <w:szCs w:val="16"/>
          <w:lang w:eastAsia="es-MX"/>
        </w:rPr>
        <w:t>trunking</w:t>
      </w:r>
      <w:proofErr w:type="spellEnd"/>
      <w:r w:rsidRPr="00F17180">
        <w:rPr>
          <w:rFonts w:ascii="ITC Avant Garde" w:eastAsia="Calibri" w:hAnsi="ITC Avant Garde"/>
          <w:bCs/>
          <w:i/>
          <w:color w:val="000000"/>
          <w:sz w:val="16"/>
          <w:szCs w:val="16"/>
          <w:lang w:eastAsia="es-MX"/>
        </w:rPr>
        <w:t>) conforme al ancho de banda concesionado; el área de cobertura geográfica autorizada y el plazo que cubra la prórroga de las concesiones. Además, se considera dentro de este aprovechamiento un monto calculado tomando en cuenta un monto equivalente a las cuotas de derechos del artículo 244-F por el periodo comprendido desde la fecha de vencimiento de cada una de las concesiones hasta el presente ejercicio fiscal.</w:t>
      </w:r>
    </w:p>
    <w:p w14:paraId="58729FCF" w14:textId="77777777" w:rsidR="00EC1596" w:rsidRDefault="00EC1596" w:rsidP="00B53D4B">
      <w:pPr>
        <w:ind w:right="528"/>
        <w:jc w:val="both"/>
        <w:rPr>
          <w:rFonts w:ascii="ITC Avant Garde" w:eastAsia="Calibri" w:hAnsi="ITC Avant Garde"/>
          <w:bCs/>
          <w:i/>
          <w:color w:val="000000"/>
          <w:sz w:val="16"/>
          <w:szCs w:val="16"/>
          <w:lang w:eastAsia="es-MX"/>
        </w:rPr>
      </w:pPr>
    </w:p>
    <w:p w14:paraId="78E65A33" w14:textId="77777777" w:rsidR="007C0BC7" w:rsidRPr="00F17180" w:rsidRDefault="007C0BC7" w:rsidP="00B53D4B">
      <w:pPr>
        <w:ind w:right="528"/>
        <w:jc w:val="both"/>
        <w:rPr>
          <w:rFonts w:ascii="ITC Avant Garde" w:eastAsia="Calibri" w:hAnsi="ITC Avant Garde"/>
          <w:bCs/>
          <w:i/>
          <w:color w:val="000000"/>
          <w:sz w:val="16"/>
          <w:szCs w:val="16"/>
          <w:lang w:eastAsia="es-MX"/>
        </w:rPr>
      </w:pPr>
    </w:p>
    <w:tbl>
      <w:tblPr>
        <w:tblStyle w:val="Tablaconcuadrcula"/>
        <w:tblW w:w="7933" w:type="dxa"/>
        <w:jc w:val="center"/>
        <w:tblLayout w:type="fixed"/>
        <w:tblLook w:val="04A0" w:firstRow="1" w:lastRow="0" w:firstColumn="1" w:lastColumn="0" w:noHBand="0" w:noVBand="1"/>
        <w:tblCaption w:val="Ejercicio Fiscal."/>
        <w:tblDescription w:val="Concesionario Radio Sistemas de Tamaulipas, S.A. de C.V., con una Banda de frecuencia 410-430 MHz y importe del aprovechamiento inicial de 14,344,379"/>
      </w:tblPr>
      <w:tblGrid>
        <w:gridCol w:w="421"/>
        <w:gridCol w:w="3685"/>
        <w:gridCol w:w="1565"/>
        <w:gridCol w:w="2262"/>
      </w:tblGrid>
      <w:tr w:rsidR="00EC1596" w:rsidRPr="00F17180" w14:paraId="54436EFE" w14:textId="77777777" w:rsidTr="00F74181">
        <w:trPr>
          <w:tblHeader/>
          <w:jc w:val="center"/>
        </w:trPr>
        <w:tc>
          <w:tcPr>
            <w:tcW w:w="421" w:type="dxa"/>
            <w:shd w:val="clear" w:color="auto" w:fill="A6A6A6" w:themeFill="background1" w:themeFillShade="A6"/>
            <w:vAlign w:val="center"/>
          </w:tcPr>
          <w:p w14:paraId="4069B31F" w14:textId="77777777" w:rsidR="00EC1596" w:rsidRPr="00F17180" w:rsidRDefault="00EC1596" w:rsidP="00B53D4B">
            <w:pPr>
              <w:ind w:right="-108"/>
              <w:jc w:val="center"/>
              <w:rPr>
                <w:rFonts w:ascii="ITC Avant Garde" w:hAnsi="ITC Avant Garde"/>
                <w:b/>
                <w:bCs/>
                <w:i/>
                <w:color w:val="000000"/>
                <w:sz w:val="16"/>
                <w:szCs w:val="16"/>
                <w:lang w:val="es-ES" w:eastAsia="es-MX"/>
              </w:rPr>
            </w:pPr>
            <w:r w:rsidRPr="00F17180">
              <w:rPr>
                <w:rFonts w:ascii="ITC Avant Garde" w:hAnsi="ITC Avant Garde"/>
                <w:b/>
                <w:bCs/>
                <w:i/>
                <w:color w:val="000000"/>
                <w:sz w:val="16"/>
                <w:szCs w:val="16"/>
                <w:lang w:val="es-ES" w:eastAsia="es-MX"/>
              </w:rPr>
              <w:t>No.</w:t>
            </w:r>
          </w:p>
        </w:tc>
        <w:tc>
          <w:tcPr>
            <w:tcW w:w="3685" w:type="dxa"/>
            <w:shd w:val="clear" w:color="auto" w:fill="A6A6A6" w:themeFill="background1" w:themeFillShade="A6"/>
            <w:vAlign w:val="center"/>
          </w:tcPr>
          <w:p w14:paraId="32098DD2" w14:textId="77777777" w:rsidR="00EC1596" w:rsidRPr="00F17180" w:rsidRDefault="00EC1596" w:rsidP="00B53D4B">
            <w:pPr>
              <w:ind w:right="96"/>
              <w:jc w:val="center"/>
              <w:rPr>
                <w:rFonts w:ascii="ITC Avant Garde" w:hAnsi="ITC Avant Garde"/>
                <w:b/>
                <w:bCs/>
                <w:i/>
                <w:color w:val="000000"/>
                <w:sz w:val="16"/>
                <w:szCs w:val="16"/>
                <w:lang w:val="es-ES" w:eastAsia="es-MX"/>
              </w:rPr>
            </w:pPr>
            <w:r w:rsidRPr="00F17180">
              <w:rPr>
                <w:rFonts w:ascii="ITC Avant Garde" w:hAnsi="ITC Avant Garde"/>
                <w:b/>
                <w:bCs/>
                <w:i/>
                <w:color w:val="000000"/>
                <w:sz w:val="16"/>
                <w:szCs w:val="16"/>
                <w:lang w:val="es-ES" w:eastAsia="es-MX"/>
              </w:rPr>
              <w:t>Nombre del Concesionario</w:t>
            </w:r>
          </w:p>
        </w:tc>
        <w:tc>
          <w:tcPr>
            <w:tcW w:w="1565" w:type="dxa"/>
            <w:shd w:val="clear" w:color="auto" w:fill="A6A6A6" w:themeFill="background1" w:themeFillShade="A6"/>
            <w:vAlign w:val="center"/>
          </w:tcPr>
          <w:p w14:paraId="339277CC" w14:textId="77777777" w:rsidR="00EC1596" w:rsidRPr="00F17180" w:rsidRDefault="00EC1596" w:rsidP="00B53D4B">
            <w:pPr>
              <w:ind w:right="96"/>
              <w:jc w:val="center"/>
              <w:rPr>
                <w:rFonts w:ascii="ITC Avant Garde" w:hAnsi="ITC Avant Garde"/>
                <w:b/>
                <w:bCs/>
                <w:i/>
                <w:color w:val="000000"/>
                <w:sz w:val="16"/>
                <w:szCs w:val="16"/>
                <w:lang w:val="es-ES" w:eastAsia="es-MX"/>
              </w:rPr>
            </w:pPr>
            <w:r w:rsidRPr="00F17180">
              <w:rPr>
                <w:rFonts w:ascii="ITC Avant Garde" w:hAnsi="ITC Avant Garde"/>
                <w:b/>
                <w:bCs/>
                <w:i/>
                <w:color w:val="000000"/>
                <w:sz w:val="16"/>
                <w:szCs w:val="16"/>
                <w:lang w:val="es-ES" w:eastAsia="es-MX"/>
              </w:rPr>
              <w:t>Banda de Frecuencias (reubicación)</w:t>
            </w:r>
          </w:p>
        </w:tc>
        <w:tc>
          <w:tcPr>
            <w:tcW w:w="2262" w:type="dxa"/>
            <w:shd w:val="clear" w:color="auto" w:fill="A6A6A6" w:themeFill="background1" w:themeFillShade="A6"/>
            <w:vAlign w:val="center"/>
          </w:tcPr>
          <w:p w14:paraId="150AA407" w14:textId="77777777" w:rsidR="00EC1596" w:rsidRPr="00F17180" w:rsidRDefault="00EC1596" w:rsidP="00B53D4B">
            <w:pPr>
              <w:ind w:right="96"/>
              <w:jc w:val="center"/>
              <w:rPr>
                <w:rFonts w:ascii="ITC Avant Garde" w:hAnsi="ITC Avant Garde"/>
                <w:b/>
                <w:bCs/>
                <w:i/>
                <w:color w:val="000000"/>
                <w:sz w:val="16"/>
                <w:szCs w:val="16"/>
                <w:lang w:val="es-ES" w:eastAsia="es-MX"/>
              </w:rPr>
            </w:pPr>
            <w:r w:rsidRPr="00F17180">
              <w:rPr>
                <w:rFonts w:ascii="ITC Avant Garde" w:hAnsi="ITC Avant Garde"/>
                <w:b/>
                <w:bCs/>
                <w:i/>
                <w:color w:val="000000"/>
                <w:sz w:val="16"/>
                <w:szCs w:val="16"/>
                <w:lang w:val="es-ES" w:eastAsia="es-MX"/>
              </w:rPr>
              <w:t>Importe del Aprovechamiento inicial (pesos)</w:t>
            </w:r>
          </w:p>
        </w:tc>
      </w:tr>
      <w:tr w:rsidR="00EC1596" w:rsidRPr="00F17180" w14:paraId="01987FF5" w14:textId="77777777" w:rsidTr="00F74181">
        <w:trPr>
          <w:jc w:val="center"/>
        </w:trPr>
        <w:tc>
          <w:tcPr>
            <w:tcW w:w="421" w:type="dxa"/>
          </w:tcPr>
          <w:p w14:paraId="3A05E6EE" w14:textId="77777777" w:rsidR="00EC1596" w:rsidRPr="00F17180" w:rsidRDefault="00EC1596" w:rsidP="00B53D4B">
            <w:pPr>
              <w:ind w:right="-108"/>
              <w:jc w:val="center"/>
              <w:rPr>
                <w:rFonts w:ascii="ITC Avant Garde" w:hAnsi="ITC Avant Garde"/>
                <w:b/>
                <w:bCs/>
                <w:i/>
                <w:color w:val="000000"/>
                <w:sz w:val="16"/>
                <w:szCs w:val="16"/>
                <w:lang w:val="es-ES" w:eastAsia="es-MX"/>
              </w:rPr>
            </w:pPr>
            <w:r w:rsidRPr="00F17180">
              <w:rPr>
                <w:rFonts w:ascii="ITC Avant Garde" w:hAnsi="ITC Avant Garde"/>
                <w:b/>
                <w:bCs/>
                <w:i/>
                <w:color w:val="000000"/>
                <w:sz w:val="16"/>
                <w:szCs w:val="16"/>
                <w:lang w:val="es-ES" w:eastAsia="es-MX"/>
              </w:rPr>
              <w:t>1</w:t>
            </w:r>
          </w:p>
        </w:tc>
        <w:tc>
          <w:tcPr>
            <w:tcW w:w="3685" w:type="dxa"/>
          </w:tcPr>
          <w:p w14:paraId="0F791E71" w14:textId="77777777" w:rsidR="00EC1596" w:rsidRPr="00F17180" w:rsidRDefault="00EC1596" w:rsidP="00B53D4B">
            <w:pPr>
              <w:ind w:right="96"/>
              <w:jc w:val="center"/>
              <w:rPr>
                <w:rFonts w:ascii="ITC Avant Garde" w:hAnsi="ITC Avant Garde"/>
                <w:bCs/>
                <w:i/>
                <w:color w:val="000000"/>
                <w:sz w:val="16"/>
                <w:szCs w:val="16"/>
                <w:lang w:val="es-ES" w:eastAsia="es-MX"/>
              </w:rPr>
            </w:pPr>
            <w:r w:rsidRPr="00F17180">
              <w:rPr>
                <w:rFonts w:ascii="ITC Avant Garde" w:hAnsi="ITC Avant Garde"/>
                <w:bCs/>
                <w:i/>
                <w:color w:val="000000"/>
                <w:sz w:val="16"/>
                <w:szCs w:val="16"/>
                <w:lang w:val="es-ES" w:eastAsia="es-MX"/>
              </w:rPr>
              <w:t>[…]</w:t>
            </w:r>
          </w:p>
        </w:tc>
        <w:tc>
          <w:tcPr>
            <w:tcW w:w="1565" w:type="dxa"/>
          </w:tcPr>
          <w:p w14:paraId="349190B2" w14:textId="77777777" w:rsidR="00EC1596" w:rsidRPr="00F17180" w:rsidRDefault="00EC1596" w:rsidP="00B53D4B">
            <w:pPr>
              <w:ind w:right="96"/>
              <w:jc w:val="center"/>
              <w:rPr>
                <w:rFonts w:ascii="ITC Avant Garde" w:hAnsi="ITC Avant Garde"/>
                <w:b/>
                <w:bCs/>
                <w:i/>
                <w:color w:val="000000"/>
                <w:sz w:val="16"/>
                <w:szCs w:val="16"/>
                <w:lang w:val="es-ES" w:eastAsia="es-MX"/>
              </w:rPr>
            </w:pPr>
            <w:r w:rsidRPr="00F17180">
              <w:rPr>
                <w:rFonts w:ascii="ITC Avant Garde" w:hAnsi="ITC Avant Garde"/>
                <w:bCs/>
                <w:i/>
                <w:color w:val="000000"/>
                <w:sz w:val="16"/>
                <w:szCs w:val="16"/>
                <w:lang w:val="es-ES" w:eastAsia="es-MX"/>
              </w:rPr>
              <w:t>[…]</w:t>
            </w:r>
          </w:p>
        </w:tc>
        <w:tc>
          <w:tcPr>
            <w:tcW w:w="2262" w:type="dxa"/>
          </w:tcPr>
          <w:p w14:paraId="4F68C69E" w14:textId="77777777" w:rsidR="00EC1596" w:rsidRPr="00F17180" w:rsidRDefault="00EC1596" w:rsidP="00B53D4B">
            <w:pPr>
              <w:ind w:right="96"/>
              <w:jc w:val="center"/>
              <w:rPr>
                <w:rFonts w:ascii="ITC Avant Garde" w:hAnsi="ITC Avant Garde"/>
                <w:b/>
                <w:bCs/>
                <w:i/>
                <w:color w:val="000000"/>
                <w:sz w:val="16"/>
                <w:szCs w:val="16"/>
                <w:lang w:val="es-ES" w:eastAsia="es-MX"/>
              </w:rPr>
            </w:pPr>
            <w:r w:rsidRPr="00F17180">
              <w:rPr>
                <w:rFonts w:ascii="ITC Avant Garde" w:hAnsi="ITC Avant Garde"/>
                <w:bCs/>
                <w:i/>
                <w:color w:val="000000"/>
                <w:sz w:val="16"/>
                <w:szCs w:val="16"/>
                <w:lang w:val="es-ES" w:eastAsia="es-MX"/>
              </w:rPr>
              <w:t>[…]</w:t>
            </w:r>
          </w:p>
        </w:tc>
      </w:tr>
      <w:tr w:rsidR="00EC1596" w:rsidRPr="00F17180" w14:paraId="5343F35E" w14:textId="77777777" w:rsidTr="00F74181">
        <w:trPr>
          <w:jc w:val="center"/>
        </w:trPr>
        <w:tc>
          <w:tcPr>
            <w:tcW w:w="421" w:type="dxa"/>
          </w:tcPr>
          <w:p w14:paraId="52718456" w14:textId="77777777" w:rsidR="00EC1596" w:rsidRPr="00F17180" w:rsidRDefault="00EC1596" w:rsidP="00B53D4B">
            <w:pPr>
              <w:ind w:right="-108"/>
              <w:jc w:val="center"/>
              <w:rPr>
                <w:rFonts w:ascii="ITC Avant Garde" w:hAnsi="ITC Avant Garde"/>
                <w:b/>
                <w:bCs/>
                <w:i/>
                <w:color w:val="000000"/>
                <w:sz w:val="16"/>
                <w:szCs w:val="16"/>
                <w:lang w:val="es-ES" w:eastAsia="es-MX"/>
              </w:rPr>
            </w:pPr>
            <w:r w:rsidRPr="00F17180">
              <w:rPr>
                <w:rFonts w:ascii="ITC Avant Garde" w:hAnsi="ITC Avant Garde"/>
                <w:b/>
                <w:bCs/>
                <w:i/>
                <w:color w:val="000000"/>
                <w:sz w:val="16"/>
                <w:szCs w:val="16"/>
                <w:lang w:val="es-ES" w:eastAsia="es-MX"/>
              </w:rPr>
              <w:t>2</w:t>
            </w:r>
          </w:p>
        </w:tc>
        <w:tc>
          <w:tcPr>
            <w:tcW w:w="3685" w:type="dxa"/>
          </w:tcPr>
          <w:p w14:paraId="67EEC922" w14:textId="77777777" w:rsidR="00EC1596" w:rsidRPr="00F17180" w:rsidRDefault="00EC1596" w:rsidP="00B53D4B">
            <w:pPr>
              <w:ind w:right="96"/>
              <w:jc w:val="center"/>
              <w:rPr>
                <w:rFonts w:ascii="ITC Avant Garde" w:hAnsi="ITC Avant Garde"/>
                <w:bCs/>
                <w:i/>
                <w:color w:val="000000"/>
                <w:sz w:val="16"/>
                <w:szCs w:val="16"/>
                <w:lang w:val="es-ES" w:eastAsia="es-MX"/>
              </w:rPr>
            </w:pPr>
            <w:r w:rsidRPr="00F17180">
              <w:rPr>
                <w:rFonts w:ascii="ITC Avant Garde" w:hAnsi="ITC Avant Garde"/>
                <w:bCs/>
                <w:i/>
                <w:color w:val="000000"/>
                <w:sz w:val="16"/>
                <w:szCs w:val="16"/>
                <w:lang w:val="es-ES" w:eastAsia="es-MX"/>
              </w:rPr>
              <w:t>[…)</w:t>
            </w:r>
          </w:p>
        </w:tc>
        <w:tc>
          <w:tcPr>
            <w:tcW w:w="1565" w:type="dxa"/>
          </w:tcPr>
          <w:p w14:paraId="4EA70640" w14:textId="77777777" w:rsidR="00EC1596" w:rsidRPr="00F17180" w:rsidRDefault="00EC1596" w:rsidP="00B53D4B">
            <w:pPr>
              <w:ind w:right="96"/>
              <w:jc w:val="center"/>
              <w:rPr>
                <w:rFonts w:ascii="ITC Avant Garde" w:hAnsi="ITC Avant Garde"/>
                <w:b/>
                <w:bCs/>
                <w:i/>
                <w:color w:val="000000"/>
                <w:sz w:val="16"/>
                <w:szCs w:val="16"/>
                <w:lang w:val="es-ES" w:eastAsia="es-MX"/>
              </w:rPr>
            </w:pPr>
            <w:r w:rsidRPr="00F17180">
              <w:rPr>
                <w:rFonts w:ascii="ITC Avant Garde" w:hAnsi="ITC Avant Garde"/>
                <w:bCs/>
                <w:i/>
                <w:color w:val="000000"/>
                <w:sz w:val="16"/>
                <w:szCs w:val="16"/>
                <w:lang w:val="es-ES" w:eastAsia="es-MX"/>
              </w:rPr>
              <w:t>[…]</w:t>
            </w:r>
          </w:p>
        </w:tc>
        <w:tc>
          <w:tcPr>
            <w:tcW w:w="2262" w:type="dxa"/>
          </w:tcPr>
          <w:p w14:paraId="78A7AA7A" w14:textId="77777777" w:rsidR="00EC1596" w:rsidRPr="00F17180" w:rsidRDefault="00EC1596" w:rsidP="00B53D4B">
            <w:pPr>
              <w:ind w:right="96"/>
              <w:jc w:val="center"/>
              <w:rPr>
                <w:rFonts w:ascii="ITC Avant Garde" w:hAnsi="ITC Avant Garde"/>
                <w:b/>
                <w:bCs/>
                <w:i/>
                <w:color w:val="000000"/>
                <w:sz w:val="16"/>
                <w:szCs w:val="16"/>
                <w:lang w:val="es-ES" w:eastAsia="es-MX"/>
              </w:rPr>
            </w:pPr>
            <w:r w:rsidRPr="00F17180">
              <w:rPr>
                <w:rFonts w:ascii="ITC Avant Garde" w:hAnsi="ITC Avant Garde"/>
                <w:bCs/>
                <w:i/>
                <w:color w:val="000000"/>
                <w:sz w:val="16"/>
                <w:szCs w:val="16"/>
                <w:lang w:val="es-ES" w:eastAsia="es-MX"/>
              </w:rPr>
              <w:t>[…]</w:t>
            </w:r>
          </w:p>
        </w:tc>
      </w:tr>
      <w:tr w:rsidR="00EC1596" w:rsidRPr="00F17180" w14:paraId="1E87DBA4" w14:textId="77777777" w:rsidTr="00F74181">
        <w:trPr>
          <w:jc w:val="center"/>
        </w:trPr>
        <w:tc>
          <w:tcPr>
            <w:tcW w:w="421" w:type="dxa"/>
          </w:tcPr>
          <w:p w14:paraId="70DC5076" w14:textId="77777777" w:rsidR="00EC1596" w:rsidRPr="00F17180" w:rsidRDefault="00EC1596" w:rsidP="00B53D4B">
            <w:pPr>
              <w:ind w:right="-108"/>
              <w:jc w:val="center"/>
              <w:rPr>
                <w:rFonts w:ascii="ITC Avant Garde" w:hAnsi="ITC Avant Garde"/>
                <w:b/>
                <w:bCs/>
                <w:i/>
                <w:color w:val="000000"/>
                <w:sz w:val="16"/>
                <w:szCs w:val="16"/>
                <w:lang w:val="es-ES" w:eastAsia="es-MX"/>
              </w:rPr>
            </w:pPr>
            <w:r w:rsidRPr="00F17180">
              <w:rPr>
                <w:rFonts w:ascii="ITC Avant Garde" w:hAnsi="ITC Avant Garde"/>
                <w:b/>
                <w:bCs/>
                <w:i/>
                <w:color w:val="000000"/>
                <w:sz w:val="16"/>
                <w:szCs w:val="16"/>
                <w:lang w:val="es-ES" w:eastAsia="es-MX"/>
              </w:rPr>
              <w:t>3</w:t>
            </w:r>
          </w:p>
        </w:tc>
        <w:tc>
          <w:tcPr>
            <w:tcW w:w="3685" w:type="dxa"/>
          </w:tcPr>
          <w:p w14:paraId="4F07AD9C" w14:textId="77777777" w:rsidR="00EC1596" w:rsidRPr="00F17180" w:rsidRDefault="00EC1596" w:rsidP="00B53D4B">
            <w:pPr>
              <w:ind w:right="96"/>
              <w:jc w:val="center"/>
              <w:rPr>
                <w:rFonts w:ascii="ITC Avant Garde" w:hAnsi="ITC Avant Garde"/>
                <w:b/>
                <w:bCs/>
                <w:i/>
                <w:color w:val="000000"/>
                <w:sz w:val="16"/>
                <w:szCs w:val="16"/>
                <w:lang w:val="es-ES" w:eastAsia="es-MX"/>
              </w:rPr>
            </w:pPr>
            <w:r w:rsidRPr="00F17180">
              <w:rPr>
                <w:rFonts w:ascii="ITC Avant Garde" w:hAnsi="ITC Avant Garde"/>
                <w:bCs/>
                <w:i/>
                <w:color w:val="000000"/>
                <w:sz w:val="16"/>
                <w:szCs w:val="16"/>
                <w:lang w:val="es-ES" w:eastAsia="es-MX"/>
              </w:rPr>
              <w:t>[…]</w:t>
            </w:r>
          </w:p>
        </w:tc>
        <w:tc>
          <w:tcPr>
            <w:tcW w:w="1565" w:type="dxa"/>
          </w:tcPr>
          <w:p w14:paraId="749C257E" w14:textId="77777777" w:rsidR="00EC1596" w:rsidRPr="00F17180" w:rsidRDefault="00EC1596" w:rsidP="00B53D4B">
            <w:pPr>
              <w:ind w:right="96"/>
              <w:jc w:val="center"/>
              <w:rPr>
                <w:rFonts w:ascii="ITC Avant Garde" w:hAnsi="ITC Avant Garde"/>
                <w:b/>
                <w:bCs/>
                <w:i/>
                <w:color w:val="000000"/>
                <w:sz w:val="16"/>
                <w:szCs w:val="16"/>
                <w:lang w:val="es-ES" w:eastAsia="es-MX"/>
              </w:rPr>
            </w:pPr>
            <w:r w:rsidRPr="00F17180">
              <w:rPr>
                <w:rFonts w:ascii="ITC Avant Garde" w:hAnsi="ITC Avant Garde"/>
                <w:bCs/>
                <w:i/>
                <w:color w:val="000000"/>
                <w:sz w:val="16"/>
                <w:szCs w:val="16"/>
                <w:lang w:val="es-ES" w:eastAsia="es-MX"/>
              </w:rPr>
              <w:t>[…]</w:t>
            </w:r>
          </w:p>
        </w:tc>
        <w:tc>
          <w:tcPr>
            <w:tcW w:w="2262" w:type="dxa"/>
          </w:tcPr>
          <w:p w14:paraId="25573B3A" w14:textId="77777777" w:rsidR="00EC1596" w:rsidRPr="00F17180" w:rsidRDefault="00EC1596" w:rsidP="00B53D4B">
            <w:pPr>
              <w:ind w:right="96"/>
              <w:jc w:val="center"/>
              <w:rPr>
                <w:rFonts w:ascii="ITC Avant Garde" w:hAnsi="ITC Avant Garde"/>
                <w:b/>
                <w:bCs/>
                <w:i/>
                <w:color w:val="000000"/>
                <w:sz w:val="16"/>
                <w:szCs w:val="16"/>
                <w:lang w:val="es-ES" w:eastAsia="es-MX"/>
              </w:rPr>
            </w:pPr>
            <w:r w:rsidRPr="00F17180">
              <w:rPr>
                <w:rFonts w:ascii="ITC Avant Garde" w:hAnsi="ITC Avant Garde"/>
                <w:bCs/>
                <w:i/>
                <w:color w:val="000000"/>
                <w:sz w:val="16"/>
                <w:szCs w:val="16"/>
                <w:lang w:val="es-ES" w:eastAsia="es-MX"/>
              </w:rPr>
              <w:t>[…]</w:t>
            </w:r>
          </w:p>
        </w:tc>
      </w:tr>
      <w:tr w:rsidR="00EC1596" w:rsidRPr="00F17180" w14:paraId="40C1D783" w14:textId="77777777" w:rsidTr="00F74181">
        <w:trPr>
          <w:jc w:val="center"/>
        </w:trPr>
        <w:tc>
          <w:tcPr>
            <w:tcW w:w="421" w:type="dxa"/>
          </w:tcPr>
          <w:p w14:paraId="5D01E590" w14:textId="77777777" w:rsidR="00EC1596" w:rsidRPr="00F17180" w:rsidRDefault="00EC1596" w:rsidP="00B53D4B">
            <w:pPr>
              <w:ind w:right="-108"/>
              <w:jc w:val="center"/>
              <w:rPr>
                <w:rFonts w:ascii="ITC Avant Garde" w:hAnsi="ITC Avant Garde"/>
                <w:b/>
                <w:bCs/>
                <w:i/>
                <w:color w:val="000000"/>
                <w:sz w:val="16"/>
                <w:szCs w:val="16"/>
                <w:lang w:val="es-ES" w:eastAsia="es-MX"/>
              </w:rPr>
            </w:pPr>
            <w:r w:rsidRPr="00F17180">
              <w:rPr>
                <w:rFonts w:ascii="ITC Avant Garde" w:hAnsi="ITC Avant Garde"/>
                <w:b/>
                <w:bCs/>
                <w:i/>
                <w:color w:val="000000"/>
                <w:sz w:val="16"/>
                <w:szCs w:val="16"/>
                <w:lang w:val="es-ES" w:eastAsia="es-MX"/>
              </w:rPr>
              <w:t>4</w:t>
            </w:r>
          </w:p>
        </w:tc>
        <w:tc>
          <w:tcPr>
            <w:tcW w:w="3685" w:type="dxa"/>
          </w:tcPr>
          <w:p w14:paraId="2CD0ADFD" w14:textId="32430D9D" w:rsidR="00EC1596" w:rsidRPr="00F17180" w:rsidRDefault="00EC1596" w:rsidP="00B53D4B">
            <w:pPr>
              <w:ind w:right="96"/>
              <w:jc w:val="center"/>
              <w:rPr>
                <w:rFonts w:ascii="ITC Avant Garde" w:hAnsi="ITC Avant Garde"/>
                <w:b/>
                <w:bCs/>
                <w:i/>
                <w:color w:val="000000"/>
                <w:sz w:val="16"/>
                <w:szCs w:val="16"/>
                <w:lang w:val="es-ES" w:eastAsia="es-MX"/>
              </w:rPr>
            </w:pPr>
            <w:r w:rsidRPr="00F17180">
              <w:rPr>
                <w:rFonts w:ascii="ITC Avant Garde" w:hAnsi="ITC Avant Garde"/>
                <w:bCs/>
                <w:i/>
                <w:color w:val="000000"/>
                <w:sz w:val="16"/>
                <w:szCs w:val="16"/>
                <w:lang w:val="es-ES" w:eastAsia="es-MX"/>
              </w:rPr>
              <w:t>Radio Sistemas de Tamaulipas, S.A. de C.V</w:t>
            </w:r>
            <w:proofErr w:type="gramStart"/>
            <w:r w:rsidRPr="00F17180">
              <w:rPr>
                <w:rFonts w:ascii="ITC Avant Garde" w:hAnsi="ITC Avant Garde"/>
                <w:bCs/>
                <w:i/>
                <w:color w:val="000000"/>
                <w:sz w:val="16"/>
                <w:szCs w:val="16"/>
                <w:lang w:val="es-ES" w:eastAsia="es-MX"/>
              </w:rPr>
              <w:t>.[</w:t>
            </w:r>
            <w:proofErr w:type="gramEnd"/>
            <w:r w:rsidRPr="00F17180">
              <w:rPr>
                <w:rFonts w:ascii="ITC Avant Garde" w:hAnsi="ITC Avant Garde"/>
                <w:bCs/>
                <w:i/>
                <w:color w:val="000000"/>
                <w:sz w:val="16"/>
                <w:szCs w:val="16"/>
                <w:lang w:val="es-ES" w:eastAsia="es-MX"/>
              </w:rPr>
              <w:t>…]</w:t>
            </w:r>
          </w:p>
        </w:tc>
        <w:tc>
          <w:tcPr>
            <w:tcW w:w="1565" w:type="dxa"/>
          </w:tcPr>
          <w:p w14:paraId="5CAF933B" w14:textId="77EE342F" w:rsidR="00EC1596" w:rsidRPr="00F17180" w:rsidRDefault="000933CB" w:rsidP="00B53D4B">
            <w:pPr>
              <w:ind w:right="96"/>
              <w:jc w:val="center"/>
              <w:rPr>
                <w:rFonts w:ascii="ITC Avant Garde" w:hAnsi="ITC Avant Garde"/>
                <w:b/>
                <w:bCs/>
                <w:i/>
                <w:color w:val="000000"/>
                <w:sz w:val="16"/>
                <w:szCs w:val="16"/>
                <w:lang w:val="es-ES" w:eastAsia="es-MX"/>
              </w:rPr>
            </w:pPr>
            <w:r w:rsidRPr="00F17180">
              <w:rPr>
                <w:rFonts w:ascii="ITC Avant Garde" w:hAnsi="ITC Avant Garde"/>
                <w:bCs/>
                <w:i/>
                <w:color w:val="000000"/>
                <w:sz w:val="16"/>
                <w:szCs w:val="16"/>
                <w:lang w:val="es-ES" w:eastAsia="es-MX"/>
              </w:rPr>
              <w:t xml:space="preserve">410-430 MHz </w:t>
            </w:r>
          </w:p>
        </w:tc>
        <w:tc>
          <w:tcPr>
            <w:tcW w:w="2262" w:type="dxa"/>
          </w:tcPr>
          <w:p w14:paraId="56B033D8" w14:textId="13B65E5E" w:rsidR="00EC1596" w:rsidRPr="00F17180" w:rsidRDefault="000933CB" w:rsidP="00B53D4B">
            <w:pPr>
              <w:ind w:right="96"/>
              <w:jc w:val="center"/>
              <w:rPr>
                <w:rFonts w:ascii="ITC Avant Garde" w:hAnsi="ITC Avant Garde"/>
                <w:b/>
                <w:bCs/>
                <w:i/>
                <w:color w:val="000000"/>
                <w:sz w:val="16"/>
                <w:szCs w:val="16"/>
                <w:lang w:val="es-ES" w:eastAsia="es-MX"/>
              </w:rPr>
            </w:pPr>
            <w:r w:rsidRPr="00F17180">
              <w:rPr>
                <w:rFonts w:ascii="ITC Avant Garde" w:hAnsi="ITC Avant Garde"/>
                <w:bCs/>
                <w:i/>
                <w:color w:val="000000"/>
                <w:sz w:val="16"/>
                <w:szCs w:val="16"/>
                <w:lang w:val="es-ES" w:eastAsia="es-MX"/>
              </w:rPr>
              <w:t>14,344,379</w:t>
            </w:r>
          </w:p>
        </w:tc>
      </w:tr>
      <w:tr w:rsidR="00EC1596" w:rsidRPr="00F17180" w14:paraId="08F07FEE" w14:textId="77777777" w:rsidTr="00F74181">
        <w:trPr>
          <w:jc w:val="center"/>
        </w:trPr>
        <w:tc>
          <w:tcPr>
            <w:tcW w:w="421" w:type="dxa"/>
          </w:tcPr>
          <w:p w14:paraId="67758199" w14:textId="77777777" w:rsidR="00EC1596" w:rsidRPr="00F17180" w:rsidRDefault="00EC1596" w:rsidP="00B53D4B">
            <w:pPr>
              <w:ind w:right="-108"/>
              <w:jc w:val="center"/>
              <w:rPr>
                <w:rFonts w:ascii="ITC Avant Garde" w:hAnsi="ITC Avant Garde"/>
                <w:b/>
                <w:bCs/>
                <w:i/>
                <w:color w:val="000000"/>
                <w:sz w:val="16"/>
                <w:szCs w:val="16"/>
                <w:lang w:val="es-ES" w:eastAsia="es-MX"/>
              </w:rPr>
            </w:pPr>
            <w:r w:rsidRPr="00F17180">
              <w:rPr>
                <w:rFonts w:ascii="ITC Avant Garde" w:hAnsi="ITC Avant Garde"/>
                <w:b/>
                <w:bCs/>
                <w:i/>
                <w:color w:val="000000"/>
                <w:sz w:val="16"/>
                <w:szCs w:val="16"/>
                <w:lang w:val="es-ES" w:eastAsia="es-MX"/>
              </w:rPr>
              <w:t>5</w:t>
            </w:r>
          </w:p>
        </w:tc>
        <w:tc>
          <w:tcPr>
            <w:tcW w:w="3685" w:type="dxa"/>
          </w:tcPr>
          <w:p w14:paraId="21F9AF96" w14:textId="77777777" w:rsidR="00EC1596" w:rsidRPr="00F17180" w:rsidRDefault="00EC1596" w:rsidP="00B53D4B">
            <w:pPr>
              <w:ind w:right="96"/>
              <w:jc w:val="center"/>
              <w:rPr>
                <w:rFonts w:ascii="ITC Avant Garde" w:hAnsi="ITC Avant Garde"/>
                <w:b/>
                <w:bCs/>
                <w:i/>
                <w:color w:val="000000"/>
                <w:sz w:val="16"/>
                <w:szCs w:val="16"/>
                <w:lang w:val="es-ES" w:eastAsia="es-MX"/>
              </w:rPr>
            </w:pPr>
            <w:r w:rsidRPr="00F17180">
              <w:rPr>
                <w:rFonts w:ascii="ITC Avant Garde" w:hAnsi="ITC Avant Garde"/>
                <w:bCs/>
                <w:i/>
                <w:color w:val="000000"/>
                <w:sz w:val="16"/>
                <w:szCs w:val="16"/>
                <w:lang w:val="es-ES" w:eastAsia="es-MX"/>
              </w:rPr>
              <w:t>[…]</w:t>
            </w:r>
          </w:p>
        </w:tc>
        <w:tc>
          <w:tcPr>
            <w:tcW w:w="1565" w:type="dxa"/>
          </w:tcPr>
          <w:p w14:paraId="02D1E1A4" w14:textId="77777777" w:rsidR="00EC1596" w:rsidRPr="00F17180" w:rsidRDefault="00EC1596" w:rsidP="00B53D4B">
            <w:pPr>
              <w:ind w:right="96"/>
              <w:jc w:val="center"/>
              <w:rPr>
                <w:rFonts w:ascii="ITC Avant Garde" w:hAnsi="ITC Avant Garde"/>
                <w:b/>
                <w:bCs/>
                <w:i/>
                <w:color w:val="000000"/>
                <w:sz w:val="16"/>
                <w:szCs w:val="16"/>
                <w:lang w:val="es-ES" w:eastAsia="es-MX"/>
              </w:rPr>
            </w:pPr>
            <w:r w:rsidRPr="00F17180">
              <w:rPr>
                <w:rFonts w:ascii="ITC Avant Garde" w:hAnsi="ITC Avant Garde"/>
                <w:bCs/>
                <w:i/>
                <w:color w:val="000000"/>
                <w:sz w:val="16"/>
                <w:szCs w:val="16"/>
                <w:lang w:val="es-ES" w:eastAsia="es-MX"/>
              </w:rPr>
              <w:t>[…]</w:t>
            </w:r>
          </w:p>
        </w:tc>
        <w:tc>
          <w:tcPr>
            <w:tcW w:w="2262" w:type="dxa"/>
          </w:tcPr>
          <w:p w14:paraId="48CA0361" w14:textId="77777777" w:rsidR="00EC1596" w:rsidRPr="00F17180" w:rsidRDefault="00EC1596" w:rsidP="00B53D4B">
            <w:pPr>
              <w:ind w:right="96"/>
              <w:jc w:val="center"/>
              <w:rPr>
                <w:rFonts w:ascii="ITC Avant Garde" w:hAnsi="ITC Avant Garde"/>
                <w:b/>
                <w:bCs/>
                <w:i/>
                <w:color w:val="000000"/>
                <w:sz w:val="16"/>
                <w:szCs w:val="16"/>
                <w:lang w:val="es-ES" w:eastAsia="es-MX"/>
              </w:rPr>
            </w:pPr>
            <w:r w:rsidRPr="00F17180">
              <w:rPr>
                <w:rFonts w:ascii="ITC Avant Garde" w:hAnsi="ITC Avant Garde"/>
                <w:bCs/>
                <w:i/>
                <w:color w:val="000000"/>
                <w:sz w:val="16"/>
                <w:szCs w:val="16"/>
                <w:lang w:val="es-ES" w:eastAsia="es-MX"/>
              </w:rPr>
              <w:t>[…]</w:t>
            </w:r>
          </w:p>
        </w:tc>
      </w:tr>
      <w:tr w:rsidR="00EC1596" w:rsidRPr="00F17180" w14:paraId="4D493260" w14:textId="77777777" w:rsidTr="00F74181">
        <w:trPr>
          <w:jc w:val="center"/>
        </w:trPr>
        <w:tc>
          <w:tcPr>
            <w:tcW w:w="421" w:type="dxa"/>
          </w:tcPr>
          <w:p w14:paraId="0D686FDB" w14:textId="77777777" w:rsidR="00EC1596" w:rsidRPr="00F17180" w:rsidRDefault="00EC1596" w:rsidP="00B53D4B">
            <w:pPr>
              <w:ind w:right="-108"/>
              <w:jc w:val="center"/>
              <w:rPr>
                <w:rFonts w:ascii="ITC Avant Garde" w:hAnsi="ITC Avant Garde"/>
                <w:b/>
                <w:bCs/>
                <w:i/>
                <w:color w:val="000000"/>
                <w:sz w:val="16"/>
                <w:szCs w:val="16"/>
                <w:lang w:val="es-ES" w:eastAsia="es-MX"/>
              </w:rPr>
            </w:pPr>
            <w:r w:rsidRPr="00F17180">
              <w:rPr>
                <w:rFonts w:ascii="ITC Avant Garde" w:hAnsi="ITC Avant Garde"/>
                <w:b/>
                <w:bCs/>
                <w:i/>
                <w:color w:val="000000"/>
                <w:sz w:val="16"/>
                <w:szCs w:val="16"/>
                <w:lang w:val="es-ES" w:eastAsia="es-MX"/>
              </w:rPr>
              <w:t>6</w:t>
            </w:r>
          </w:p>
        </w:tc>
        <w:tc>
          <w:tcPr>
            <w:tcW w:w="3685" w:type="dxa"/>
          </w:tcPr>
          <w:p w14:paraId="7A97E658" w14:textId="43317F85" w:rsidR="00EC1596" w:rsidRPr="00F17180" w:rsidRDefault="000933CB" w:rsidP="00B53D4B">
            <w:pPr>
              <w:ind w:right="96"/>
              <w:jc w:val="center"/>
              <w:rPr>
                <w:rFonts w:ascii="ITC Avant Garde" w:hAnsi="ITC Avant Garde"/>
                <w:b/>
                <w:bCs/>
                <w:i/>
                <w:color w:val="000000"/>
                <w:sz w:val="16"/>
                <w:szCs w:val="16"/>
                <w:lang w:val="es-ES" w:eastAsia="es-MX"/>
              </w:rPr>
            </w:pPr>
            <w:r w:rsidRPr="00F17180">
              <w:rPr>
                <w:rFonts w:ascii="ITC Avant Garde" w:hAnsi="ITC Avant Garde"/>
                <w:bCs/>
                <w:i/>
                <w:color w:val="000000"/>
                <w:sz w:val="16"/>
                <w:szCs w:val="16"/>
                <w:lang w:val="es-ES" w:eastAsia="es-MX"/>
              </w:rPr>
              <w:t>(…)</w:t>
            </w:r>
          </w:p>
        </w:tc>
        <w:tc>
          <w:tcPr>
            <w:tcW w:w="1565" w:type="dxa"/>
          </w:tcPr>
          <w:p w14:paraId="306CAA3E" w14:textId="11B1F98D" w:rsidR="00EC1596" w:rsidRPr="00F17180" w:rsidRDefault="000933CB" w:rsidP="00B53D4B">
            <w:pPr>
              <w:ind w:right="96"/>
              <w:jc w:val="center"/>
              <w:rPr>
                <w:rFonts w:ascii="ITC Avant Garde" w:hAnsi="ITC Avant Garde"/>
                <w:b/>
                <w:bCs/>
                <w:i/>
                <w:color w:val="000000"/>
                <w:sz w:val="16"/>
                <w:szCs w:val="16"/>
                <w:lang w:val="es-ES" w:eastAsia="es-MX"/>
              </w:rPr>
            </w:pPr>
            <w:r w:rsidRPr="00F17180">
              <w:rPr>
                <w:rFonts w:ascii="ITC Avant Garde" w:hAnsi="ITC Avant Garde"/>
                <w:bCs/>
                <w:i/>
                <w:color w:val="000000"/>
                <w:sz w:val="16"/>
                <w:szCs w:val="16"/>
                <w:lang w:val="es-ES" w:eastAsia="es-MX"/>
              </w:rPr>
              <w:t>(…)</w:t>
            </w:r>
          </w:p>
        </w:tc>
        <w:tc>
          <w:tcPr>
            <w:tcW w:w="2262" w:type="dxa"/>
          </w:tcPr>
          <w:p w14:paraId="53CBD222" w14:textId="767866CE" w:rsidR="00EC1596" w:rsidRPr="00F17180" w:rsidRDefault="000933CB" w:rsidP="00B53D4B">
            <w:pPr>
              <w:ind w:right="96"/>
              <w:jc w:val="center"/>
              <w:rPr>
                <w:rFonts w:ascii="ITC Avant Garde" w:hAnsi="ITC Avant Garde"/>
                <w:b/>
                <w:bCs/>
                <w:i/>
                <w:color w:val="000000"/>
                <w:sz w:val="16"/>
                <w:szCs w:val="16"/>
                <w:lang w:val="es-ES" w:eastAsia="es-MX"/>
              </w:rPr>
            </w:pPr>
            <w:r w:rsidRPr="00F17180">
              <w:rPr>
                <w:rFonts w:ascii="ITC Avant Garde" w:hAnsi="ITC Avant Garde"/>
                <w:bCs/>
                <w:i/>
                <w:color w:val="000000"/>
                <w:sz w:val="16"/>
                <w:szCs w:val="16"/>
                <w:lang w:val="es-ES" w:eastAsia="es-MX"/>
              </w:rPr>
              <w:t>(…)</w:t>
            </w:r>
          </w:p>
        </w:tc>
      </w:tr>
      <w:tr w:rsidR="00EC1596" w:rsidRPr="00F17180" w14:paraId="00566DA1" w14:textId="77777777" w:rsidTr="00F74181">
        <w:trPr>
          <w:jc w:val="center"/>
        </w:trPr>
        <w:tc>
          <w:tcPr>
            <w:tcW w:w="421" w:type="dxa"/>
          </w:tcPr>
          <w:p w14:paraId="0C1E666B" w14:textId="77777777" w:rsidR="00EC1596" w:rsidRPr="00F17180" w:rsidRDefault="00EC1596" w:rsidP="00B53D4B">
            <w:pPr>
              <w:ind w:right="-108"/>
              <w:jc w:val="center"/>
              <w:rPr>
                <w:rFonts w:ascii="ITC Avant Garde" w:hAnsi="ITC Avant Garde"/>
                <w:b/>
                <w:bCs/>
                <w:i/>
                <w:color w:val="000000"/>
                <w:sz w:val="16"/>
                <w:szCs w:val="16"/>
                <w:lang w:val="es-ES" w:eastAsia="es-MX"/>
              </w:rPr>
            </w:pPr>
            <w:r w:rsidRPr="00F17180">
              <w:rPr>
                <w:rFonts w:ascii="ITC Avant Garde" w:hAnsi="ITC Avant Garde"/>
                <w:b/>
                <w:bCs/>
                <w:i/>
                <w:color w:val="000000"/>
                <w:sz w:val="16"/>
                <w:szCs w:val="16"/>
                <w:lang w:val="es-ES" w:eastAsia="es-MX"/>
              </w:rPr>
              <w:t>7</w:t>
            </w:r>
          </w:p>
        </w:tc>
        <w:tc>
          <w:tcPr>
            <w:tcW w:w="3685" w:type="dxa"/>
          </w:tcPr>
          <w:p w14:paraId="054BCCAC" w14:textId="77777777" w:rsidR="00EC1596" w:rsidRPr="00F17180" w:rsidRDefault="00EC1596" w:rsidP="00B53D4B">
            <w:pPr>
              <w:ind w:right="96"/>
              <w:jc w:val="center"/>
              <w:rPr>
                <w:rFonts w:ascii="ITC Avant Garde" w:hAnsi="ITC Avant Garde"/>
                <w:b/>
                <w:bCs/>
                <w:i/>
                <w:color w:val="000000"/>
                <w:sz w:val="16"/>
                <w:szCs w:val="16"/>
                <w:lang w:val="es-ES" w:eastAsia="es-MX"/>
              </w:rPr>
            </w:pPr>
            <w:r w:rsidRPr="00F17180">
              <w:rPr>
                <w:rFonts w:ascii="ITC Avant Garde" w:hAnsi="ITC Avant Garde"/>
                <w:bCs/>
                <w:i/>
                <w:color w:val="000000"/>
                <w:sz w:val="16"/>
                <w:szCs w:val="16"/>
                <w:lang w:val="es-ES" w:eastAsia="es-MX"/>
              </w:rPr>
              <w:t>[…]</w:t>
            </w:r>
          </w:p>
        </w:tc>
        <w:tc>
          <w:tcPr>
            <w:tcW w:w="1565" w:type="dxa"/>
          </w:tcPr>
          <w:p w14:paraId="47F7A5FF" w14:textId="77777777" w:rsidR="00EC1596" w:rsidRPr="00F17180" w:rsidRDefault="00EC1596" w:rsidP="00B53D4B">
            <w:pPr>
              <w:ind w:right="96"/>
              <w:jc w:val="center"/>
              <w:rPr>
                <w:rFonts w:ascii="ITC Avant Garde" w:hAnsi="ITC Avant Garde"/>
                <w:b/>
                <w:bCs/>
                <w:i/>
                <w:color w:val="000000"/>
                <w:sz w:val="16"/>
                <w:szCs w:val="16"/>
                <w:lang w:val="es-ES" w:eastAsia="es-MX"/>
              </w:rPr>
            </w:pPr>
            <w:r w:rsidRPr="00F17180">
              <w:rPr>
                <w:rFonts w:ascii="ITC Avant Garde" w:hAnsi="ITC Avant Garde"/>
                <w:bCs/>
                <w:i/>
                <w:color w:val="000000"/>
                <w:sz w:val="16"/>
                <w:szCs w:val="16"/>
                <w:lang w:val="es-ES" w:eastAsia="es-MX"/>
              </w:rPr>
              <w:t>[…]</w:t>
            </w:r>
          </w:p>
        </w:tc>
        <w:tc>
          <w:tcPr>
            <w:tcW w:w="2262" w:type="dxa"/>
          </w:tcPr>
          <w:p w14:paraId="02A7F45E" w14:textId="77777777" w:rsidR="00EC1596" w:rsidRPr="00F17180" w:rsidRDefault="00EC1596" w:rsidP="00B53D4B">
            <w:pPr>
              <w:ind w:right="96"/>
              <w:jc w:val="center"/>
              <w:rPr>
                <w:rFonts w:ascii="ITC Avant Garde" w:hAnsi="ITC Avant Garde"/>
                <w:b/>
                <w:bCs/>
                <w:i/>
                <w:color w:val="000000"/>
                <w:sz w:val="16"/>
                <w:szCs w:val="16"/>
                <w:lang w:val="es-ES" w:eastAsia="es-MX"/>
              </w:rPr>
            </w:pPr>
            <w:r w:rsidRPr="00F17180">
              <w:rPr>
                <w:rFonts w:ascii="ITC Avant Garde" w:hAnsi="ITC Avant Garde"/>
                <w:bCs/>
                <w:i/>
                <w:color w:val="000000"/>
                <w:sz w:val="16"/>
                <w:szCs w:val="16"/>
                <w:lang w:val="es-ES" w:eastAsia="es-MX"/>
              </w:rPr>
              <w:t>[…]</w:t>
            </w:r>
          </w:p>
        </w:tc>
      </w:tr>
      <w:tr w:rsidR="00EC1596" w:rsidRPr="00F17180" w14:paraId="36A19616" w14:textId="77777777" w:rsidTr="00F74181">
        <w:trPr>
          <w:jc w:val="center"/>
        </w:trPr>
        <w:tc>
          <w:tcPr>
            <w:tcW w:w="421" w:type="dxa"/>
          </w:tcPr>
          <w:p w14:paraId="0EB864CD" w14:textId="77777777" w:rsidR="00EC1596" w:rsidRPr="00F17180" w:rsidRDefault="00EC1596" w:rsidP="00B53D4B">
            <w:pPr>
              <w:ind w:right="-108"/>
              <w:jc w:val="center"/>
              <w:rPr>
                <w:rFonts w:ascii="ITC Avant Garde" w:hAnsi="ITC Avant Garde"/>
                <w:b/>
                <w:bCs/>
                <w:i/>
                <w:color w:val="000000"/>
                <w:sz w:val="16"/>
                <w:szCs w:val="16"/>
                <w:lang w:val="es-ES" w:eastAsia="es-MX"/>
              </w:rPr>
            </w:pPr>
            <w:r w:rsidRPr="00F17180">
              <w:rPr>
                <w:rFonts w:ascii="ITC Avant Garde" w:hAnsi="ITC Avant Garde"/>
                <w:b/>
                <w:bCs/>
                <w:i/>
                <w:color w:val="000000"/>
                <w:sz w:val="16"/>
                <w:szCs w:val="16"/>
                <w:lang w:val="es-ES" w:eastAsia="es-MX"/>
              </w:rPr>
              <w:t>8</w:t>
            </w:r>
          </w:p>
        </w:tc>
        <w:tc>
          <w:tcPr>
            <w:tcW w:w="3685" w:type="dxa"/>
          </w:tcPr>
          <w:p w14:paraId="52FFD67F" w14:textId="77777777" w:rsidR="00EC1596" w:rsidRPr="00F17180" w:rsidRDefault="00EC1596" w:rsidP="00B53D4B">
            <w:pPr>
              <w:ind w:right="96"/>
              <w:jc w:val="center"/>
              <w:rPr>
                <w:rFonts w:ascii="ITC Avant Garde" w:hAnsi="ITC Avant Garde"/>
                <w:b/>
                <w:bCs/>
                <w:i/>
                <w:color w:val="000000"/>
                <w:sz w:val="16"/>
                <w:szCs w:val="16"/>
                <w:lang w:val="es-ES" w:eastAsia="es-MX"/>
              </w:rPr>
            </w:pPr>
            <w:r w:rsidRPr="00F17180">
              <w:rPr>
                <w:rFonts w:ascii="ITC Avant Garde" w:hAnsi="ITC Avant Garde"/>
                <w:bCs/>
                <w:i/>
                <w:color w:val="000000"/>
                <w:sz w:val="16"/>
                <w:szCs w:val="16"/>
                <w:lang w:val="es-ES" w:eastAsia="es-MX"/>
              </w:rPr>
              <w:t>[…]</w:t>
            </w:r>
          </w:p>
        </w:tc>
        <w:tc>
          <w:tcPr>
            <w:tcW w:w="1565" w:type="dxa"/>
          </w:tcPr>
          <w:p w14:paraId="3BD4A166" w14:textId="77777777" w:rsidR="00EC1596" w:rsidRPr="00F17180" w:rsidRDefault="00EC1596" w:rsidP="00B53D4B">
            <w:pPr>
              <w:ind w:right="96"/>
              <w:jc w:val="center"/>
              <w:rPr>
                <w:rFonts w:ascii="ITC Avant Garde" w:hAnsi="ITC Avant Garde"/>
                <w:b/>
                <w:bCs/>
                <w:i/>
                <w:color w:val="000000"/>
                <w:sz w:val="16"/>
                <w:szCs w:val="16"/>
                <w:lang w:val="es-ES" w:eastAsia="es-MX"/>
              </w:rPr>
            </w:pPr>
            <w:r w:rsidRPr="00F17180">
              <w:rPr>
                <w:rFonts w:ascii="ITC Avant Garde" w:hAnsi="ITC Avant Garde"/>
                <w:bCs/>
                <w:i/>
                <w:color w:val="000000"/>
                <w:sz w:val="16"/>
                <w:szCs w:val="16"/>
                <w:lang w:val="es-ES" w:eastAsia="es-MX"/>
              </w:rPr>
              <w:t>[…]</w:t>
            </w:r>
          </w:p>
        </w:tc>
        <w:tc>
          <w:tcPr>
            <w:tcW w:w="2262" w:type="dxa"/>
          </w:tcPr>
          <w:p w14:paraId="6740A908" w14:textId="77777777" w:rsidR="00EC1596" w:rsidRPr="00F17180" w:rsidRDefault="00EC1596" w:rsidP="00B53D4B">
            <w:pPr>
              <w:ind w:right="96"/>
              <w:jc w:val="center"/>
              <w:rPr>
                <w:rFonts w:ascii="ITC Avant Garde" w:hAnsi="ITC Avant Garde"/>
                <w:b/>
                <w:bCs/>
                <w:i/>
                <w:color w:val="000000"/>
                <w:sz w:val="16"/>
                <w:szCs w:val="16"/>
                <w:lang w:val="es-ES" w:eastAsia="es-MX"/>
              </w:rPr>
            </w:pPr>
            <w:r w:rsidRPr="00F17180">
              <w:rPr>
                <w:rFonts w:ascii="ITC Avant Garde" w:hAnsi="ITC Avant Garde"/>
                <w:bCs/>
                <w:i/>
                <w:color w:val="000000"/>
                <w:sz w:val="16"/>
                <w:szCs w:val="16"/>
                <w:lang w:val="es-ES" w:eastAsia="es-MX"/>
              </w:rPr>
              <w:t>[…]</w:t>
            </w:r>
          </w:p>
        </w:tc>
      </w:tr>
      <w:tr w:rsidR="00EC1596" w:rsidRPr="00F17180" w14:paraId="5578FC2E" w14:textId="77777777" w:rsidTr="00F74181">
        <w:trPr>
          <w:jc w:val="center"/>
        </w:trPr>
        <w:tc>
          <w:tcPr>
            <w:tcW w:w="421" w:type="dxa"/>
          </w:tcPr>
          <w:p w14:paraId="70079F55" w14:textId="77777777" w:rsidR="00EC1596" w:rsidRPr="00F17180" w:rsidRDefault="00EC1596" w:rsidP="00B53D4B">
            <w:pPr>
              <w:ind w:right="-108"/>
              <w:jc w:val="center"/>
              <w:rPr>
                <w:rFonts w:ascii="ITC Avant Garde" w:hAnsi="ITC Avant Garde"/>
                <w:b/>
                <w:bCs/>
                <w:i/>
                <w:color w:val="000000"/>
                <w:sz w:val="16"/>
                <w:szCs w:val="16"/>
                <w:lang w:val="es-ES" w:eastAsia="es-MX"/>
              </w:rPr>
            </w:pPr>
            <w:r w:rsidRPr="00F17180">
              <w:rPr>
                <w:rFonts w:ascii="ITC Avant Garde" w:hAnsi="ITC Avant Garde"/>
                <w:b/>
                <w:bCs/>
                <w:i/>
                <w:color w:val="000000"/>
                <w:sz w:val="16"/>
                <w:szCs w:val="16"/>
                <w:lang w:val="es-ES" w:eastAsia="es-MX"/>
              </w:rPr>
              <w:t>9</w:t>
            </w:r>
          </w:p>
        </w:tc>
        <w:tc>
          <w:tcPr>
            <w:tcW w:w="3685" w:type="dxa"/>
          </w:tcPr>
          <w:p w14:paraId="6F787BCF" w14:textId="77777777" w:rsidR="00EC1596" w:rsidRPr="00F17180" w:rsidRDefault="00EC1596" w:rsidP="00B53D4B">
            <w:pPr>
              <w:ind w:right="96"/>
              <w:jc w:val="center"/>
              <w:rPr>
                <w:rFonts w:ascii="ITC Avant Garde" w:hAnsi="ITC Avant Garde"/>
                <w:b/>
                <w:bCs/>
                <w:i/>
                <w:color w:val="000000"/>
                <w:sz w:val="16"/>
                <w:szCs w:val="16"/>
                <w:lang w:val="es-ES" w:eastAsia="es-MX"/>
              </w:rPr>
            </w:pPr>
            <w:r w:rsidRPr="00F17180">
              <w:rPr>
                <w:rFonts w:ascii="ITC Avant Garde" w:hAnsi="ITC Avant Garde"/>
                <w:bCs/>
                <w:i/>
                <w:color w:val="000000"/>
                <w:sz w:val="16"/>
                <w:szCs w:val="16"/>
                <w:lang w:val="es-ES" w:eastAsia="es-MX"/>
              </w:rPr>
              <w:t>[…]</w:t>
            </w:r>
          </w:p>
        </w:tc>
        <w:tc>
          <w:tcPr>
            <w:tcW w:w="1565" w:type="dxa"/>
          </w:tcPr>
          <w:p w14:paraId="7C329ED2" w14:textId="77777777" w:rsidR="00EC1596" w:rsidRPr="00F17180" w:rsidRDefault="00EC1596" w:rsidP="00B53D4B">
            <w:pPr>
              <w:ind w:right="96"/>
              <w:jc w:val="center"/>
              <w:rPr>
                <w:rFonts w:ascii="ITC Avant Garde" w:hAnsi="ITC Avant Garde"/>
                <w:b/>
                <w:bCs/>
                <w:i/>
                <w:color w:val="000000"/>
                <w:sz w:val="16"/>
                <w:szCs w:val="16"/>
                <w:lang w:val="es-ES" w:eastAsia="es-MX"/>
              </w:rPr>
            </w:pPr>
            <w:r w:rsidRPr="00F17180">
              <w:rPr>
                <w:rFonts w:ascii="ITC Avant Garde" w:hAnsi="ITC Avant Garde"/>
                <w:bCs/>
                <w:i/>
                <w:color w:val="000000"/>
                <w:sz w:val="16"/>
                <w:szCs w:val="16"/>
                <w:lang w:val="es-ES" w:eastAsia="es-MX"/>
              </w:rPr>
              <w:t>[…]</w:t>
            </w:r>
          </w:p>
        </w:tc>
        <w:tc>
          <w:tcPr>
            <w:tcW w:w="2262" w:type="dxa"/>
          </w:tcPr>
          <w:p w14:paraId="3D03CA69" w14:textId="77777777" w:rsidR="00EC1596" w:rsidRPr="00F17180" w:rsidRDefault="00EC1596" w:rsidP="00B53D4B">
            <w:pPr>
              <w:ind w:right="96"/>
              <w:jc w:val="center"/>
              <w:rPr>
                <w:rFonts w:ascii="ITC Avant Garde" w:hAnsi="ITC Avant Garde"/>
                <w:b/>
                <w:bCs/>
                <w:i/>
                <w:color w:val="000000"/>
                <w:sz w:val="16"/>
                <w:szCs w:val="16"/>
                <w:lang w:val="es-ES" w:eastAsia="es-MX"/>
              </w:rPr>
            </w:pPr>
            <w:r w:rsidRPr="00F17180">
              <w:rPr>
                <w:rFonts w:ascii="ITC Avant Garde" w:hAnsi="ITC Avant Garde"/>
                <w:bCs/>
                <w:i/>
                <w:color w:val="000000"/>
                <w:sz w:val="16"/>
                <w:szCs w:val="16"/>
                <w:lang w:val="es-ES" w:eastAsia="es-MX"/>
              </w:rPr>
              <w:t>[…]</w:t>
            </w:r>
          </w:p>
        </w:tc>
      </w:tr>
    </w:tbl>
    <w:p w14:paraId="1D6F48FB" w14:textId="77777777" w:rsidR="00EC1596" w:rsidRDefault="00EC1596" w:rsidP="00B53D4B">
      <w:pPr>
        <w:ind w:right="96"/>
        <w:jc w:val="both"/>
        <w:rPr>
          <w:rFonts w:ascii="ITC Avant Garde" w:eastAsia="Calibri" w:hAnsi="ITC Avant Garde"/>
          <w:bCs/>
          <w:color w:val="000000"/>
          <w:sz w:val="16"/>
          <w:szCs w:val="16"/>
          <w:lang w:eastAsia="es-MX"/>
        </w:rPr>
      </w:pPr>
    </w:p>
    <w:p w14:paraId="381F5B4D" w14:textId="77777777" w:rsidR="007C0BC7" w:rsidRPr="00F17180" w:rsidRDefault="007C0BC7" w:rsidP="00B53D4B">
      <w:pPr>
        <w:ind w:right="96"/>
        <w:jc w:val="both"/>
        <w:rPr>
          <w:rFonts w:ascii="ITC Avant Garde" w:eastAsia="Calibri" w:hAnsi="ITC Avant Garde"/>
          <w:bCs/>
          <w:color w:val="000000"/>
          <w:sz w:val="16"/>
          <w:szCs w:val="16"/>
          <w:lang w:eastAsia="es-MX"/>
        </w:rPr>
      </w:pPr>
    </w:p>
    <w:p w14:paraId="514F779C" w14:textId="77777777" w:rsidR="00EC1596" w:rsidRPr="00F17180" w:rsidRDefault="00EC1596" w:rsidP="00B53D4B">
      <w:pPr>
        <w:ind w:left="708" w:right="528"/>
        <w:jc w:val="both"/>
        <w:rPr>
          <w:rFonts w:ascii="ITC Avant Garde" w:eastAsia="Calibri" w:hAnsi="ITC Avant Garde"/>
          <w:bCs/>
          <w:i/>
          <w:color w:val="000000"/>
          <w:sz w:val="16"/>
          <w:szCs w:val="16"/>
          <w:lang w:eastAsia="es-MX"/>
        </w:rPr>
      </w:pPr>
      <w:r w:rsidRPr="00F17180">
        <w:rPr>
          <w:rFonts w:ascii="ITC Avant Garde" w:eastAsia="Calibri" w:hAnsi="ITC Avant Garde"/>
          <w:bCs/>
          <w:i/>
          <w:color w:val="000000"/>
          <w:sz w:val="16"/>
          <w:szCs w:val="16"/>
          <w:lang w:eastAsia="es-MX"/>
        </w:rPr>
        <w:t>Del monto de aprovechamiento anterior, las empresas concesionarias podrán disminuir una cantidad equivalente a los derechos y/o aprovechamientos federales relativos al uso, goce, aprovechamiento o explotación del espectro radioeléctrico asociados a las concesiones que en su caso se prorroguen y que hayan sido pagados desde la fecha de vencimiento de la concesión, hasta la fecha en que el concesionario pague el aprovechamiento con motivo de la prórroga de la vigencia de las concesiones respectivas. Esta operación, se podrá realizar siempre y cuando los pagos efectivamente realizados por concepto de derechos y/o aprovechamientos cuyo importe se pretenda restar hayan sido pagados de manera definitiva y no sean devueltos por las autoridades fiscales.</w:t>
      </w:r>
    </w:p>
    <w:p w14:paraId="70AC7EE0" w14:textId="77777777" w:rsidR="00EC1596" w:rsidRPr="00F17180" w:rsidRDefault="00EC1596" w:rsidP="00B53D4B">
      <w:pPr>
        <w:ind w:left="708" w:right="528"/>
        <w:jc w:val="both"/>
        <w:rPr>
          <w:rFonts w:ascii="ITC Avant Garde" w:eastAsia="Calibri" w:hAnsi="ITC Avant Garde"/>
          <w:bCs/>
          <w:i/>
          <w:color w:val="000000"/>
          <w:sz w:val="16"/>
          <w:szCs w:val="16"/>
          <w:lang w:eastAsia="es-MX"/>
        </w:rPr>
      </w:pPr>
    </w:p>
    <w:p w14:paraId="6098E860" w14:textId="113BD5FD" w:rsidR="00EC1596" w:rsidRDefault="00EC1596" w:rsidP="00331ADC">
      <w:pPr>
        <w:ind w:left="708" w:right="528"/>
        <w:jc w:val="both"/>
        <w:rPr>
          <w:rFonts w:ascii="ITC Avant Garde" w:eastAsia="Calibri" w:hAnsi="ITC Avant Garde"/>
          <w:bCs/>
          <w:i/>
          <w:color w:val="000000"/>
          <w:sz w:val="16"/>
          <w:szCs w:val="16"/>
          <w:lang w:eastAsia="es-MX"/>
        </w:rPr>
      </w:pPr>
      <w:r w:rsidRPr="00F17180">
        <w:rPr>
          <w:rFonts w:ascii="ITC Avant Garde" w:eastAsia="Calibri" w:hAnsi="ITC Avant Garde"/>
          <w:bCs/>
          <w:i/>
          <w:color w:val="000000"/>
          <w:sz w:val="16"/>
          <w:szCs w:val="16"/>
          <w:lang w:eastAsia="es-MX"/>
        </w:rPr>
        <w:t xml:space="preserve">Los montos que se podrán restar de este aprovechamiento se deberán actualizar a partir de la fecha en que se hubieran cubierto, tanto en términos del artículo 17-A del CFF, como por el factor que refleja la tasa real de fondeo promedio del Gobierno Federal en </w:t>
      </w:r>
      <w:proofErr w:type="spellStart"/>
      <w:r w:rsidRPr="00F17180">
        <w:rPr>
          <w:rFonts w:ascii="ITC Avant Garde" w:eastAsia="Calibri" w:hAnsi="ITC Avant Garde"/>
          <w:bCs/>
          <w:i/>
          <w:color w:val="000000"/>
          <w:sz w:val="16"/>
          <w:szCs w:val="16"/>
          <w:lang w:eastAsia="es-MX"/>
        </w:rPr>
        <w:t>Udibonos</w:t>
      </w:r>
      <w:proofErr w:type="spellEnd"/>
      <w:r w:rsidRPr="00F17180">
        <w:rPr>
          <w:rFonts w:ascii="ITC Avant Garde" w:eastAsia="Calibri" w:hAnsi="ITC Avant Garde"/>
          <w:bCs/>
          <w:i/>
          <w:color w:val="000000"/>
          <w:sz w:val="16"/>
          <w:szCs w:val="16"/>
          <w:lang w:eastAsia="es-MX"/>
        </w:rPr>
        <w:t xml:space="preserve"> que se colocaron al menor plazo en colocaciones primarias, según el año en que se efectuaron los pagos de acuerdo con la tabla siguiente:</w:t>
      </w:r>
    </w:p>
    <w:p w14:paraId="25FE6DB8" w14:textId="77777777" w:rsidR="007C0BC7" w:rsidRDefault="007C0BC7" w:rsidP="00B53D4B">
      <w:pPr>
        <w:ind w:left="567" w:right="527"/>
        <w:jc w:val="both"/>
        <w:rPr>
          <w:rFonts w:ascii="ITC Avant Garde" w:eastAsia="Calibri" w:hAnsi="ITC Avant Garde"/>
          <w:bCs/>
          <w:i/>
          <w:color w:val="000000"/>
          <w:sz w:val="16"/>
          <w:szCs w:val="16"/>
          <w:lang w:eastAsia="es-MX"/>
        </w:rPr>
      </w:pPr>
    </w:p>
    <w:p w14:paraId="2CC3F008" w14:textId="77777777" w:rsidR="007C0BC7" w:rsidRPr="00F17180" w:rsidRDefault="007C0BC7" w:rsidP="00B53D4B">
      <w:pPr>
        <w:ind w:left="567" w:right="527"/>
        <w:jc w:val="both"/>
        <w:rPr>
          <w:rFonts w:ascii="ITC Avant Garde" w:eastAsia="Calibri" w:hAnsi="ITC Avant Garde"/>
          <w:bCs/>
          <w:i/>
          <w:color w:val="000000"/>
          <w:sz w:val="16"/>
          <w:szCs w:val="16"/>
          <w:lang w:eastAsia="es-MX"/>
        </w:rPr>
      </w:pPr>
    </w:p>
    <w:p w14:paraId="172BF3D0" w14:textId="7E1F5D5C" w:rsidR="00D775FA" w:rsidRPr="00F17180" w:rsidRDefault="00F74181" w:rsidP="00F74181">
      <w:pPr>
        <w:ind w:left="567" w:right="527"/>
        <w:jc w:val="center"/>
        <w:rPr>
          <w:rFonts w:ascii="ITC Avant Garde" w:eastAsia="Calibri" w:hAnsi="ITC Avant Garde"/>
          <w:bCs/>
          <w:i/>
          <w:color w:val="000000"/>
          <w:sz w:val="16"/>
          <w:szCs w:val="16"/>
          <w:lang w:eastAsia="es-MX"/>
        </w:rPr>
      </w:pPr>
      <w:r w:rsidRPr="00F17180">
        <w:rPr>
          <w:rFonts w:ascii="ITC Avant Garde" w:eastAsia="Calibri" w:hAnsi="ITC Avant Garde"/>
          <w:b/>
          <w:bCs/>
          <w:i/>
          <w:color w:val="000000"/>
          <w:sz w:val="16"/>
          <w:szCs w:val="16"/>
          <w:lang w:eastAsia="es-MX"/>
        </w:rPr>
        <w:t>Factor de actualización anual</w:t>
      </w:r>
    </w:p>
    <w:tbl>
      <w:tblPr>
        <w:tblStyle w:val="Tablaconcuadrcula"/>
        <w:tblW w:w="0" w:type="auto"/>
        <w:jc w:val="center"/>
        <w:tblLayout w:type="fixed"/>
        <w:tblLook w:val="04A0" w:firstRow="1" w:lastRow="0" w:firstColumn="1" w:lastColumn="0" w:noHBand="0" w:noVBand="1"/>
        <w:tblCaption w:val="Factor de actualización anual."/>
        <w:tblDescription w:val="De los años 2005 al 2015."/>
      </w:tblPr>
      <w:tblGrid>
        <w:gridCol w:w="562"/>
        <w:gridCol w:w="709"/>
        <w:gridCol w:w="709"/>
        <w:gridCol w:w="709"/>
        <w:gridCol w:w="708"/>
        <w:gridCol w:w="709"/>
        <w:gridCol w:w="709"/>
        <w:gridCol w:w="709"/>
        <w:gridCol w:w="708"/>
        <w:gridCol w:w="709"/>
        <w:gridCol w:w="709"/>
        <w:gridCol w:w="709"/>
      </w:tblGrid>
      <w:tr w:rsidR="00EC1596" w:rsidRPr="00F17180" w14:paraId="53043667" w14:textId="77777777" w:rsidTr="00F74181">
        <w:trPr>
          <w:tblHeader/>
          <w:jc w:val="center"/>
        </w:trPr>
        <w:tc>
          <w:tcPr>
            <w:tcW w:w="562" w:type="dxa"/>
            <w:shd w:val="clear" w:color="auto" w:fill="A6A6A6" w:themeFill="background1" w:themeFillShade="A6"/>
          </w:tcPr>
          <w:p w14:paraId="5CF69CB7" w14:textId="77777777" w:rsidR="00EC1596" w:rsidRPr="00F17180" w:rsidRDefault="00EC1596" w:rsidP="00B53D4B">
            <w:pPr>
              <w:ind w:right="-108"/>
              <w:jc w:val="center"/>
              <w:rPr>
                <w:rFonts w:ascii="ITC Avant Garde" w:eastAsia="Calibri" w:hAnsi="ITC Avant Garde"/>
                <w:bCs/>
                <w:i/>
                <w:color w:val="000000"/>
                <w:sz w:val="16"/>
                <w:szCs w:val="16"/>
                <w:lang w:eastAsia="es-MX"/>
              </w:rPr>
            </w:pPr>
            <w:r w:rsidRPr="00F17180">
              <w:rPr>
                <w:rFonts w:ascii="ITC Avant Garde" w:eastAsia="Calibri" w:hAnsi="ITC Avant Garde"/>
                <w:bCs/>
                <w:i/>
                <w:color w:val="000000"/>
                <w:sz w:val="16"/>
                <w:szCs w:val="16"/>
                <w:lang w:eastAsia="es-MX"/>
              </w:rPr>
              <w:t>Año</w:t>
            </w:r>
          </w:p>
        </w:tc>
        <w:tc>
          <w:tcPr>
            <w:tcW w:w="709" w:type="dxa"/>
            <w:shd w:val="clear" w:color="auto" w:fill="A6A6A6" w:themeFill="background1" w:themeFillShade="A6"/>
          </w:tcPr>
          <w:p w14:paraId="7BE6F071" w14:textId="77777777" w:rsidR="00EC1596" w:rsidRPr="00F17180" w:rsidRDefault="00EC1596" w:rsidP="00B53D4B">
            <w:pPr>
              <w:ind w:right="96"/>
              <w:jc w:val="center"/>
              <w:rPr>
                <w:rFonts w:ascii="ITC Avant Garde" w:eastAsia="Calibri" w:hAnsi="ITC Avant Garde"/>
                <w:bCs/>
                <w:i/>
                <w:color w:val="000000"/>
                <w:sz w:val="16"/>
                <w:szCs w:val="16"/>
                <w:lang w:eastAsia="es-MX"/>
              </w:rPr>
            </w:pPr>
            <w:r w:rsidRPr="00F17180">
              <w:rPr>
                <w:rFonts w:ascii="ITC Avant Garde" w:eastAsia="Calibri" w:hAnsi="ITC Avant Garde"/>
                <w:bCs/>
                <w:i/>
                <w:color w:val="000000"/>
                <w:sz w:val="16"/>
                <w:szCs w:val="16"/>
                <w:lang w:eastAsia="es-MX"/>
              </w:rPr>
              <w:t>2005</w:t>
            </w:r>
          </w:p>
        </w:tc>
        <w:tc>
          <w:tcPr>
            <w:tcW w:w="709" w:type="dxa"/>
            <w:shd w:val="clear" w:color="auto" w:fill="A6A6A6" w:themeFill="background1" w:themeFillShade="A6"/>
          </w:tcPr>
          <w:p w14:paraId="65A328B1" w14:textId="77777777" w:rsidR="00EC1596" w:rsidRPr="00F17180" w:rsidRDefault="00EC1596" w:rsidP="00B53D4B">
            <w:pPr>
              <w:ind w:right="96"/>
              <w:jc w:val="center"/>
              <w:rPr>
                <w:rFonts w:ascii="ITC Avant Garde" w:eastAsia="Calibri" w:hAnsi="ITC Avant Garde"/>
                <w:bCs/>
                <w:i/>
                <w:color w:val="000000"/>
                <w:sz w:val="16"/>
                <w:szCs w:val="16"/>
                <w:lang w:eastAsia="es-MX"/>
              </w:rPr>
            </w:pPr>
            <w:r w:rsidRPr="00F17180">
              <w:rPr>
                <w:rFonts w:ascii="ITC Avant Garde" w:eastAsia="Calibri" w:hAnsi="ITC Avant Garde"/>
                <w:bCs/>
                <w:i/>
                <w:color w:val="000000"/>
                <w:sz w:val="16"/>
                <w:szCs w:val="16"/>
                <w:lang w:eastAsia="es-MX"/>
              </w:rPr>
              <w:t>2006</w:t>
            </w:r>
          </w:p>
        </w:tc>
        <w:tc>
          <w:tcPr>
            <w:tcW w:w="709" w:type="dxa"/>
            <w:shd w:val="clear" w:color="auto" w:fill="A6A6A6" w:themeFill="background1" w:themeFillShade="A6"/>
          </w:tcPr>
          <w:p w14:paraId="3F5D0211" w14:textId="77777777" w:rsidR="00EC1596" w:rsidRPr="00F17180" w:rsidRDefault="00EC1596" w:rsidP="00B53D4B">
            <w:pPr>
              <w:ind w:right="96"/>
              <w:jc w:val="center"/>
              <w:rPr>
                <w:rFonts w:ascii="ITC Avant Garde" w:eastAsia="Calibri" w:hAnsi="ITC Avant Garde"/>
                <w:bCs/>
                <w:i/>
                <w:color w:val="000000"/>
                <w:sz w:val="16"/>
                <w:szCs w:val="16"/>
                <w:lang w:eastAsia="es-MX"/>
              </w:rPr>
            </w:pPr>
            <w:r w:rsidRPr="00F17180">
              <w:rPr>
                <w:rFonts w:ascii="ITC Avant Garde" w:eastAsia="Calibri" w:hAnsi="ITC Avant Garde"/>
                <w:bCs/>
                <w:i/>
                <w:color w:val="000000"/>
                <w:sz w:val="16"/>
                <w:szCs w:val="16"/>
                <w:lang w:eastAsia="es-MX"/>
              </w:rPr>
              <w:t>2007</w:t>
            </w:r>
          </w:p>
        </w:tc>
        <w:tc>
          <w:tcPr>
            <w:tcW w:w="708" w:type="dxa"/>
            <w:shd w:val="clear" w:color="auto" w:fill="A6A6A6" w:themeFill="background1" w:themeFillShade="A6"/>
          </w:tcPr>
          <w:p w14:paraId="6E251200" w14:textId="77777777" w:rsidR="00EC1596" w:rsidRPr="00F17180" w:rsidRDefault="00EC1596" w:rsidP="00B53D4B">
            <w:pPr>
              <w:ind w:right="96"/>
              <w:jc w:val="center"/>
              <w:rPr>
                <w:rFonts w:ascii="ITC Avant Garde" w:eastAsia="Calibri" w:hAnsi="ITC Avant Garde"/>
                <w:bCs/>
                <w:i/>
                <w:color w:val="000000"/>
                <w:sz w:val="16"/>
                <w:szCs w:val="16"/>
                <w:lang w:eastAsia="es-MX"/>
              </w:rPr>
            </w:pPr>
            <w:r w:rsidRPr="00F17180">
              <w:rPr>
                <w:rFonts w:ascii="ITC Avant Garde" w:eastAsia="Calibri" w:hAnsi="ITC Avant Garde"/>
                <w:bCs/>
                <w:i/>
                <w:color w:val="000000"/>
                <w:sz w:val="16"/>
                <w:szCs w:val="16"/>
                <w:lang w:eastAsia="es-MX"/>
              </w:rPr>
              <w:t>2008</w:t>
            </w:r>
          </w:p>
        </w:tc>
        <w:tc>
          <w:tcPr>
            <w:tcW w:w="709" w:type="dxa"/>
            <w:shd w:val="clear" w:color="auto" w:fill="A6A6A6" w:themeFill="background1" w:themeFillShade="A6"/>
          </w:tcPr>
          <w:p w14:paraId="1F308350" w14:textId="77777777" w:rsidR="00EC1596" w:rsidRPr="00F17180" w:rsidRDefault="00EC1596" w:rsidP="00B53D4B">
            <w:pPr>
              <w:ind w:right="96"/>
              <w:jc w:val="center"/>
              <w:rPr>
                <w:rFonts w:ascii="ITC Avant Garde" w:eastAsia="Calibri" w:hAnsi="ITC Avant Garde"/>
                <w:bCs/>
                <w:i/>
                <w:color w:val="000000"/>
                <w:sz w:val="16"/>
                <w:szCs w:val="16"/>
                <w:lang w:eastAsia="es-MX"/>
              </w:rPr>
            </w:pPr>
            <w:r w:rsidRPr="00F17180">
              <w:rPr>
                <w:rFonts w:ascii="ITC Avant Garde" w:eastAsia="Calibri" w:hAnsi="ITC Avant Garde"/>
                <w:bCs/>
                <w:i/>
                <w:color w:val="000000"/>
                <w:sz w:val="16"/>
                <w:szCs w:val="16"/>
                <w:lang w:eastAsia="es-MX"/>
              </w:rPr>
              <w:t>2009</w:t>
            </w:r>
          </w:p>
        </w:tc>
        <w:tc>
          <w:tcPr>
            <w:tcW w:w="709" w:type="dxa"/>
            <w:shd w:val="clear" w:color="auto" w:fill="A6A6A6" w:themeFill="background1" w:themeFillShade="A6"/>
          </w:tcPr>
          <w:p w14:paraId="232A4A8A" w14:textId="77777777" w:rsidR="00EC1596" w:rsidRPr="00F17180" w:rsidRDefault="00EC1596" w:rsidP="00B53D4B">
            <w:pPr>
              <w:ind w:right="96"/>
              <w:jc w:val="center"/>
              <w:rPr>
                <w:rFonts w:ascii="ITC Avant Garde" w:eastAsia="Calibri" w:hAnsi="ITC Avant Garde"/>
                <w:bCs/>
                <w:i/>
                <w:color w:val="000000"/>
                <w:sz w:val="16"/>
                <w:szCs w:val="16"/>
                <w:lang w:eastAsia="es-MX"/>
              </w:rPr>
            </w:pPr>
            <w:r w:rsidRPr="00F17180">
              <w:rPr>
                <w:rFonts w:ascii="ITC Avant Garde" w:eastAsia="Calibri" w:hAnsi="ITC Avant Garde"/>
                <w:bCs/>
                <w:i/>
                <w:color w:val="000000"/>
                <w:sz w:val="16"/>
                <w:szCs w:val="16"/>
                <w:lang w:eastAsia="es-MX"/>
              </w:rPr>
              <w:t>2010</w:t>
            </w:r>
          </w:p>
        </w:tc>
        <w:tc>
          <w:tcPr>
            <w:tcW w:w="709" w:type="dxa"/>
            <w:shd w:val="clear" w:color="auto" w:fill="A6A6A6" w:themeFill="background1" w:themeFillShade="A6"/>
          </w:tcPr>
          <w:p w14:paraId="287A45A2" w14:textId="77777777" w:rsidR="00EC1596" w:rsidRPr="00F17180" w:rsidRDefault="00EC1596" w:rsidP="00B53D4B">
            <w:pPr>
              <w:ind w:right="96"/>
              <w:jc w:val="center"/>
              <w:rPr>
                <w:rFonts w:ascii="ITC Avant Garde" w:eastAsia="Calibri" w:hAnsi="ITC Avant Garde"/>
                <w:bCs/>
                <w:i/>
                <w:color w:val="000000"/>
                <w:sz w:val="16"/>
                <w:szCs w:val="16"/>
                <w:lang w:eastAsia="es-MX"/>
              </w:rPr>
            </w:pPr>
            <w:r w:rsidRPr="00F17180">
              <w:rPr>
                <w:rFonts w:ascii="ITC Avant Garde" w:eastAsia="Calibri" w:hAnsi="ITC Avant Garde"/>
                <w:bCs/>
                <w:i/>
                <w:color w:val="000000"/>
                <w:sz w:val="16"/>
                <w:szCs w:val="16"/>
                <w:lang w:eastAsia="es-MX"/>
              </w:rPr>
              <w:t>2011</w:t>
            </w:r>
          </w:p>
        </w:tc>
        <w:tc>
          <w:tcPr>
            <w:tcW w:w="708" w:type="dxa"/>
            <w:shd w:val="clear" w:color="auto" w:fill="A6A6A6" w:themeFill="background1" w:themeFillShade="A6"/>
          </w:tcPr>
          <w:p w14:paraId="75CE25D9" w14:textId="77777777" w:rsidR="00EC1596" w:rsidRPr="00F17180" w:rsidRDefault="00EC1596" w:rsidP="00B53D4B">
            <w:pPr>
              <w:ind w:right="96"/>
              <w:jc w:val="center"/>
              <w:rPr>
                <w:rFonts w:ascii="ITC Avant Garde" w:eastAsia="Calibri" w:hAnsi="ITC Avant Garde"/>
                <w:bCs/>
                <w:i/>
                <w:color w:val="000000"/>
                <w:sz w:val="16"/>
                <w:szCs w:val="16"/>
                <w:lang w:eastAsia="es-MX"/>
              </w:rPr>
            </w:pPr>
            <w:r w:rsidRPr="00F17180">
              <w:rPr>
                <w:rFonts w:ascii="ITC Avant Garde" w:eastAsia="Calibri" w:hAnsi="ITC Avant Garde"/>
                <w:bCs/>
                <w:i/>
                <w:color w:val="000000"/>
                <w:sz w:val="16"/>
                <w:szCs w:val="16"/>
                <w:lang w:eastAsia="es-MX"/>
              </w:rPr>
              <w:t>2012</w:t>
            </w:r>
          </w:p>
        </w:tc>
        <w:tc>
          <w:tcPr>
            <w:tcW w:w="709" w:type="dxa"/>
            <w:shd w:val="clear" w:color="auto" w:fill="A6A6A6" w:themeFill="background1" w:themeFillShade="A6"/>
          </w:tcPr>
          <w:p w14:paraId="008EF969" w14:textId="77777777" w:rsidR="00EC1596" w:rsidRPr="00F17180" w:rsidRDefault="00EC1596" w:rsidP="00B53D4B">
            <w:pPr>
              <w:ind w:right="96"/>
              <w:jc w:val="center"/>
              <w:rPr>
                <w:rFonts w:ascii="ITC Avant Garde" w:eastAsia="Calibri" w:hAnsi="ITC Avant Garde"/>
                <w:bCs/>
                <w:i/>
                <w:color w:val="000000"/>
                <w:sz w:val="16"/>
                <w:szCs w:val="16"/>
                <w:lang w:eastAsia="es-MX"/>
              </w:rPr>
            </w:pPr>
            <w:r w:rsidRPr="00F17180">
              <w:rPr>
                <w:rFonts w:ascii="ITC Avant Garde" w:eastAsia="Calibri" w:hAnsi="ITC Avant Garde"/>
                <w:bCs/>
                <w:i/>
                <w:color w:val="000000"/>
                <w:sz w:val="16"/>
                <w:szCs w:val="16"/>
                <w:lang w:eastAsia="es-MX"/>
              </w:rPr>
              <w:t>2013</w:t>
            </w:r>
          </w:p>
        </w:tc>
        <w:tc>
          <w:tcPr>
            <w:tcW w:w="709" w:type="dxa"/>
            <w:shd w:val="clear" w:color="auto" w:fill="A6A6A6" w:themeFill="background1" w:themeFillShade="A6"/>
          </w:tcPr>
          <w:p w14:paraId="0802E320" w14:textId="77777777" w:rsidR="00EC1596" w:rsidRPr="00F17180" w:rsidRDefault="00EC1596" w:rsidP="00B53D4B">
            <w:pPr>
              <w:ind w:right="96"/>
              <w:jc w:val="center"/>
              <w:rPr>
                <w:rFonts w:ascii="ITC Avant Garde" w:eastAsia="Calibri" w:hAnsi="ITC Avant Garde"/>
                <w:bCs/>
                <w:i/>
                <w:color w:val="000000"/>
                <w:sz w:val="16"/>
                <w:szCs w:val="16"/>
                <w:lang w:eastAsia="es-MX"/>
              </w:rPr>
            </w:pPr>
            <w:r w:rsidRPr="00F17180">
              <w:rPr>
                <w:rFonts w:ascii="ITC Avant Garde" w:eastAsia="Calibri" w:hAnsi="ITC Avant Garde"/>
                <w:bCs/>
                <w:i/>
                <w:color w:val="000000"/>
                <w:sz w:val="16"/>
                <w:szCs w:val="16"/>
                <w:lang w:eastAsia="es-MX"/>
              </w:rPr>
              <w:t>2014</w:t>
            </w:r>
          </w:p>
        </w:tc>
        <w:tc>
          <w:tcPr>
            <w:tcW w:w="709" w:type="dxa"/>
            <w:shd w:val="clear" w:color="auto" w:fill="A6A6A6" w:themeFill="background1" w:themeFillShade="A6"/>
          </w:tcPr>
          <w:p w14:paraId="71CFFC05" w14:textId="77777777" w:rsidR="00EC1596" w:rsidRPr="00F17180" w:rsidRDefault="00EC1596" w:rsidP="00B53D4B">
            <w:pPr>
              <w:ind w:right="96"/>
              <w:jc w:val="center"/>
              <w:rPr>
                <w:rFonts w:ascii="ITC Avant Garde" w:eastAsia="Calibri" w:hAnsi="ITC Avant Garde"/>
                <w:bCs/>
                <w:i/>
                <w:color w:val="000000"/>
                <w:sz w:val="16"/>
                <w:szCs w:val="16"/>
                <w:lang w:eastAsia="es-MX"/>
              </w:rPr>
            </w:pPr>
            <w:r w:rsidRPr="00F17180">
              <w:rPr>
                <w:rFonts w:ascii="ITC Avant Garde" w:eastAsia="Calibri" w:hAnsi="ITC Avant Garde"/>
                <w:bCs/>
                <w:i/>
                <w:color w:val="000000"/>
                <w:sz w:val="16"/>
                <w:szCs w:val="16"/>
                <w:lang w:eastAsia="es-MX"/>
              </w:rPr>
              <w:t>2015</w:t>
            </w:r>
          </w:p>
        </w:tc>
      </w:tr>
      <w:tr w:rsidR="00EC1596" w:rsidRPr="00F17180" w14:paraId="5512EC1B" w14:textId="77777777" w:rsidTr="00F74181">
        <w:trPr>
          <w:jc w:val="center"/>
        </w:trPr>
        <w:tc>
          <w:tcPr>
            <w:tcW w:w="562" w:type="dxa"/>
          </w:tcPr>
          <w:p w14:paraId="63A7E2E9" w14:textId="77777777" w:rsidR="00EC1596" w:rsidRPr="00F17180" w:rsidRDefault="00EC1596" w:rsidP="00B53D4B">
            <w:pPr>
              <w:ind w:left="-113" w:right="-108"/>
              <w:jc w:val="center"/>
              <w:rPr>
                <w:rFonts w:ascii="ITC Avant Garde" w:hAnsi="ITC Avant Garde"/>
                <w:bCs/>
                <w:i/>
                <w:color w:val="000000"/>
                <w:sz w:val="16"/>
                <w:szCs w:val="16"/>
                <w:lang w:val="es-ES" w:eastAsia="es-MX"/>
              </w:rPr>
            </w:pPr>
            <w:r w:rsidRPr="00F17180">
              <w:rPr>
                <w:rFonts w:ascii="ITC Avant Garde" w:hAnsi="ITC Avant Garde"/>
                <w:bCs/>
                <w:i/>
                <w:color w:val="000000"/>
                <w:sz w:val="16"/>
                <w:szCs w:val="16"/>
                <w:lang w:val="es-ES" w:eastAsia="es-MX"/>
              </w:rPr>
              <w:t>Factor</w:t>
            </w:r>
          </w:p>
        </w:tc>
        <w:tc>
          <w:tcPr>
            <w:tcW w:w="709" w:type="dxa"/>
          </w:tcPr>
          <w:p w14:paraId="3AB8E826" w14:textId="77777777" w:rsidR="00EC1596" w:rsidRPr="00F17180" w:rsidRDefault="00EC1596" w:rsidP="00B53D4B">
            <w:pPr>
              <w:ind w:right="-103"/>
              <w:jc w:val="center"/>
              <w:rPr>
                <w:rFonts w:ascii="ITC Avant Garde" w:hAnsi="ITC Avant Garde"/>
                <w:b/>
                <w:bCs/>
                <w:color w:val="000000"/>
                <w:sz w:val="16"/>
                <w:szCs w:val="16"/>
                <w:lang w:val="es-ES" w:eastAsia="es-MX"/>
              </w:rPr>
            </w:pPr>
            <w:r w:rsidRPr="00F17180">
              <w:rPr>
                <w:rFonts w:ascii="ITC Avant Garde" w:eastAsia="Calibri" w:hAnsi="ITC Avant Garde"/>
                <w:bCs/>
                <w:i/>
                <w:color w:val="000000"/>
                <w:sz w:val="16"/>
                <w:szCs w:val="16"/>
                <w:lang w:eastAsia="es-MX"/>
              </w:rPr>
              <w:t>1.3564</w:t>
            </w:r>
          </w:p>
        </w:tc>
        <w:tc>
          <w:tcPr>
            <w:tcW w:w="709" w:type="dxa"/>
          </w:tcPr>
          <w:p w14:paraId="62AEDC09" w14:textId="77777777" w:rsidR="00EC1596" w:rsidRPr="00F17180" w:rsidRDefault="00EC1596" w:rsidP="00B53D4B">
            <w:pPr>
              <w:ind w:right="-103"/>
              <w:jc w:val="center"/>
              <w:rPr>
                <w:rFonts w:ascii="ITC Avant Garde" w:eastAsia="Calibri" w:hAnsi="ITC Avant Garde"/>
                <w:bCs/>
                <w:i/>
                <w:color w:val="000000"/>
                <w:sz w:val="16"/>
                <w:szCs w:val="16"/>
                <w:lang w:eastAsia="es-MX"/>
              </w:rPr>
            </w:pPr>
            <w:r w:rsidRPr="00F17180">
              <w:rPr>
                <w:rFonts w:ascii="ITC Avant Garde" w:eastAsia="Calibri" w:hAnsi="ITC Avant Garde"/>
                <w:bCs/>
                <w:i/>
                <w:color w:val="000000"/>
                <w:sz w:val="16"/>
                <w:szCs w:val="16"/>
                <w:lang w:eastAsia="es-MX"/>
              </w:rPr>
              <w:t>1.3157</w:t>
            </w:r>
          </w:p>
        </w:tc>
        <w:tc>
          <w:tcPr>
            <w:tcW w:w="709" w:type="dxa"/>
          </w:tcPr>
          <w:p w14:paraId="693C2420" w14:textId="77777777" w:rsidR="00EC1596" w:rsidRPr="00F17180" w:rsidRDefault="00EC1596" w:rsidP="00B53D4B">
            <w:pPr>
              <w:ind w:right="-103"/>
              <w:jc w:val="center"/>
              <w:rPr>
                <w:rFonts w:ascii="ITC Avant Garde" w:eastAsia="Calibri" w:hAnsi="ITC Avant Garde"/>
                <w:bCs/>
                <w:i/>
                <w:color w:val="000000"/>
                <w:sz w:val="16"/>
                <w:szCs w:val="16"/>
                <w:lang w:eastAsia="es-MX"/>
              </w:rPr>
            </w:pPr>
            <w:r w:rsidRPr="00F17180">
              <w:rPr>
                <w:rFonts w:ascii="ITC Avant Garde" w:eastAsia="Calibri" w:hAnsi="ITC Avant Garde"/>
                <w:bCs/>
                <w:i/>
                <w:color w:val="000000"/>
                <w:sz w:val="16"/>
                <w:szCs w:val="16"/>
                <w:lang w:eastAsia="es-MX"/>
              </w:rPr>
              <w:t>1.2763</w:t>
            </w:r>
          </w:p>
        </w:tc>
        <w:tc>
          <w:tcPr>
            <w:tcW w:w="708" w:type="dxa"/>
          </w:tcPr>
          <w:p w14:paraId="4342DE2E" w14:textId="77777777" w:rsidR="00EC1596" w:rsidRPr="00F17180" w:rsidRDefault="00EC1596" w:rsidP="00B53D4B">
            <w:pPr>
              <w:ind w:right="-103"/>
              <w:jc w:val="center"/>
              <w:rPr>
                <w:rFonts w:ascii="ITC Avant Garde" w:eastAsia="Calibri" w:hAnsi="ITC Avant Garde"/>
                <w:bCs/>
                <w:i/>
                <w:color w:val="000000"/>
                <w:sz w:val="16"/>
                <w:szCs w:val="16"/>
                <w:lang w:eastAsia="es-MX"/>
              </w:rPr>
            </w:pPr>
            <w:r w:rsidRPr="00F17180">
              <w:rPr>
                <w:rFonts w:ascii="ITC Avant Garde" w:eastAsia="Calibri" w:hAnsi="ITC Avant Garde"/>
                <w:bCs/>
                <w:i/>
                <w:color w:val="000000"/>
                <w:sz w:val="16"/>
                <w:szCs w:val="16"/>
                <w:lang w:eastAsia="es-MX"/>
              </w:rPr>
              <w:t>1.2378</w:t>
            </w:r>
          </w:p>
        </w:tc>
        <w:tc>
          <w:tcPr>
            <w:tcW w:w="709" w:type="dxa"/>
          </w:tcPr>
          <w:p w14:paraId="77525C88" w14:textId="77777777" w:rsidR="00EC1596" w:rsidRPr="00F17180" w:rsidRDefault="00EC1596" w:rsidP="00B53D4B">
            <w:pPr>
              <w:ind w:right="-103"/>
              <w:jc w:val="center"/>
              <w:rPr>
                <w:rFonts w:ascii="ITC Avant Garde" w:eastAsia="Calibri" w:hAnsi="ITC Avant Garde"/>
                <w:bCs/>
                <w:i/>
                <w:color w:val="000000"/>
                <w:sz w:val="16"/>
                <w:szCs w:val="16"/>
                <w:lang w:eastAsia="es-MX"/>
              </w:rPr>
            </w:pPr>
            <w:r w:rsidRPr="00F17180">
              <w:rPr>
                <w:rFonts w:ascii="ITC Avant Garde" w:eastAsia="Calibri" w:hAnsi="ITC Avant Garde"/>
                <w:bCs/>
                <w:i/>
                <w:color w:val="000000"/>
                <w:sz w:val="16"/>
                <w:szCs w:val="16"/>
                <w:lang w:eastAsia="es-MX"/>
              </w:rPr>
              <w:t>1.2007</w:t>
            </w:r>
          </w:p>
        </w:tc>
        <w:tc>
          <w:tcPr>
            <w:tcW w:w="709" w:type="dxa"/>
          </w:tcPr>
          <w:p w14:paraId="2DB4B4BC" w14:textId="77777777" w:rsidR="00EC1596" w:rsidRPr="00F17180" w:rsidRDefault="00EC1596" w:rsidP="00B53D4B">
            <w:pPr>
              <w:tabs>
                <w:tab w:val="left" w:pos="534"/>
              </w:tabs>
              <w:ind w:left="-113" w:right="96"/>
              <w:jc w:val="center"/>
              <w:rPr>
                <w:rFonts w:ascii="ITC Avant Garde" w:eastAsia="Calibri" w:hAnsi="ITC Avant Garde"/>
                <w:bCs/>
                <w:i/>
                <w:color w:val="000000"/>
                <w:sz w:val="16"/>
                <w:szCs w:val="16"/>
                <w:lang w:eastAsia="es-MX"/>
              </w:rPr>
            </w:pPr>
            <w:r w:rsidRPr="00F17180">
              <w:rPr>
                <w:rFonts w:ascii="ITC Avant Garde" w:eastAsia="Calibri" w:hAnsi="ITC Avant Garde"/>
                <w:bCs/>
                <w:i/>
                <w:color w:val="000000"/>
                <w:sz w:val="16"/>
                <w:szCs w:val="16"/>
                <w:lang w:eastAsia="es-MX"/>
              </w:rPr>
              <w:t>1.1647</w:t>
            </w:r>
          </w:p>
        </w:tc>
        <w:tc>
          <w:tcPr>
            <w:tcW w:w="709" w:type="dxa"/>
          </w:tcPr>
          <w:p w14:paraId="0886565C" w14:textId="77777777" w:rsidR="00EC1596" w:rsidRPr="00F17180" w:rsidRDefault="00EC1596" w:rsidP="00B53D4B">
            <w:pPr>
              <w:ind w:right="-103"/>
              <w:jc w:val="center"/>
              <w:rPr>
                <w:rFonts w:ascii="ITC Avant Garde" w:eastAsia="Calibri" w:hAnsi="ITC Avant Garde"/>
                <w:bCs/>
                <w:i/>
                <w:color w:val="000000"/>
                <w:sz w:val="16"/>
                <w:szCs w:val="16"/>
                <w:lang w:eastAsia="es-MX"/>
              </w:rPr>
            </w:pPr>
            <w:r w:rsidRPr="00F17180">
              <w:rPr>
                <w:rFonts w:ascii="ITC Avant Garde" w:eastAsia="Calibri" w:hAnsi="ITC Avant Garde"/>
                <w:bCs/>
                <w:i/>
                <w:color w:val="000000"/>
                <w:sz w:val="16"/>
                <w:szCs w:val="16"/>
                <w:lang w:eastAsia="es-MX"/>
              </w:rPr>
              <w:t>1.1297</w:t>
            </w:r>
          </w:p>
        </w:tc>
        <w:tc>
          <w:tcPr>
            <w:tcW w:w="708" w:type="dxa"/>
          </w:tcPr>
          <w:p w14:paraId="24ABB488" w14:textId="77777777" w:rsidR="00EC1596" w:rsidRPr="00F17180" w:rsidRDefault="00EC1596" w:rsidP="00B53D4B">
            <w:pPr>
              <w:ind w:left="-113" w:right="-103"/>
              <w:jc w:val="center"/>
              <w:rPr>
                <w:rFonts w:ascii="ITC Avant Garde" w:eastAsia="Calibri" w:hAnsi="ITC Avant Garde"/>
                <w:bCs/>
                <w:i/>
                <w:color w:val="000000"/>
                <w:sz w:val="16"/>
                <w:szCs w:val="16"/>
                <w:lang w:eastAsia="es-MX"/>
              </w:rPr>
            </w:pPr>
            <w:r w:rsidRPr="00F17180">
              <w:rPr>
                <w:rFonts w:ascii="ITC Avant Garde" w:eastAsia="Calibri" w:hAnsi="ITC Avant Garde"/>
                <w:bCs/>
                <w:i/>
                <w:color w:val="000000"/>
                <w:sz w:val="16"/>
                <w:szCs w:val="16"/>
                <w:lang w:eastAsia="es-MX"/>
              </w:rPr>
              <w:t>1.0957</w:t>
            </w:r>
          </w:p>
        </w:tc>
        <w:tc>
          <w:tcPr>
            <w:tcW w:w="709" w:type="dxa"/>
          </w:tcPr>
          <w:p w14:paraId="6A398638" w14:textId="77777777" w:rsidR="00EC1596" w:rsidRPr="00F17180" w:rsidRDefault="00EC1596" w:rsidP="00B53D4B">
            <w:pPr>
              <w:ind w:right="-108"/>
              <w:jc w:val="center"/>
              <w:rPr>
                <w:rFonts w:ascii="ITC Avant Garde" w:eastAsia="Calibri" w:hAnsi="ITC Avant Garde"/>
                <w:bCs/>
                <w:i/>
                <w:color w:val="000000"/>
                <w:sz w:val="16"/>
                <w:szCs w:val="16"/>
                <w:lang w:eastAsia="es-MX"/>
              </w:rPr>
            </w:pPr>
            <w:r w:rsidRPr="00F17180">
              <w:rPr>
                <w:rFonts w:ascii="ITC Avant Garde" w:eastAsia="Calibri" w:hAnsi="ITC Avant Garde"/>
                <w:bCs/>
                <w:i/>
                <w:color w:val="000000"/>
                <w:sz w:val="16"/>
                <w:szCs w:val="16"/>
                <w:lang w:eastAsia="es-MX"/>
              </w:rPr>
              <w:t>1.0628</w:t>
            </w:r>
          </w:p>
        </w:tc>
        <w:tc>
          <w:tcPr>
            <w:tcW w:w="709" w:type="dxa"/>
          </w:tcPr>
          <w:p w14:paraId="3BDEF0C1" w14:textId="77777777" w:rsidR="00EC1596" w:rsidRPr="00F17180" w:rsidRDefault="00EC1596" w:rsidP="00B53D4B">
            <w:pPr>
              <w:jc w:val="center"/>
              <w:rPr>
                <w:rFonts w:ascii="ITC Avant Garde" w:eastAsia="Calibri" w:hAnsi="ITC Avant Garde"/>
                <w:bCs/>
                <w:i/>
                <w:color w:val="000000"/>
                <w:sz w:val="16"/>
                <w:szCs w:val="16"/>
                <w:lang w:eastAsia="es-MX"/>
              </w:rPr>
            </w:pPr>
            <w:r w:rsidRPr="00F17180">
              <w:rPr>
                <w:rFonts w:ascii="ITC Avant Garde" w:eastAsia="Calibri" w:hAnsi="ITC Avant Garde"/>
                <w:bCs/>
                <w:i/>
                <w:color w:val="000000"/>
                <w:sz w:val="16"/>
                <w:szCs w:val="16"/>
                <w:lang w:eastAsia="es-MX"/>
              </w:rPr>
              <w:t>1.0309</w:t>
            </w:r>
          </w:p>
        </w:tc>
        <w:tc>
          <w:tcPr>
            <w:tcW w:w="709" w:type="dxa"/>
          </w:tcPr>
          <w:p w14:paraId="72C6F0DB" w14:textId="77777777" w:rsidR="00EC1596" w:rsidRPr="00F17180" w:rsidRDefault="00EC1596" w:rsidP="00B53D4B">
            <w:pPr>
              <w:jc w:val="center"/>
              <w:rPr>
                <w:rFonts w:ascii="ITC Avant Garde" w:eastAsia="Calibri" w:hAnsi="ITC Avant Garde"/>
                <w:bCs/>
                <w:i/>
                <w:color w:val="000000"/>
                <w:sz w:val="16"/>
                <w:szCs w:val="16"/>
                <w:lang w:eastAsia="es-MX"/>
              </w:rPr>
            </w:pPr>
            <w:r w:rsidRPr="00F17180">
              <w:rPr>
                <w:rFonts w:ascii="ITC Avant Garde" w:eastAsia="Calibri" w:hAnsi="ITC Avant Garde"/>
                <w:bCs/>
                <w:i/>
                <w:color w:val="000000"/>
                <w:sz w:val="16"/>
                <w:szCs w:val="16"/>
                <w:lang w:eastAsia="es-MX"/>
              </w:rPr>
              <w:t>1.0000</w:t>
            </w:r>
          </w:p>
        </w:tc>
      </w:tr>
    </w:tbl>
    <w:p w14:paraId="51F8AD09" w14:textId="77777777" w:rsidR="00EC1596" w:rsidRPr="00F17180" w:rsidRDefault="00EC1596" w:rsidP="00B53D4B">
      <w:pPr>
        <w:ind w:left="567" w:right="527"/>
        <w:jc w:val="both"/>
        <w:rPr>
          <w:rFonts w:ascii="ITC Avant Garde" w:eastAsia="Calibri" w:hAnsi="ITC Avant Garde"/>
          <w:bCs/>
          <w:i/>
          <w:color w:val="000000"/>
          <w:sz w:val="16"/>
          <w:szCs w:val="16"/>
          <w:lang w:eastAsia="es-MX"/>
        </w:rPr>
      </w:pPr>
    </w:p>
    <w:p w14:paraId="4C131B52" w14:textId="77777777" w:rsidR="00EC1596" w:rsidRPr="00F17180" w:rsidRDefault="00EC1596" w:rsidP="00B53D4B">
      <w:pPr>
        <w:ind w:left="567" w:right="527"/>
        <w:jc w:val="both"/>
        <w:rPr>
          <w:rFonts w:ascii="ITC Avant Garde" w:eastAsia="Calibri" w:hAnsi="ITC Avant Garde"/>
          <w:bCs/>
          <w:i/>
          <w:color w:val="000000"/>
          <w:sz w:val="16"/>
          <w:szCs w:val="16"/>
          <w:lang w:eastAsia="es-MX"/>
        </w:rPr>
      </w:pPr>
    </w:p>
    <w:p w14:paraId="140BE598" w14:textId="77777777" w:rsidR="00EC1596" w:rsidRPr="00F17180" w:rsidRDefault="00EC1596" w:rsidP="00B53D4B">
      <w:pPr>
        <w:ind w:left="709" w:right="527"/>
        <w:jc w:val="both"/>
        <w:rPr>
          <w:rFonts w:ascii="ITC Avant Garde" w:eastAsia="Calibri" w:hAnsi="ITC Avant Garde"/>
          <w:bCs/>
          <w:i/>
          <w:color w:val="000000"/>
          <w:sz w:val="16"/>
          <w:szCs w:val="16"/>
          <w:lang w:eastAsia="es-MX"/>
        </w:rPr>
      </w:pPr>
      <w:r w:rsidRPr="00F17180">
        <w:rPr>
          <w:rFonts w:ascii="ITC Avant Garde" w:eastAsia="Calibri" w:hAnsi="ITC Avant Garde"/>
          <w:bCs/>
          <w:i/>
          <w:color w:val="000000"/>
          <w:sz w:val="16"/>
          <w:szCs w:val="16"/>
          <w:lang w:eastAsia="es-MX"/>
        </w:rPr>
        <w:t>En el caso de que el importe de los montos a restar sea mayor que el aprovechamiento autorizado, no procederá devolución ni compensación alguna.</w:t>
      </w:r>
    </w:p>
    <w:p w14:paraId="2773B2AA" w14:textId="77777777" w:rsidR="00EC1596" w:rsidRPr="00F17180" w:rsidRDefault="00EC1596" w:rsidP="00B53D4B">
      <w:pPr>
        <w:ind w:left="709" w:right="527"/>
        <w:jc w:val="both"/>
        <w:rPr>
          <w:rFonts w:ascii="ITC Avant Garde" w:eastAsia="Calibri" w:hAnsi="ITC Avant Garde"/>
          <w:bCs/>
          <w:i/>
          <w:color w:val="000000"/>
          <w:sz w:val="16"/>
          <w:szCs w:val="16"/>
          <w:lang w:eastAsia="es-MX"/>
        </w:rPr>
      </w:pPr>
    </w:p>
    <w:p w14:paraId="1C99F150" w14:textId="77777777" w:rsidR="00EC1596" w:rsidRPr="00F17180" w:rsidRDefault="00EC1596" w:rsidP="00B53D4B">
      <w:pPr>
        <w:ind w:left="709" w:right="528"/>
        <w:jc w:val="both"/>
        <w:rPr>
          <w:rFonts w:ascii="ITC Avant Garde" w:eastAsia="Calibri" w:hAnsi="ITC Avant Garde"/>
          <w:bCs/>
          <w:i/>
          <w:color w:val="000000"/>
          <w:sz w:val="16"/>
          <w:szCs w:val="16"/>
          <w:lang w:eastAsia="es-MX"/>
        </w:rPr>
      </w:pPr>
      <w:r w:rsidRPr="00F17180">
        <w:rPr>
          <w:rFonts w:ascii="ITC Avant Garde" w:eastAsia="Calibri" w:hAnsi="ITC Avant Garde"/>
          <w:bCs/>
          <w:i/>
          <w:color w:val="000000"/>
          <w:sz w:val="16"/>
          <w:szCs w:val="16"/>
          <w:lang w:eastAsia="es-MX"/>
        </w:rPr>
        <w:t>El pago del aprovechamiento por prórroga deberá realizarse previo a la entrega de los títulos de concesión mediante la clave de entero que corresponda.</w:t>
      </w:r>
    </w:p>
    <w:p w14:paraId="58CB3D76" w14:textId="77777777" w:rsidR="00EC1596" w:rsidRPr="00F17180" w:rsidRDefault="00EC1596" w:rsidP="00B53D4B">
      <w:pPr>
        <w:ind w:left="709" w:right="528"/>
        <w:jc w:val="both"/>
        <w:rPr>
          <w:rFonts w:ascii="ITC Avant Garde" w:eastAsia="Calibri" w:hAnsi="ITC Avant Garde"/>
          <w:bCs/>
          <w:i/>
          <w:color w:val="000000"/>
          <w:sz w:val="16"/>
          <w:szCs w:val="16"/>
          <w:lang w:eastAsia="es-MX"/>
        </w:rPr>
      </w:pPr>
    </w:p>
    <w:p w14:paraId="0801C8F0" w14:textId="77777777" w:rsidR="00EC1596" w:rsidRPr="00F17180" w:rsidRDefault="00EC1596" w:rsidP="00B53D4B">
      <w:pPr>
        <w:ind w:left="709" w:right="528"/>
        <w:jc w:val="both"/>
        <w:rPr>
          <w:rFonts w:ascii="ITC Avant Garde" w:eastAsia="Calibri" w:hAnsi="ITC Avant Garde"/>
          <w:bCs/>
          <w:i/>
          <w:color w:val="000000"/>
          <w:sz w:val="16"/>
          <w:szCs w:val="16"/>
          <w:lang w:eastAsia="es-MX"/>
        </w:rPr>
      </w:pPr>
      <w:r w:rsidRPr="00F17180">
        <w:rPr>
          <w:rFonts w:ascii="ITC Avant Garde" w:eastAsia="Calibri" w:hAnsi="ITC Avant Garde"/>
          <w:bCs/>
          <w:i/>
          <w:color w:val="000000"/>
          <w:sz w:val="16"/>
          <w:szCs w:val="16"/>
          <w:lang w:eastAsia="es-MX"/>
        </w:rPr>
        <w:t>[…]</w:t>
      </w:r>
    </w:p>
    <w:p w14:paraId="47865656" w14:textId="77777777" w:rsidR="00EC1596" w:rsidRPr="00F17180" w:rsidRDefault="00EC1596" w:rsidP="00B53D4B">
      <w:pPr>
        <w:ind w:left="709" w:right="528"/>
        <w:jc w:val="both"/>
        <w:rPr>
          <w:rFonts w:ascii="ITC Avant Garde" w:eastAsia="Calibri" w:hAnsi="ITC Avant Garde"/>
          <w:bCs/>
          <w:i/>
          <w:color w:val="000000"/>
          <w:sz w:val="16"/>
          <w:szCs w:val="16"/>
          <w:lang w:eastAsia="es-MX"/>
        </w:rPr>
      </w:pPr>
    </w:p>
    <w:p w14:paraId="07AAEF19" w14:textId="77777777" w:rsidR="00EC1596" w:rsidRPr="00F17180" w:rsidRDefault="00EC1596" w:rsidP="00B53D4B">
      <w:pPr>
        <w:ind w:left="709" w:right="528"/>
        <w:jc w:val="both"/>
        <w:rPr>
          <w:rFonts w:ascii="ITC Avant Garde" w:eastAsia="Calibri" w:hAnsi="ITC Avant Garde"/>
          <w:bCs/>
          <w:i/>
          <w:color w:val="000000"/>
          <w:sz w:val="16"/>
          <w:szCs w:val="16"/>
          <w:lang w:eastAsia="es-MX"/>
        </w:rPr>
      </w:pPr>
      <w:r w:rsidRPr="00F17180">
        <w:rPr>
          <w:rFonts w:ascii="ITC Avant Garde" w:eastAsia="Calibri" w:hAnsi="ITC Avant Garde"/>
          <w:bCs/>
          <w:i/>
          <w:color w:val="000000"/>
          <w:sz w:val="16"/>
          <w:szCs w:val="16"/>
          <w:lang w:eastAsia="es-MX"/>
        </w:rPr>
        <w:t>La obligación de pagar el monto del aprovechamiento autorizado en el presente oficio deberá establecerse en los nuevos títulos de concesión que se emitan en virtud del otorgamiento de la prórroga de concesión, incorporando los montos del aprovechamiento a pagar.</w:t>
      </w:r>
    </w:p>
    <w:p w14:paraId="43A33AFE" w14:textId="77777777" w:rsidR="00EC1596" w:rsidRPr="00F17180" w:rsidRDefault="00EC1596" w:rsidP="00B53D4B">
      <w:pPr>
        <w:ind w:left="709" w:right="528"/>
        <w:jc w:val="both"/>
        <w:rPr>
          <w:rFonts w:ascii="ITC Avant Garde" w:eastAsia="Calibri" w:hAnsi="ITC Avant Garde"/>
          <w:bCs/>
          <w:i/>
          <w:color w:val="000000"/>
          <w:sz w:val="16"/>
          <w:szCs w:val="16"/>
          <w:lang w:eastAsia="es-MX"/>
        </w:rPr>
      </w:pPr>
    </w:p>
    <w:p w14:paraId="681B02DB" w14:textId="77777777" w:rsidR="00EC1596" w:rsidRPr="00F17180" w:rsidRDefault="00EC1596" w:rsidP="00B53D4B">
      <w:pPr>
        <w:ind w:left="709" w:right="528"/>
        <w:jc w:val="both"/>
        <w:rPr>
          <w:rFonts w:ascii="ITC Avant Garde" w:eastAsia="Calibri" w:hAnsi="ITC Avant Garde"/>
          <w:bCs/>
          <w:i/>
          <w:color w:val="000000"/>
          <w:sz w:val="16"/>
          <w:szCs w:val="16"/>
          <w:lang w:eastAsia="es-MX"/>
        </w:rPr>
      </w:pPr>
      <w:r w:rsidRPr="00F17180">
        <w:rPr>
          <w:rFonts w:ascii="ITC Avant Garde" w:eastAsia="Calibri" w:hAnsi="ITC Avant Garde"/>
          <w:bCs/>
          <w:i/>
          <w:color w:val="000000"/>
          <w:sz w:val="16"/>
          <w:szCs w:val="16"/>
          <w:lang w:eastAsia="es-MX"/>
        </w:rPr>
        <w:t>El pago de aprovechamiento autorizado en el presente oficio debe realizarse sin menoscabo de la obligación de pagar los derechos establecidos en el artículo 244-F de la LFD por el uso, goce, aprovechamiento o explotación del espectro radioeléctrico, a partir de la entrega de las prórrogas de los títulos de concesión.</w:t>
      </w:r>
    </w:p>
    <w:p w14:paraId="6F496A91" w14:textId="77777777" w:rsidR="00EC1596" w:rsidRPr="00F17180" w:rsidRDefault="00EC1596" w:rsidP="00B53D4B">
      <w:pPr>
        <w:ind w:left="709" w:right="528"/>
        <w:jc w:val="both"/>
        <w:rPr>
          <w:rFonts w:ascii="ITC Avant Garde" w:eastAsia="Calibri" w:hAnsi="ITC Avant Garde"/>
          <w:bCs/>
          <w:i/>
          <w:color w:val="000000"/>
          <w:sz w:val="16"/>
          <w:szCs w:val="16"/>
          <w:lang w:eastAsia="es-MX"/>
        </w:rPr>
      </w:pPr>
    </w:p>
    <w:p w14:paraId="6E8A22CD" w14:textId="77777777" w:rsidR="00EC1596" w:rsidRPr="00F17180" w:rsidRDefault="00EC1596" w:rsidP="00B53D4B">
      <w:pPr>
        <w:ind w:left="709" w:right="528"/>
        <w:jc w:val="both"/>
        <w:rPr>
          <w:rFonts w:ascii="ITC Avant Garde" w:eastAsia="Calibri" w:hAnsi="ITC Avant Garde"/>
          <w:bCs/>
          <w:i/>
          <w:color w:val="000000"/>
          <w:sz w:val="16"/>
          <w:szCs w:val="16"/>
          <w:lang w:eastAsia="es-MX"/>
        </w:rPr>
      </w:pPr>
      <w:r w:rsidRPr="00F17180">
        <w:rPr>
          <w:rFonts w:ascii="ITC Avant Garde" w:eastAsia="Calibri" w:hAnsi="ITC Avant Garde"/>
          <w:bCs/>
          <w:i/>
          <w:color w:val="000000"/>
          <w:sz w:val="16"/>
          <w:szCs w:val="16"/>
          <w:lang w:eastAsia="es-MX"/>
        </w:rPr>
        <w:t>[…]”</w:t>
      </w:r>
    </w:p>
    <w:p w14:paraId="4466027E" w14:textId="77777777" w:rsidR="00EC1596" w:rsidRDefault="00EC1596" w:rsidP="00B53D4B">
      <w:pPr>
        <w:jc w:val="both"/>
        <w:rPr>
          <w:rFonts w:ascii="ITC Avant Garde" w:eastAsia="Calibri" w:hAnsi="ITC Avant Garde"/>
          <w:bCs/>
          <w:color w:val="000000"/>
          <w:sz w:val="22"/>
          <w:szCs w:val="22"/>
          <w:lang w:eastAsia="es-MX"/>
        </w:rPr>
      </w:pPr>
    </w:p>
    <w:p w14:paraId="73DC219E" w14:textId="77777777" w:rsidR="007C0BC7" w:rsidRPr="00F17180" w:rsidRDefault="007C0BC7" w:rsidP="00B53D4B">
      <w:pPr>
        <w:jc w:val="both"/>
        <w:rPr>
          <w:rFonts w:ascii="ITC Avant Garde" w:eastAsia="Calibri" w:hAnsi="ITC Avant Garde"/>
          <w:bCs/>
          <w:color w:val="000000"/>
          <w:sz w:val="22"/>
          <w:szCs w:val="22"/>
          <w:lang w:eastAsia="es-MX"/>
        </w:rPr>
      </w:pPr>
    </w:p>
    <w:p w14:paraId="087AB271" w14:textId="668B4A65" w:rsidR="005A7E62" w:rsidRPr="00F17180" w:rsidRDefault="005A7E62" w:rsidP="005A7E62">
      <w:pPr>
        <w:autoSpaceDE w:val="0"/>
        <w:autoSpaceDN w:val="0"/>
        <w:adjustRightInd w:val="0"/>
        <w:jc w:val="both"/>
        <w:rPr>
          <w:rFonts w:ascii="ITC Avant Garde" w:hAnsi="ITC Avant Garde"/>
          <w:bCs/>
          <w:color w:val="000000"/>
          <w:sz w:val="22"/>
          <w:szCs w:val="22"/>
          <w:lang w:val="es-ES" w:eastAsia="es-MX"/>
        </w:rPr>
      </w:pPr>
      <w:r w:rsidRPr="00F17180">
        <w:rPr>
          <w:rFonts w:ascii="ITC Avant Garde" w:hAnsi="ITC Avant Garde"/>
          <w:bCs/>
          <w:sz w:val="22"/>
          <w:szCs w:val="22"/>
        </w:rPr>
        <w:t xml:space="preserve">Ahora bien, mediante oficio IFT/222/UER/DG-EERO/008/2016 de fecha 11 de enero de 2016, la Unidad de Espectro Radioeléctrico, a través de la Dirección General de Economía del Espectro y Recursos Orbitales, remitió la actualización </w:t>
      </w:r>
      <w:r w:rsidRPr="00F17180">
        <w:rPr>
          <w:rFonts w:ascii="ITC Avant Garde" w:hAnsi="ITC Avant Garde"/>
          <w:bCs/>
          <w:color w:val="000000"/>
          <w:sz w:val="22"/>
          <w:szCs w:val="22"/>
          <w:lang w:val="es-ES" w:eastAsia="es-MX"/>
        </w:rPr>
        <w:t xml:space="preserve">de los aprovechamientos autorizados por la Secretaría de Hacienda y Crédito Público, al mes de enero de 2016, que corresponden a </w:t>
      </w:r>
      <w:proofErr w:type="spellStart"/>
      <w:r w:rsidRPr="00F17180">
        <w:rPr>
          <w:rFonts w:ascii="ITC Avant Garde" w:hAnsi="ITC Avant Garde"/>
          <w:bCs/>
          <w:color w:val="000000"/>
          <w:sz w:val="22"/>
          <w:szCs w:val="22"/>
          <w:lang w:val="es-ES" w:eastAsia="es-MX"/>
        </w:rPr>
        <w:t>Radiosistemas</w:t>
      </w:r>
      <w:proofErr w:type="spellEnd"/>
      <w:r w:rsidRPr="00F17180">
        <w:rPr>
          <w:rFonts w:ascii="ITC Avant Garde" w:hAnsi="ITC Avant Garde"/>
          <w:bCs/>
          <w:color w:val="000000"/>
          <w:sz w:val="22"/>
          <w:szCs w:val="22"/>
          <w:lang w:val="es-ES" w:eastAsia="es-MX"/>
        </w:rPr>
        <w:t xml:space="preserve"> de Tamaulipas, S.A. de C.V., mismo que se transcribe a continuación:</w:t>
      </w:r>
    </w:p>
    <w:p w14:paraId="7FD3B21A" w14:textId="77777777" w:rsidR="004A5BE4" w:rsidRDefault="004A5BE4" w:rsidP="004A5BE4">
      <w:pPr>
        <w:autoSpaceDE w:val="0"/>
        <w:autoSpaceDN w:val="0"/>
        <w:adjustRightInd w:val="0"/>
        <w:jc w:val="both"/>
        <w:rPr>
          <w:rFonts w:ascii="ITC Avant Garde" w:hAnsi="ITC Avant Garde"/>
          <w:bCs/>
          <w:color w:val="000000"/>
          <w:lang w:val="es-ES" w:eastAsia="es-MX"/>
        </w:rPr>
      </w:pPr>
    </w:p>
    <w:p w14:paraId="5F02ABDF" w14:textId="77777777" w:rsidR="007C0BC7" w:rsidRPr="00F17180" w:rsidRDefault="007C0BC7" w:rsidP="004A5BE4">
      <w:pPr>
        <w:autoSpaceDE w:val="0"/>
        <w:autoSpaceDN w:val="0"/>
        <w:adjustRightInd w:val="0"/>
        <w:jc w:val="both"/>
        <w:rPr>
          <w:rFonts w:ascii="ITC Avant Garde" w:hAnsi="ITC Avant Garde"/>
          <w:bCs/>
          <w:color w:val="000000"/>
          <w:lang w:val="es-ES" w:eastAsia="es-MX"/>
        </w:rPr>
      </w:pPr>
    </w:p>
    <w:tbl>
      <w:tblPr>
        <w:tblStyle w:val="Tablaconcuadrcula"/>
        <w:tblW w:w="0" w:type="auto"/>
        <w:jc w:val="center"/>
        <w:tblLook w:val="04A0" w:firstRow="1" w:lastRow="0" w:firstColumn="1" w:lastColumn="0" w:noHBand="0" w:noVBand="1"/>
        <w:tblCaption w:val="Radiosistemas de Tamaulipas, S.A. de C.V."/>
        <w:tblDescription w:val="Actualización de los aprovechamientos autorizados por la Secretaría de Hacienda y Crédito Público, al mes de enero de 2016."/>
      </w:tblPr>
      <w:tblGrid>
        <w:gridCol w:w="592"/>
        <w:gridCol w:w="3802"/>
        <w:gridCol w:w="2549"/>
        <w:gridCol w:w="3073"/>
      </w:tblGrid>
      <w:tr w:rsidR="004A5BE4" w:rsidRPr="00F17180" w14:paraId="1294730D" w14:textId="77777777" w:rsidTr="00F74181">
        <w:trPr>
          <w:tblHeader/>
          <w:jc w:val="center"/>
        </w:trPr>
        <w:tc>
          <w:tcPr>
            <w:tcW w:w="592" w:type="dxa"/>
            <w:shd w:val="clear" w:color="auto" w:fill="A6A6A6" w:themeFill="background1" w:themeFillShade="A6"/>
            <w:vAlign w:val="center"/>
          </w:tcPr>
          <w:p w14:paraId="77649617" w14:textId="77777777" w:rsidR="004A5BE4" w:rsidRPr="00F17180" w:rsidRDefault="004A5BE4" w:rsidP="00D2656D">
            <w:pPr>
              <w:autoSpaceDE w:val="0"/>
              <w:autoSpaceDN w:val="0"/>
              <w:adjustRightInd w:val="0"/>
              <w:jc w:val="center"/>
              <w:rPr>
                <w:rFonts w:ascii="ITC Avant Garde" w:eastAsia="Calibri" w:hAnsi="ITC Avant Garde"/>
                <w:b/>
                <w:bCs/>
                <w:i/>
                <w:color w:val="000000"/>
                <w:sz w:val="18"/>
                <w:szCs w:val="18"/>
                <w:lang w:eastAsia="es-MX"/>
              </w:rPr>
            </w:pPr>
            <w:r w:rsidRPr="00F17180">
              <w:rPr>
                <w:rFonts w:ascii="ITC Avant Garde" w:eastAsia="Calibri" w:hAnsi="ITC Avant Garde"/>
                <w:b/>
                <w:bCs/>
                <w:i/>
                <w:color w:val="000000"/>
                <w:sz w:val="18"/>
                <w:szCs w:val="18"/>
                <w:lang w:eastAsia="es-MX"/>
              </w:rPr>
              <w:t>No.</w:t>
            </w:r>
          </w:p>
        </w:tc>
        <w:tc>
          <w:tcPr>
            <w:tcW w:w="3802" w:type="dxa"/>
            <w:shd w:val="clear" w:color="auto" w:fill="A6A6A6" w:themeFill="background1" w:themeFillShade="A6"/>
            <w:vAlign w:val="center"/>
          </w:tcPr>
          <w:p w14:paraId="68DED9ED" w14:textId="77777777" w:rsidR="004A5BE4" w:rsidRPr="00F17180" w:rsidRDefault="004A5BE4" w:rsidP="00D2656D">
            <w:pPr>
              <w:autoSpaceDE w:val="0"/>
              <w:autoSpaceDN w:val="0"/>
              <w:adjustRightInd w:val="0"/>
              <w:jc w:val="center"/>
              <w:rPr>
                <w:rFonts w:ascii="ITC Avant Garde" w:eastAsia="Calibri" w:hAnsi="ITC Avant Garde"/>
                <w:b/>
                <w:bCs/>
                <w:i/>
                <w:color w:val="000000"/>
                <w:sz w:val="18"/>
                <w:szCs w:val="18"/>
                <w:lang w:eastAsia="es-MX"/>
              </w:rPr>
            </w:pPr>
            <w:r w:rsidRPr="00F17180">
              <w:rPr>
                <w:rFonts w:ascii="ITC Avant Garde" w:eastAsia="Calibri" w:hAnsi="ITC Avant Garde"/>
                <w:b/>
                <w:bCs/>
                <w:i/>
                <w:color w:val="000000"/>
                <w:sz w:val="18"/>
                <w:szCs w:val="18"/>
                <w:lang w:eastAsia="es-MX"/>
              </w:rPr>
              <w:t>Nombre del Concesionario</w:t>
            </w:r>
          </w:p>
        </w:tc>
        <w:tc>
          <w:tcPr>
            <w:tcW w:w="2549" w:type="dxa"/>
            <w:shd w:val="clear" w:color="auto" w:fill="A6A6A6" w:themeFill="background1" w:themeFillShade="A6"/>
            <w:vAlign w:val="center"/>
          </w:tcPr>
          <w:p w14:paraId="485B56C1" w14:textId="77777777" w:rsidR="004A5BE4" w:rsidRPr="00F17180" w:rsidRDefault="004A5BE4" w:rsidP="00D2656D">
            <w:pPr>
              <w:autoSpaceDE w:val="0"/>
              <w:autoSpaceDN w:val="0"/>
              <w:adjustRightInd w:val="0"/>
              <w:jc w:val="center"/>
              <w:rPr>
                <w:rFonts w:ascii="ITC Avant Garde" w:eastAsia="Calibri" w:hAnsi="ITC Avant Garde"/>
                <w:b/>
                <w:bCs/>
                <w:i/>
                <w:color w:val="000000"/>
                <w:sz w:val="18"/>
                <w:szCs w:val="18"/>
                <w:lang w:eastAsia="es-MX"/>
              </w:rPr>
            </w:pPr>
            <w:r w:rsidRPr="00F17180">
              <w:rPr>
                <w:rFonts w:ascii="ITC Avant Garde" w:eastAsia="Calibri" w:hAnsi="ITC Avant Garde"/>
                <w:b/>
                <w:bCs/>
                <w:i/>
                <w:color w:val="000000"/>
                <w:sz w:val="18"/>
                <w:szCs w:val="18"/>
                <w:lang w:eastAsia="es-MX"/>
              </w:rPr>
              <w:t>Banda de Frecuencias (reubicación)</w:t>
            </w:r>
          </w:p>
        </w:tc>
        <w:tc>
          <w:tcPr>
            <w:tcW w:w="3073" w:type="dxa"/>
            <w:shd w:val="clear" w:color="auto" w:fill="A6A6A6" w:themeFill="background1" w:themeFillShade="A6"/>
            <w:vAlign w:val="center"/>
          </w:tcPr>
          <w:p w14:paraId="731BF50A" w14:textId="77777777" w:rsidR="004A5BE4" w:rsidRPr="00F17180" w:rsidRDefault="004A5BE4" w:rsidP="00D2656D">
            <w:pPr>
              <w:autoSpaceDE w:val="0"/>
              <w:autoSpaceDN w:val="0"/>
              <w:adjustRightInd w:val="0"/>
              <w:jc w:val="center"/>
              <w:rPr>
                <w:rFonts w:ascii="ITC Avant Garde" w:eastAsia="Calibri" w:hAnsi="ITC Avant Garde"/>
                <w:b/>
                <w:bCs/>
                <w:i/>
                <w:color w:val="000000"/>
                <w:sz w:val="18"/>
                <w:szCs w:val="18"/>
                <w:lang w:eastAsia="es-MX"/>
              </w:rPr>
            </w:pPr>
            <w:r w:rsidRPr="00F17180">
              <w:rPr>
                <w:rFonts w:ascii="ITC Avant Garde" w:eastAsia="Calibri" w:hAnsi="ITC Avant Garde"/>
                <w:b/>
                <w:bCs/>
                <w:i/>
                <w:color w:val="000000"/>
                <w:sz w:val="18"/>
                <w:szCs w:val="18"/>
                <w:lang w:eastAsia="es-MX"/>
              </w:rPr>
              <w:t>Importe del Aprovechamiento inicial (pesos)</w:t>
            </w:r>
          </w:p>
        </w:tc>
      </w:tr>
      <w:tr w:rsidR="004A5BE4" w:rsidRPr="00F17180" w14:paraId="7A356347" w14:textId="77777777" w:rsidTr="00F74181">
        <w:trPr>
          <w:jc w:val="center"/>
        </w:trPr>
        <w:tc>
          <w:tcPr>
            <w:tcW w:w="592" w:type="dxa"/>
            <w:vAlign w:val="center"/>
          </w:tcPr>
          <w:p w14:paraId="16F10DBB" w14:textId="13A20BD1" w:rsidR="004A5BE4" w:rsidRPr="00F17180" w:rsidRDefault="004A5BE4" w:rsidP="004A5BE4">
            <w:pPr>
              <w:autoSpaceDE w:val="0"/>
              <w:autoSpaceDN w:val="0"/>
              <w:adjustRightInd w:val="0"/>
              <w:jc w:val="center"/>
              <w:rPr>
                <w:rFonts w:ascii="ITC Avant Garde" w:eastAsia="Calibri" w:hAnsi="ITC Avant Garde"/>
                <w:b/>
                <w:bCs/>
                <w:i/>
                <w:color w:val="000000"/>
                <w:sz w:val="18"/>
                <w:szCs w:val="18"/>
                <w:lang w:eastAsia="es-MX"/>
              </w:rPr>
            </w:pPr>
            <w:r w:rsidRPr="00F17180">
              <w:rPr>
                <w:rFonts w:ascii="ITC Avant Garde" w:eastAsia="Calibri" w:hAnsi="ITC Avant Garde"/>
                <w:bCs/>
                <w:i/>
                <w:color w:val="000000"/>
                <w:sz w:val="18"/>
                <w:szCs w:val="18"/>
                <w:lang w:eastAsia="es-MX"/>
              </w:rPr>
              <w:t>[…]</w:t>
            </w:r>
          </w:p>
        </w:tc>
        <w:tc>
          <w:tcPr>
            <w:tcW w:w="3802" w:type="dxa"/>
            <w:vAlign w:val="center"/>
          </w:tcPr>
          <w:p w14:paraId="38A86DD7" w14:textId="4AAC029A" w:rsidR="004A5BE4" w:rsidRPr="00F17180" w:rsidRDefault="004A5BE4" w:rsidP="004A5BE4">
            <w:pPr>
              <w:autoSpaceDE w:val="0"/>
              <w:autoSpaceDN w:val="0"/>
              <w:adjustRightInd w:val="0"/>
              <w:jc w:val="center"/>
              <w:rPr>
                <w:rFonts w:ascii="ITC Avant Garde" w:eastAsia="Calibri" w:hAnsi="ITC Avant Garde"/>
                <w:b/>
                <w:bCs/>
                <w:i/>
                <w:color w:val="000000"/>
                <w:sz w:val="18"/>
                <w:szCs w:val="18"/>
                <w:lang w:eastAsia="es-MX"/>
              </w:rPr>
            </w:pPr>
            <w:r w:rsidRPr="00F17180">
              <w:rPr>
                <w:rFonts w:ascii="ITC Avant Garde" w:eastAsia="Calibri" w:hAnsi="ITC Avant Garde"/>
                <w:bCs/>
                <w:i/>
                <w:color w:val="000000"/>
                <w:sz w:val="18"/>
                <w:szCs w:val="18"/>
                <w:lang w:eastAsia="es-MX"/>
              </w:rPr>
              <w:t>[…]</w:t>
            </w:r>
          </w:p>
        </w:tc>
        <w:tc>
          <w:tcPr>
            <w:tcW w:w="2549" w:type="dxa"/>
            <w:vAlign w:val="center"/>
          </w:tcPr>
          <w:p w14:paraId="308A9FB5" w14:textId="43ECB832" w:rsidR="004A5BE4" w:rsidRPr="00F17180" w:rsidRDefault="004A5BE4" w:rsidP="004A5BE4">
            <w:pPr>
              <w:autoSpaceDE w:val="0"/>
              <w:autoSpaceDN w:val="0"/>
              <w:adjustRightInd w:val="0"/>
              <w:jc w:val="center"/>
              <w:rPr>
                <w:rFonts w:ascii="ITC Avant Garde" w:eastAsia="Calibri" w:hAnsi="ITC Avant Garde"/>
                <w:b/>
                <w:bCs/>
                <w:i/>
                <w:color w:val="000000"/>
                <w:sz w:val="18"/>
                <w:szCs w:val="18"/>
                <w:lang w:eastAsia="es-MX"/>
              </w:rPr>
            </w:pPr>
            <w:r w:rsidRPr="00F17180">
              <w:rPr>
                <w:rFonts w:ascii="ITC Avant Garde" w:eastAsia="Calibri" w:hAnsi="ITC Avant Garde"/>
                <w:bCs/>
                <w:i/>
                <w:color w:val="000000"/>
                <w:sz w:val="18"/>
                <w:szCs w:val="18"/>
                <w:lang w:eastAsia="es-MX"/>
              </w:rPr>
              <w:t>[…]</w:t>
            </w:r>
          </w:p>
        </w:tc>
        <w:tc>
          <w:tcPr>
            <w:tcW w:w="3073" w:type="dxa"/>
            <w:vAlign w:val="center"/>
          </w:tcPr>
          <w:p w14:paraId="511DAAFC" w14:textId="6B631F5E" w:rsidR="004A5BE4" w:rsidRPr="00F17180" w:rsidRDefault="004A5BE4" w:rsidP="004A5BE4">
            <w:pPr>
              <w:autoSpaceDE w:val="0"/>
              <w:autoSpaceDN w:val="0"/>
              <w:adjustRightInd w:val="0"/>
              <w:jc w:val="center"/>
              <w:rPr>
                <w:rFonts w:ascii="ITC Avant Garde" w:eastAsia="Calibri" w:hAnsi="ITC Avant Garde"/>
                <w:b/>
                <w:bCs/>
                <w:i/>
                <w:color w:val="000000"/>
                <w:sz w:val="18"/>
                <w:szCs w:val="18"/>
                <w:lang w:eastAsia="es-MX"/>
              </w:rPr>
            </w:pPr>
            <w:r w:rsidRPr="00F17180">
              <w:rPr>
                <w:rFonts w:ascii="ITC Avant Garde" w:eastAsia="Calibri" w:hAnsi="ITC Avant Garde"/>
                <w:bCs/>
                <w:i/>
                <w:color w:val="000000"/>
                <w:sz w:val="18"/>
                <w:szCs w:val="18"/>
                <w:lang w:eastAsia="es-MX"/>
              </w:rPr>
              <w:t>[…]</w:t>
            </w:r>
          </w:p>
        </w:tc>
      </w:tr>
      <w:tr w:rsidR="004A5BE4" w:rsidRPr="00F17180" w14:paraId="040923B6" w14:textId="77777777" w:rsidTr="00F74181">
        <w:trPr>
          <w:jc w:val="center"/>
        </w:trPr>
        <w:tc>
          <w:tcPr>
            <w:tcW w:w="592" w:type="dxa"/>
            <w:vAlign w:val="center"/>
          </w:tcPr>
          <w:p w14:paraId="640E7B48" w14:textId="15D526EF" w:rsidR="004A5BE4" w:rsidRPr="00F17180" w:rsidRDefault="004A5BE4" w:rsidP="004A5BE4">
            <w:pPr>
              <w:autoSpaceDE w:val="0"/>
              <w:autoSpaceDN w:val="0"/>
              <w:adjustRightInd w:val="0"/>
              <w:jc w:val="both"/>
              <w:rPr>
                <w:rFonts w:ascii="ITC Avant Garde" w:eastAsia="Calibri" w:hAnsi="ITC Avant Garde"/>
                <w:bCs/>
                <w:i/>
                <w:color w:val="000000"/>
                <w:sz w:val="18"/>
                <w:szCs w:val="18"/>
                <w:lang w:eastAsia="es-MX"/>
              </w:rPr>
            </w:pPr>
            <w:r w:rsidRPr="00F17180">
              <w:rPr>
                <w:rFonts w:ascii="ITC Avant Garde" w:eastAsia="Calibri" w:hAnsi="ITC Avant Garde"/>
                <w:bCs/>
                <w:i/>
                <w:color w:val="000000"/>
                <w:sz w:val="18"/>
                <w:szCs w:val="18"/>
                <w:lang w:eastAsia="es-MX"/>
              </w:rPr>
              <w:t>4</w:t>
            </w:r>
          </w:p>
        </w:tc>
        <w:tc>
          <w:tcPr>
            <w:tcW w:w="3802" w:type="dxa"/>
            <w:vAlign w:val="center"/>
          </w:tcPr>
          <w:p w14:paraId="1A9C76E3" w14:textId="333D0BA0" w:rsidR="004A5BE4" w:rsidRPr="00F17180" w:rsidRDefault="004A5BE4" w:rsidP="004A5BE4">
            <w:pPr>
              <w:autoSpaceDE w:val="0"/>
              <w:autoSpaceDN w:val="0"/>
              <w:adjustRightInd w:val="0"/>
              <w:jc w:val="both"/>
              <w:rPr>
                <w:rFonts w:ascii="ITC Avant Garde" w:eastAsia="Calibri" w:hAnsi="ITC Avant Garde"/>
                <w:bCs/>
                <w:i/>
                <w:color w:val="000000"/>
                <w:sz w:val="18"/>
                <w:szCs w:val="18"/>
                <w:lang w:eastAsia="es-MX"/>
              </w:rPr>
            </w:pPr>
            <w:proofErr w:type="spellStart"/>
            <w:r w:rsidRPr="00F17180">
              <w:rPr>
                <w:rFonts w:ascii="ITC Avant Garde" w:eastAsia="Calibri" w:hAnsi="ITC Avant Garde"/>
                <w:bCs/>
                <w:i/>
                <w:color w:val="000000"/>
                <w:sz w:val="18"/>
                <w:szCs w:val="18"/>
                <w:lang w:eastAsia="es-MX"/>
              </w:rPr>
              <w:t>Radiosistemas</w:t>
            </w:r>
            <w:proofErr w:type="spellEnd"/>
            <w:r w:rsidRPr="00F17180">
              <w:rPr>
                <w:rFonts w:ascii="ITC Avant Garde" w:eastAsia="Calibri" w:hAnsi="ITC Avant Garde"/>
                <w:bCs/>
                <w:i/>
                <w:color w:val="000000"/>
                <w:sz w:val="18"/>
                <w:szCs w:val="18"/>
                <w:lang w:eastAsia="es-MX"/>
              </w:rPr>
              <w:t xml:space="preserve"> de Tamaulipas, S.A. de C.V.</w:t>
            </w:r>
          </w:p>
        </w:tc>
        <w:tc>
          <w:tcPr>
            <w:tcW w:w="2549" w:type="dxa"/>
            <w:vAlign w:val="center"/>
          </w:tcPr>
          <w:p w14:paraId="7F89B45C" w14:textId="77777777" w:rsidR="004A5BE4" w:rsidRPr="00F17180" w:rsidRDefault="004A5BE4" w:rsidP="00F74181">
            <w:pPr>
              <w:autoSpaceDE w:val="0"/>
              <w:autoSpaceDN w:val="0"/>
              <w:adjustRightInd w:val="0"/>
              <w:jc w:val="center"/>
              <w:rPr>
                <w:rFonts w:ascii="ITC Avant Garde" w:eastAsia="Calibri" w:hAnsi="ITC Avant Garde"/>
                <w:bCs/>
                <w:i/>
                <w:color w:val="000000"/>
                <w:sz w:val="18"/>
                <w:szCs w:val="18"/>
                <w:lang w:eastAsia="es-MX"/>
              </w:rPr>
            </w:pPr>
            <w:r w:rsidRPr="00F17180">
              <w:rPr>
                <w:rFonts w:ascii="ITC Avant Garde" w:eastAsia="Calibri" w:hAnsi="ITC Avant Garde"/>
                <w:bCs/>
                <w:i/>
                <w:color w:val="000000"/>
                <w:sz w:val="18"/>
                <w:szCs w:val="18"/>
                <w:lang w:eastAsia="es-MX"/>
              </w:rPr>
              <w:t>410-430 MHz</w:t>
            </w:r>
          </w:p>
        </w:tc>
        <w:tc>
          <w:tcPr>
            <w:tcW w:w="3073" w:type="dxa"/>
            <w:vAlign w:val="center"/>
          </w:tcPr>
          <w:p w14:paraId="60D91BB7" w14:textId="6CEEC20F" w:rsidR="004A5BE4" w:rsidRPr="00F17180" w:rsidRDefault="004A5BE4" w:rsidP="00F74181">
            <w:pPr>
              <w:autoSpaceDE w:val="0"/>
              <w:autoSpaceDN w:val="0"/>
              <w:adjustRightInd w:val="0"/>
              <w:jc w:val="center"/>
              <w:rPr>
                <w:rFonts w:ascii="ITC Avant Garde" w:eastAsia="Calibri" w:hAnsi="ITC Avant Garde"/>
                <w:bCs/>
                <w:i/>
                <w:color w:val="000000"/>
                <w:sz w:val="18"/>
                <w:szCs w:val="18"/>
                <w:lang w:eastAsia="es-MX"/>
              </w:rPr>
            </w:pPr>
            <w:r w:rsidRPr="00F17180">
              <w:rPr>
                <w:rFonts w:ascii="ITC Avant Garde" w:eastAsia="Calibri" w:hAnsi="ITC Avant Garde"/>
                <w:bCs/>
                <w:i/>
                <w:color w:val="000000"/>
                <w:sz w:val="18"/>
                <w:szCs w:val="18"/>
                <w:lang w:eastAsia="es-MX"/>
              </w:rPr>
              <w:t>15,589,365</w:t>
            </w:r>
          </w:p>
        </w:tc>
      </w:tr>
      <w:tr w:rsidR="004A5BE4" w:rsidRPr="00F17180" w14:paraId="502461B7" w14:textId="77777777" w:rsidTr="00F74181">
        <w:trPr>
          <w:jc w:val="center"/>
        </w:trPr>
        <w:tc>
          <w:tcPr>
            <w:tcW w:w="592" w:type="dxa"/>
            <w:vAlign w:val="center"/>
          </w:tcPr>
          <w:p w14:paraId="6DABA3A1" w14:textId="77777777" w:rsidR="004A5BE4" w:rsidRPr="00F17180" w:rsidRDefault="004A5BE4" w:rsidP="004A5BE4">
            <w:pPr>
              <w:autoSpaceDE w:val="0"/>
              <w:autoSpaceDN w:val="0"/>
              <w:adjustRightInd w:val="0"/>
              <w:jc w:val="both"/>
              <w:rPr>
                <w:rFonts w:ascii="ITC Avant Garde" w:eastAsia="Calibri" w:hAnsi="ITC Avant Garde"/>
                <w:bCs/>
                <w:i/>
                <w:color w:val="000000"/>
                <w:sz w:val="18"/>
                <w:szCs w:val="18"/>
                <w:lang w:eastAsia="es-MX"/>
              </w:rPr>
            </w:pPr>
            <w:r w:rsidRPr="00F17180">
              <w:rPr>
                <w:rFonts w:ascii="ITC Avant Garde" w:eastAsia="Calibri" w:hAnsi="ITC Avant Garde"/>
                <w:bCs/>
                <w:i/>
                <w:color w:val="000000"/>
                <w:sz w:val="18"/>
                <w:szCs w:val="18"/>
                <w:lang w:eastAsia="es-MX"/>
              </w:rPr>
              <w:t>[…]</w:t>
            </w:r>
          </w:p>
        </w:tc>
        <w:tc>
          <w:tcPr>
            <w:tcW w:w="3802" w:type="dxa"/>
            <w:vAlign w:val="center"/>
          </w:tcPr>
          <w:p w14:paraId="6CB13F43" w14:textId="77777777" w:rsidR="004A5BE4" w:rsidRPr="00F17180" w:rsidRDefault="004A5BE4" w:rsidP="00F74181">
            <w:pPr>
              <w:autoSpaceDE w:val="0"/>
              <w:autoSpaceDN w:val="0"/>
              <w:adjustRightInd w:val="0"/>
              <w:jc w:val="center"/>
              <w:rPr>
                <w:rFonts w:ascii="ITC Avant Garde" w:eastAsia="Calibri" w:hAnsi="ITC Avant Garde"/>
                <w:bCs/>
                <w:i/>
                <w:color w:val="000000"/>
                <w:sz w:val="18"/>
                <w:szCs w:val="18"/>
                <w:lang w:eastAsia="es-MX"/>
              </w:rPr>
            </w:pPr>
            <w:r w:rsidRPr="00F17180">
              <w:rPr>
                <w:rFonts w:ascii="ITC Avant Garde" w:eastAsia="Calibri" w:hAnsi="ITC Avant Garde"/>
                <w:bCs/>
                <w:i/>
                <w:color w:val="000000"/>
                <w:sz w:val="18"/>
                <w:szCs w:val="18"/>
                <w:lang w:eastAsia="es-MX"/>
              </w:rPr>
              <w:t>[…]</w:t>
            </w:r>
          </w:p>
        </w:tc>
        <w:tc>
          <w:tcPr>
            <w:tcW w:w="2549" w:type="dxa"/>
            <w:vAlign w:val="center"/>
          </w:tcPr>
          <w:p w14:paraId="66D4DD35" w14:textId="77777777" w:rsidR="004A5BE4" w:rsidRPr="00F17180" w:rsidRDefault="004A5BE4" w:rsidP="00F74181">
            <w:pPr>
              <w:autoSpaceDE w:val="0"/>
              <w:autoSpaceDN w:val="0"/>
              <w:adjustRightInd w:val="0"/>
              <w:jc w:val="center"/>
              <w:rPr>
                <w:rFonts w:ascii="ITC Avant Garde" w:eastAsia="Calibri" w:hAnsi="ITC Avant Garde"/>
                <w:bCs/>
                <w:i/>
                <w:color w:val="000000"/>
                <w:sz w:val="18"/>
                <w:szCs w:val="18"/>
                <w:lang w:eastAsia="es-MX"/>
              </w:rPr>
            </w:pPr>
            <w:r w:rsidRPr="00F17180">
              <w:rPr>
                <w:rFonts w:ascii="ITC Avant Garde" w:eastAsia="Calibri" w:hAnsi="ITC Avant Garde"/>
                <w:bCs/>
                <w:i/>
                <w:color w:val="000000"/>
                <w:sz w:val="18"/>
                <w:szCs w:val="18"/>
                <w:lang w:eastAsia="es-MX"/>
              </w:rPr>
              <w:t>[…]</w:t>
            </w:r>
          </w:p>
        </w:tc>
        <w:tc>
          <w:tcPr>
            <w:tcW w:w="3073" w:type="dxa"/>
            <w:vAlign w:val="center"/>
          </w:tcPr>
          <w:p w14:paraId="0F371B70" w14:textId="77777777" w:rsidR="004A5BE4" w:rsidRPr="00F17180" w:rsidRDefault="004A5BE4" w:rsidP="00F74181">
            <w:pPr>
              <w:autoSpaceDE w:val="0"/>
              <w:autoSpaceDN w:val="0"/>
              <w:adjustRightInd w:val="0"/>
              <w:jc w:val="center"/>
              <w:rPr>
                <w:rFonts w:ascii="ITC Avant Garde" w:eastAsia="Calibri" w:hAnsi="ITC Avant Garde"/>
                <w:bCs/>
                <w:i/>
                <w:color w:val="000000"/>
                <w:sz w:val="18"/>
                <w:szCs w:val="18"/>
                <w:lang w:eastAsia="es-MX"/>
              </w:rPr>
            </w:pPr>
            <w:r w:rsidRPr="00F17180">
              <w:rPr>
                <w:rFonts w:ascii="ITC Avant Garde" w:eastAsia="Calibri" w:hAnsi="ITC Avant Garde"/>
                <w:bCs/>
                <w:i/>
                <w:color w:val="000000"/>
                <w:sz w:val="18"/>
                <w:szCs w:val="18"/>
                <w:lang w:eastAsia="es-MX"/>
              </w:rPr>
              <w:t>[…]</w:t>
            </w:r>
          </w:p>
        </w:tc>
      </w:tr>
    </w:tbl>
    <w:p w14:paraId="2A6F7732" w14:textId="77777777" w:rsidR="00EC1596" w:rsidRPr="00F17180" w:rsidRDefault="00EC1596" w:rsidP="00B53D4B">
      <w:pPr>
        <w:ind w:right="48"/>
        <w:jc w:val="both"/>
        <w:rPr>
          <w:rFonts w:ascii="ITC Avant Garde" w:eastAsia="Calibri" w:hAnsi="ITC Avant Garde"/>
          <w:bCs/>
          <w:color w:val="000000"/>
          <w:sz w:val="22"/>
          <w:szCs w:val="22"/>
          <w:lang w:eastAsia="es-MX"/>
        </w:rPr>
      </w:pPr>
    </w:p>
    <w:p w14:paraId="19EFC57C" w14:textId="77777777" w:rsidR="00BF215B" w:rsidRPr="00F17180" w:rsidRDefault="00BF215B" w:rsidP="00B53D4B">
      <w:pPr>
        <w:ind w:right="48"/>
        <w:jc w:val="both"/>
        <w:rPr>
          <w:rFonts w:ascii="ITC Avant Garde" w:eastAsia="Calibri" w:hAnsi="ITC Avant Garde"/>
          <w:bCs/>
          <w:color w:val="000000"/>
          <w:sz w:val="22"/>
          <w:szCs w:val="22"/>
          <w:lang w:eastAsia="es-MX"/>
        </w:rPr>
      </w:pPr>
    </w:p>
    <w:p w14:paraId="3DA021F5" w14:textId="67EDD1DE" w:rsidR="005A7E62" w:rsidRPr="00F17180" w:rsidRDefault="005A7E62" w:rsidP="005A7E62">
      <w:pPr>
        <w:jc w:val="both"/>
        <w:rPr>
          <w:rFonts w:ascii="ITC Avant Garde" w:hAnsi="ITC Avant Garde"/>
          <w:bCs/>
          <w:sz w:val="22"/>
          <w:szCs w:val="22"/>
        </w:rPr>
      </w:pPr>
      <w:r w:rsidRPr="00F17180">
        <w:rPr>
          <w:rFonts w:ascii="ITC Avant Garde" w:hAnsi="ITC Avant Garde"/>
          <w:bCs/>
          <w:sz w:val="22"/>
          <w:szCs w:val="22"/>
        </w:rPr>
        <w:t>Por lo anteriormente señalado y con fundamento en los artículos 6o. Apartado B fracción II y 28 párrafos décimo quinto, décimo sexto, décimo séptimo y 134 de la Constitución Política de los Estados Unidos Mexicanos; Séptimo Transitorio del “</w:t>
      </w:r>
      <w:r w:rsidRPr="00F17180">
        <w:rPr>
          <w:rFonts w:ascii="ITC Avant Garde" w:hAnsi="ITC Avant Garde"/>
          <w:bCs/>
          <w:i/>
          <w:sz w:val="22"/>
          <w:szCs w:val="22"/>
        </w:rPr>
        <w:t>Decreto por el que se reforman y adicionan diversas disposiciones de los artículos 6o., 7o., 27, 28, 73, 78, 94 y 105 de la Constitución Política de los Estados Unidos Mexicanos, en materia de telecomunicaciones</w:t>
      </w:r>
      <w:r w:rsidRPr="00F17180">
        <w:rPr>
          <w:rFonts w:ascii="ITC Avant Garde" w:hAnsi="ITC Avant Garde"/>
          <w:bCs/>
          <w:sz w:val="22"/>
          <w:szCs w:val="22"/>
        </w:rPr>
        <w:t xml:space="preserve">”, publicado en el Diario Oficial de la Federación el 11 de junio de 2013; Sexto Transitorio del </w:t>
      </w:r>
      <w:r w:rsidRPr="00F17180">
        <w:rPr>
          <w:rFonts w:ascii="ITC Avant Garde" w:hAnsi="ITC Avant Garde"/>
          <w:bCs/>
          <w:color w:val="000000"/>
          <w:sz w:val="22"/>
          <w:szCs w:val="22"/>
          <w:lang w:eastAsia="es-MX"/>
        </w:rPr>
        <w:t>“</w:t>
      </w:r>
      <w:r w:rsidRPr="00F17180">
        <w:rPr>
          <w:rFonts w:ascii="ITC Avant Garde" w:hAnsi="ITC Avant Garde"/>
          <w:bCs/>
          <w:i/>
          <w:color w:val="000000"/>
          <w:sz w:val="22"/>
          <w:szCs w:val="22"/>
          <w:lang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F17180">
        <w:rPr>
          <w:rFonts w:ascii="ITC Avant Garde" w:hAnsi="ITC Avant Garde"/>
          <w:bCs/>
          <w:color w:val="000000"/>
          <w:sz w:val="22"/>
          <w:szCs w:val="22"/>
          <w:lang w:eastAsia="es-MX"/>
        </w:rPr>
        <w:t xml:space="preserve">”, publicado en el Diario Oficial de la Federación el 14 de julio de 2014; 15 fracciones IV y LVII, 16, 17 fracción I, 66, 67 fracción I, 68, 72, 75, 76 fracción I y 177 fracción I </w:t>
      </w:r>
      <w:r w:rsidRPr="00F17180">
        <w:rPr>
          <w:rFonts w:ascii="ITC Avant Garde" w:hAnsi="ITC Avant Garde"/>
          <w:bCs/>
          <w:sz w:val="22"/>
          <w:szCs w:val="22"/>
        </w:rPr>
        <w:t xml:space="preserve">de la Ley Federal de Telecomunicaciones y Radiodifusión; 14, </w:t>
      </w:r>
      <w:r w:rsidRPr="00F17180">
        <w:rPr>
          <w:rFonts w:ascii="ITC Avant Garde" w:hAnsi="ITC Avant Garde"/>
          <w:bCs/>
          <w:color w:val="000000"/>
          <w:sz w:val="22"/>
          <w:szCs w:val="22"/>
          <w:lang w:eastAsia="es-MX"/>
        </w:rPr>
        <w:t xml:space="preserve">19 y 27 de la Ley Federal de Telecomunicaciones; </w:t>
      </w:r>
      <w:r w:rsidRPr="00F17180">
        <w:rPr>
          <w:rFonts w:ascii="ITC Avant Garde" w:hAnsi="ITC Avant Garde"/>
          <w:bCs/>
          <w:sz w:val="22"/>
          <w:szCs w:val="22"/>
        </w:rPr>
        <w:t>35 fracción I, 36, 38, 39 y 57 fracción I de la Ley Federal de Procedimiento Administrativo;</w:t>
      </w:r>
      <w:r w:rsidR="00144715" w:rsidRPr="00F17180">
        <w:rPr>
          <w:rFonts w:ascii="ITC Avant Garde" w:hAnsi="ITC Avant Garde"/>
          <w:bCs/>
          <w:sz w:val="22"/>
          <w:szCs w:val="22"/>
        </w:rPr>
        <w:t xml:space="preserve"> 94 fracción III de la Ley Federal de Derechos vigente durante el año 2015;</w:t>
      </w:r>
      <w:r w:rsidRPr="00F17180">
        <w:rPr>
          <w:rFonts w:ascii="ITC Avant Garde" w:hAnsi="ITC Avant Garde"/>
          <w:bCs/>
          <w:color w:val="000000"/>
          <w:sz w:val="22"/>
          <w:szCs w:val="22"/>
          <w:lang w:eastAsia="es-MX"/>
        </w:rPr>
        <w:t xml:space="preserve"> </w:t>
      </w:r>
      <w:r w:rsidR="00AE5725">
        <w:rPr>
          <w:rFonts w:ascii="ITC Avant Garde" w:hAnsi="ITC Avant Garde"/>
          <w:bCs/>
          <w:color w:val="000000"/>
          <w:sz w:val="22"/>
          <w:szCs w:val="22"/>
          <w:lang w:eastAsia="es-MX"/>
        </w:rPr>
        <w:t xml:space="preserve">el Cuadro Nacional de Atribución de Frecuencias publicado en el Diario Oficial de la Federación el 20 de octubre de 2015, y </w:t>
      </w:r>
      <w:r w:rsidRPr="00F17180">
        <w:rPr>
          <w:rFonts w:ascii="ITC Avant Garde" w:hAnsi="ITC Avant Garde"/>
          <w:bCs/>
          <w:sz w:val="22"/>
          <w:szCs w:val="22"/>
        </w:rPr>
        <w:t>1, 6 fracciones I, XVIII y XXXVII, 27, 29, 30, 31 fracciones VII y XII, 32, 33 fracción II, 47 y 50 fracción XII del Estatuto Orgánico del Instituto Federal de Telecomunicaciones, este órgano autónomo emite los siguientes:</w:t>
      </w:r>
    </w:p>
    <w:p w14:paraId="28CCEA2E" w14:textId="77777777" w:rsidR="00D2656D" w:rsidRPr="00F17180" w:rsidRDefault="00D2656D" w:rsidP="00B53D4B">
      <w:pPr>
        <w:jc w:val="both"/>
        <w:rPr>
          <w:rFonts w:ascii="ITC Avant Garde" w:eastAsia="Calibri" w:hAnsi="ITC Avant Garde"/>
          <w:bCs/>
          <w:color w:val="000000"/>
          <w:sz w:val="22"/>
          <w:szCs w:val="22"/>
          <w:lang w:eastAsia="es-MX"/>
        </w:rPr>
      </w:pPr>
    </w:p>
    <w:p w14:paraId="5BD2F736" w14:textId="58D735E1" w:rsidR="000933CB" w:rsidRPr="00EF3EB1" w:rsidRDefault="000933CB" w:rsidP="00EF3EB1">
      <w:pPr>
        <w:pStyle w:val="Ttulo2"/>
        <w:jc w:val="center"/>
        <w:rPr>
          <w:rFonts w:ascii="ITC Avant Garde" w:eastAsia="Calibri" w:hAnsi="ITC Avant Garde"/>
          <w:b/>
          <w:sz w:val="22"/>
          <w:szCs w:val="22"/>
          <w:lang w:eastAsia="es-MX"/>
        </w:rPr>
      </w:pPr>
      <w:r w:rsidRPr="00EF3EB1">
        <w:rPr>
          <w:rFonts w:ascii="ITC Avant Garde" w:eastAsia="Calibri" w:hAnsi="ITC Avant Garde"/>
          <w:b/>
          <w:bCs/>
          <w:color w:val="000000"/>
          <w:sz w:val="22"/>
          <w:szCs w:val="22"/>
          <w:lang w:eastAsia="es-MX"/>
        </w:rPr>
        <w:t>RESOLUTIVOS</w:t>
      </w:r>
    </w:p>
    <w:p w14:paraId="0488856C" w14:textId="77777777" w:rsidR="007C0BC7" w:rsidRPr="00F17180" w:rsidRDefault="007C0BC7" w:rsidP="00B53D4B">
      <w:pPr>
        <w:rPr>
          <w:rFonts w:ascii="ITC Avant Garde" w:eastAsia="Calibri" w:hAnsi="ITC Avant Garde"/>
          <w:sz w:val="22"/>
          <w:szCs w:val="22"/>
          <w:lang w:eastAsia="es-MX"/>
        </w:rPr>
      </w:pPr>
    </w:p>
    <w:p w14:paraId="6B61D875" w14:textId="48F48B0B" w:rsidR="0034462B" w:rsidRPr="00F17180" w:rsidRDefault="0034462B" w:rsidP="0034462B">
      <w:pPr>
        <w:tabs>
          <w:tab w:val="num" w:pos="540"/>
        </w:tabs>
        <w:jc w:val="both"/>
        <w:rPr>
          <w:rFonts w:ascii="ITC Avant Garde" w:hAnsi="ITC Avant Garde"/>
          <w:bCs/>
          <w:color w:val="000000"/>
          <w:sz w:val="22"/>
          <w:szCs w:val="22"/>
          <w:lang w:val="es-ES" w:eastAsia="es-MX"/>
        </w:rPr>
      </w:pPr>
      <w:r w:rsidRPr="00F17180">
        <w:rPr>
          <w:rFonts w:ascii="ITC Avant Garde" w:hAnsi="ITC Avant Garde"/>
          <w:b/>
          <w:bCs/>
          <w:color w:val="000000"/>
          <w:sz w:val="22"/>
          <w:szCs w:val="22"/>
          <w:lang w:val="es-ES" w:eastAsia="es-MX"/>
        </w:rPr>
        <w:t xml:space="preserve">PRIMERO.- </w:t>
      </w:r>
      <w:r w:rsidRPr="00F17180">
        <w:rPr>
          <w:rFonts w:ascii="ITC Avant Garde" w:hAnsi="ITC Avant Garde"/>
          <w:bCs/>
          <w:color w:val="000000"/>
          <w:sz w:val="22"/>
          <w:szCs w:val="22"/>
          <w:lang w:val="es-ES" w:eastAsia="es-MX"/>
        </w:rPr>
        <w:t>Se autoriza a</w:t>
      </w:r>
      <w:r w:rsidRPr="00F17180">
        <w:rPr>
          <w:rFonts w:ascii="ITC Avant Garde" w:hAnsi="ITC Avant Garde" w:cstheme="minorHAnsi"/>
          <w:sz w:val="22"/>
          <w:szCs w:val="22"/>
        </w:rPr>
        <w:t xml:space="preserve"> </w:t>
      </w:r>
      <w:r w:rsidRPr="00F17180">
        <w:rPr>
          <w:rFonts w:ascii="ITC Avant Garde" w:hAnsi="ITC Avant Garde"/>
          <w:bCs/>
          <w:color w:val="000000"/>
          <w:sz w:val="22"/>
          <w:szCs w:val="22"/>
          <w:lang w:val="es-ES" w:eastAsia="es-MX"/>
        </w:rPr>
        <w:t>Radio Sistemas de Tamaulipas, S.A. de C.V., la prórroga de vigencia de la concesión para instalar, operar y explotar una red pública del servicio móvil de radiocomunicación especializada de flotillas, otorgada el 22 de diciembre de 1993.</w:t>
      </w:r>
    </w:p>
    <w:p w14:paraId="23B9E56F" w14:textId="77777777" w:rsidR="0034462B" w:rsidRPr="00F17180" w:rsidRDefault="0034462B" w:rsidP="0034462B">
      <w:pPr>
        <w:tabs>
          <w:tab w:val="num" w:pos="540"/>
        </w:tabs>
        <w:jc w:val="both"/>
        <w:rPr>
          <w:rFonts w:ascii="ITC Avant Garde" w:hAnsi="ITC Avant Garde"/>
          <w:bCs/>
          <w:color w:val="000000"/>
          <w:sz w:val="22"/>
          <w:szCs w:val="22"/>
          <w:lang w:val="es-ES" w:eastAsia="es-MX"/>
        </w:rPr>
      </w:pPr>
    </w:p>
    <w:p w14:paraId="2DA3A094" w14:textId="1B333CD3" w:rsidR="0034462B" w:rsidRPr="00F17180" w:rsidRDefault="0034462B" w:rsidP="0034462B">
      <w:pPr>
        <w:autoSpaceDE w:val="0"/>
        <w:autoSpaceDN w:val="0"/>
        <w:adjustRightInd w:val="0"/>
        <w:jc w:val="both"/>
        <w:rPr>
          <w:rFonts w:ascii="ITC Avant Garde" w:hAnsi="ITC Avant Garde"/>
          <w:bCs/>
          <w:sz w:val="22"/>
          <w:szCs w:val="22"/>
          <w:lang w:val="es-ES_tradnl"/>
        </w:rPr>
      </w:pPr>
      <w:r w:rsidRPr="00F17180">
        <w:rPr>
          <w:rFonts w:ascii="ITC Avant Garde" w:hAnsi="ITC Avant Garde"/>
          <w:bCs/>
          <w:sz w:val="22"/>
          <w:szCs w:val="22"/>
        </w:rPr>
        <w:t xml:space="preserve">Para tal efecto, el Instituto Federal de Telecomunicaciones otorgará un título de concesión única para uso comercial en favor de </w:t>
      </w:r>
      <w:r w:rsidRPr="00F17180">
        <w:rPr>
          <w:rFonts w:ascii="ITC Avant Garde" w:hAnsi="ITC Avant Garde"/>
          <w:bCs/>
          <w:color w:val="000000"/>
          <w:sz w:val="22"/>
          <w:szCs w:val="22"/>
          <w:lang w:val="es-ES" w:eastAsia="es-MX"/>
        </w:rPr>
        <w:t>Radio Sistemas de Tamaulipas, S.A. de C.V.</w:t>
      </w:r>
      <w:r w:rsidRPr="00F17180">
        <w:rPr>
          <w:rFonts w:ascii="ITC Avant Garde" w:hAnsi="ITC Avant Garde"/>
          <w:bCs/>
          <w:sz w:val="22"/>
          <w:szCs w:val="22"/>
        </w:rPr>
        <w:t xml:space="preserve"> con una vigencia de 30 (treinta) años contados a partir del 23 de diciembre de 2008, </w:t>
      </w:r>
      <w:r w:rsidRPr="00F17180">
        <w:rPr>
          <w:rFonts w:ascii="ITC Avant Garde" w:hAnsi="ITC Avant Garde"/>
          <w:bCs/>
          <w:sz w:val="22"/>
          <w:szCs w:val="22"/>
          <w:lang w:val="es-ES_tradnl"/>
        </w:rPr>
        <w:t>con cobertura nacional y con el que podrá prestar cualquier servicio de telecomunicaciones y de radiodifusión que sea técnicamente factible.</w:t>
      </w:r>
    </w:p>
    <w:p w14:paraId="79540BA7" w14:textId="77777777" w:rsidR="0034462B" w:rsidRPr="00F17180" w:rsidRDefault="0034462B" w:rsidP="0034462B">
      <w:pPr>
        <w:autoSpaceDE w:val="0"/>
        <w:autoSpaceDN w:val="0"/>
        <w:adjustRightInd w:val="0"/>
        <w:jc w:val="both"/>
        <w:rPr>
          <w:rFonts w:ascii="ITC Avant Garde" w:hAnsi="ITC Avant Garde"/>
          <w:bCs/>
          <w:sz w:val="22"/>
          <w:szCs w:val="22"/>
        </w:rPr>
      </w:pPr>
    </w:p>
    <w:p w14:paraId="28500739" w14:textId="116BF5B0" w:rsidR="0034462B" w:rsidRDefault="0034462B" w:rsidP="0034462B">
      <w:pPr>
        <w:autoSpaceDE w:val="0"/>
        <w:autoSpaceDN w:val="0"/>
        <w:adjustRightInd w:val="0"/>
        <w:jc w:val="both"/>
        <w:rPr>
          <w:rFonts w:ascii="ITC Avant Garde" w:hAnsi="ITC Avant Garde"/>
          <w:bCs/>
          <w:sz w:val="22"/>
          <w:szCs w:val="22"/>
        </w:rPr>
      </w:pPr>
      <w:r w:rsidRPr="00F17180">
        <w:rPr>
          <w:rFonts w:ascii="ITC Avant Garde" w:hAnsi="ITC Avant Garde"/>
          <w:bCs/>
          <w:sz w:val="22"/>
          <w:szCs w:val="22"/>
        </w:rPr>
        <w:t xml:space="preserve">A fin de que el Instituto Federal de Telecomunicaciones expida el título de concesión señalado en el párrafo anterior, </w:t>
      </w:r>
      <w:r w:rsidRPr="00F17180">
        <w:rPr>
          <w:rFonts w:ascii="ITC Avant Garde" w:hAnsi="ITC Avant Garde"/>
          <w:bCs/>
          <w:color w:val="000000"/>
          <w:sz w:val="22"/>
          <w:szCs w:val="22"/>
          <w:lang w:val="es-ES" w:eastAsia="es-MX"/>
        </w:rPr>
        <w:t>Radio Sistemas de Tamaulipas, S.A. de C.V.</w:t>
      </w:r>
      <w:r w:rsidRPr="00F17180">
        <w:rPr>
          <w:rFonts w:ascii="ITC Avant Garde" w:hAnsi="ITC Avant Garde"/>
          <w:bCs/>
          <w:sz w:val="22"/>
          <w:szCs w:val="22"/>
        </w:rPr>
        <w:t xml:space="preserve">deberá aceptar expresamente y de manera previa, las nuevas condiciones que al efecto se le establezcan, de conformidad con lo dispuesto por </w:t>
      </w:r>
      <w:r w:rsidR="00E0154E">
        <w:rPr>
          <w:rFonts w:ascii="ITC Avant Garde" w:hAnsi="ITC Avant Garde"/>
          <w:bCs/>
          <w:sz w:val="22"/>
          <w:szCs w:val="22"/>
        </w:rPr>
        <w:t>los</w:t>
      </w:r>
      <w:r w:rsidRPr="00F17180">
        <w:rPr>
          <w:rFonts w:ascii="ITC Avant Garde" w:hAnsi="ITC Avant Garde"/>
          <w:bCs/>
          <w:sz w:val="22"/>
          <w:szCs w:val="22"/>
        </w:rPr>
        <w:t xml:space="preserve"> Resolutivo</w:t>
      </w:r>
      <w:r w:rsidR="00E0154E">
        <w:rPr>
          <w:rFonts w:ascii="ITC Avant Garde" w:hAnsi="ITC Avant Garde"/>
          <w:bCs/>
          <w:sz w:val="22"/>
          <w:szCs w:val="22"/>
        </w:rPr>
        <w:t>s</w:t>
      </w:r>
      <w:r w:rsidRPr="00F17180">
        <w:rPr>
          <w:rFonts w:ascii="ITC Avant Garde" w:hAnsi="ITC Avant Garde"/>
          <w:bCs/>
          <w:sz w:val="22"/>
          <w:szCs w:val="22"/>
        </w:rPr>
        <w:t xml:space="preserve"> Cuarto</w:t>
      </w:r>
      <w:r w:rsidR="00E0154E">
        <w:rPr>
          <w:rFonts w:ascii="ITC Avant Garde" w:hAnsi="ITC Avant Garde"/>
          <w:bCs/>
          <w:sz w:val="22"/>
          <w:szCs w:val="22"/>
        </w:rPr>
        <w:t xml:space="preserve"> y Quinto</w:t>
      </w:r>
      <w:r w:rsidRPr="00F17180">
        <w:rPr>
          <w:rFonts w:ascii="ITC Avant Garde" w:hAnsi="ITC Avant Garde"/>
          <w:bCs/>
          <w:sz w:val="22"/>
          <w:szCs w:val="22"/>
        </w:rPr>
        <w:t xml:space="preserve"> de la presente Resolución.</w:t>
      </w:r>
    </w:p>
    <w:p w14:paraId="31D97AE4" w14:textId="77777777" w:rsidR="007C0BC7" w:rsidRDefault="007C0BC7" w:rsidP="0034462B">
      <w:pPr>
        <w:autoSpaceDE w:val="0"/>
        <w:autoSpaceDN w:val="0"/>
        <w:adjustRightInd w:val="0"/>
        <w:jc w:val="both"/>
        <w:rPr>
          <w:rFonts w:ascii="ITC Avant Garde" w:hAnsi="ITC Avant Garde"/>
          <w:bCs/>
          <w:sz w:val="22"/>
          <w:szCs w:val="22"/>
        </w:rPr>
      </w:pPr>
    </w:p>
    <w:p w14:paraId="047339EF" w14:textId="77777777" w:rsidR="007C0BC7" w:rsidRPr="00F17180" w:rsidRDefault="007C0BC7" w:rsidP="0034462B">
      <w:pPr>
        <w:autoSpaceDE w:val="0"/>
        <w:autoSpaceDN w:val="0"/>
        <w:adjustRightInd w:val="0"/>
        <w:jc w:val="both"/>
        <w:rPr>
          <w:rFonts w:ascii="ITC Avant Garde" w:hAnsi="ITC Avant Garde"/>
          <w:bCs/>
          <w:sz w:val="22"/>
          <w:szCs w:val="22"/>
        </w:rPr>
      </w:pPr>
    </w:p>
    <w:p w14:paraId="18C49E80" w14:textId="04013FB0" w:rsidR="0034462B" w:rsidRPr="00F17180" w:rsidRDefault="0034462B" w:rsidP="0034462B">
      <w:pPr>
        <w:autoSpaceDE w:val="0"/>
        <w:autoSpaceDN w:val="0"/>
        <w:adjustRightInd w:val="0"/>
        <w:jc w:val="both"/>
        <w:rPr>
          <w:rFonts w:ascii="ITC Avant Garde" w:hAnsi="ITC Avant Garde"/>
          <w:bCs/>
          <w:sz w:val="22"/>
          <w:szCs w:val="22"/>
        </w:rPr>
      </w:pPr>
      <w:r w:rsidRPr="00F17180">
        <w:rPr>
          <w:rFonts w:ascii="ITC Avant Garde" w:hAnsi="ITC Avant Garde"/>
          <w:b/>
          <w:bCs/>
          <w:color w:val="000000"/>
          <w:sz w:val="22"/>
          <w:szCs w:val="22"/>
          <w:lang w:val="es-ES" w:eastAsia="es-MX"/>
        </w:rPr>
        <w:t>SEGUNDO.-</w:t>
      </w:r>
      <w:r w:rsidRPr="00F17180">
        <w:rPr>
          <w:rFonts w:ascii="ITC Avant Garde" w:hAnsi="ITC Avant Garde"/>
          <w:bCs/>
        </w:rPr>
        <w:t xml:space="preserve"> </w:t>
      </w:r>
      <w:r w:rsidRPr="00F17180">
        <w:rPr>
          <w:rFonts w:ascii="ITC Avant Garde" w:hAnsi="ITC Avant Garde"/>
          <w:bCs/>
          <w:sz w:val="22"/>
          <w:szCs w:val="22"/>
        </w:rPr>
        <w:t xml:space="preserve">De conformidad con la autorización señalada en el Resolutivo que antecede, el Instituto Federal de Telecomunicaciones otorgará </w:t>
      </w:r>
      <w:r w:rsidR="00653D2B" w:rsidRPr="00F17180">
        <w:rPr>
          <w:rFonts w:ascii="ITC Avant Garde" w:hAnsi="ITC Avant Garde"/>
          <w:bCs/>
          <w:sz w:val="22"/>
          <w:szCs w:val="22"/>
        </w:rPr>
        <w:t xml:space="preserve">en favor de </w:t>
      </w:r>
      <w:r w:rsidR="00653D2B" w:rsidRPr="00F17180">
        <w:rPr>
          <w:rFonts w:ascii="ITC Avant Garde" w:hAnsi="ITC Avant Garde"/>
          <w:bCs/>
          <w:color w:val="000000"/>
          <w:sz w:val="22"/>
          <w:szCs w:val="22"/>
          <w:lang w:val="es-ES" w:eastAsia="es-MX"/>
        </w:rPr>
        <w:t xml:space="preserve">Radio Sistemas de Tamaulipas, S.A. de C.V., </w:t>
      </w:r>
      <w:r w:rsidRPr="00F17180">
        <w:rPr>
          <w:rFonts w:ascii="ITC Avant Garde" w:hAnsi="ITC Avant Garde"/>
          <w:bCs/>
          <w:sz w:val="22"/>
          <w:szCs w:val="22"/>
        </w:rPr>
        <w:t xml:space="preserve">un título de concesión para usar, aprovechar y explotar bandas de frecuencias del espectro radioeléctrico para uso comercial, con una vigencia de 20 (veinte) años contados a partir del 23 de diciembre de 2008, con </w:t>
      </w:r>
      <w:r w:rsidR="00653D2B" w:rsidRPr="00F17180">
        <w:rPr>
          <w:rFonts w:ascii="ITC Avant Garde" w:hAnsi="ITC Avant Garde"/>
          <w:bCs/>
          <w:sz w:val="22"/>
          <w:szCs w:val="22"/>
        </w:rPr>
        <w:t>la siguiente cobertura:</w:t>
      </w:r>
    </w:p>
    <w:p w14:paraId="03324ECD" w14:textId="77777777" w:rsidR="00A41C5F" w:rsidRDefault="00A41C5F" w:rsidP="0034462B">
      <w:pPr>
        <w:autoSpaceDE w:val="0"/>
        <w:autoSpaceDN w:val="0"/>
        <w:adjustRightInd w:val="0"/>
        <w:jc w:val="both"/>
        <w:rPr>
          <w:rFonts w:ascii="ITC Avant Garde" w:hAnsi="ITC Avant Garde"/>
          <w:bCs/>
          <w:sz w:val="22"/>
          <w:szCs w:val="22"/>
        </w:rPr>
      </w:pPr>
    </w:p>
    <w:p w14:paraId="5382340E" w14:textId="47DD7F6D" w:rsidR="007C0BC7" w:rsidRPr="00F74181" w:rsidRDefault="00F74181" w:rsidP="00F74181">
      <w:pPr>
        <w:autoSpaceDE w:val="0"/>
        <w:autoSpaceDN w:val="0"/>
        <w:adjustRightInd w:val="0"/>
        <w:jc w:val="center"/>
        <w:rPr>
          <w:rFonts w:ascii="ITC Avant Garde" w:hAnsi="ITC Avant Garde"/>
          <w:bCs/>
          <w:sz w:val="22"/>
          <w:szCs w:val="22"/>
        </w:rPr>
      </w:pPr>
      <w:r w:rsidRPr="00F74181">
        <w:rPr>
          <w:rFonts w:ascii="ITC Avant Garde" w:hAnsi="ITC Avant Garde"/>
          <w:b/>
          <w:sz w:val="22"/>
          <w:szCs w:val="22"/>
        </w:rPr>
        <w:t>Cobertura</w:t>
      </w:r>
    </w:p>
    <w:tbl>
      <w:tblPr>
        <w:tblStyle w:val="Tablaconcuadrcula"/>
        <w:tblW w:w="3476" w:type="pct"/>
        <w:jc w:val="center"/>
        <w:tblLook w:val="04A0" w:firstRow="1" w:lastRow="0" w:firstColumn="1" w:lastColumn="0" w:noHBand="0" w:noVBand="1"/>
        <w:tblCaption w:val="Cobertura de explotación y aprovechamiento de bandas de frecuencia."/>
        <w:tblDescription w:val="Estado de Tamaulipas.- Municios de Abasolo, Aldama, Altamira, Antiguo Morelos, Burgos, Bustamante, Camargo, Casas, Ciudad Madero, Cruillas, El Mante, Gomez Farías, González, Güémez, Guerrero, Gustavo Díaz Ordaz, Hidalgo, Jaumave, Jiménez, Llera, Mainero, Matamoros, Méndez, Mier, Miguel Alemán, Miquihuana, Nuevo Laredo, Nuevo Morelos, Ocampo, Padilla, Palmillas, Reynosa, Río Bravo, San Carlos, San Fernando, San Nicolás, Soto la Marina, Tampico, Tula, Valle Hermoso, Victoria, Villagrán y Xicoténcatl."/>
      </w:tblPr>
      <w:tblGrid>
        <w:gridCol w:w="1739"/>
        <w:gridCol w:w="5224"/>
      </w:tblGrid>
      <w:tr w:rsidR="00653D2B" w:rsidRPr="00F17180" w14:paraId="23DCB33C" w14:textId="77777777" w:rsidTr="00331ADC">
        <w:trPr>
          <w:trHeight w:val="353"/>
          <w:tblHeader/>
          <w:jc w:val="center"/>
        </w:trPr>
        <w:tc>
          <w:tcPr>
            <w:tcW w:w="1249" w:type="pct"/>
            <w:shd w:val="clear" w:color="auto" w:fill="A6A6A6" w:themeFill="background1" w:themeFillShade="A6"/>
          </w:tcPr>
          <w:p w14:paraId="4025293B" w14:textId="77777777" w:rsidR="00653D2B" w:rsidRPr="00F17180" w:rsidRDefault="00653D2B" w:rsidP="00D2656D">
            <w:pPr>
              <w:jc w:val="center"/>
              <w:rPr>
                <w:rFonts w:ascii="ITC Avant Garde" w:hAnsi="ITC Avant Garde"/>
                <w:b/>
                <w:sz w:val="18"/>
                <w:szCs w:val="18"/>
              </w:rPr>
            </w:pPr>
            <w:r w:rsidRPr="00F17180">
              <w:rPr>
                <w:rFonts w:ascii="ITC Avant Garde" w:hAnsi="ITC Avant Garde"/>
                <w:b/>
                <w:sz w:val="18"/>
                <w:szCs w:val="18"/>
              </w:rPr>
              <w:t>Estado</w:t>
            </w:r>
          </w:p>
        </w:tc>
        <w:tc>
          <w:tcPr>
            <w:tcW w:w="3751" w:type="pct"/>
            <w:shd w:val="clear" w:color="auto" w:fill="A6A6A6" w:themeFill="background1" w:themeFillShade="A6"/>
          </w:tcPr>
          <w:p w14:paraId="6CAB863C" w14:textId="77777777" w:rsidR="00653D2B" w:rsidRPr="00F17180" w:rsidRDefault="00653D2B" w:rsidP="00D2656D">
            <w:pPr>
              <w:jc w:val="center"/>
              <w:rPr>
                <w:rFonts w:ascii="ITC Avant Garde" w:hAnsi="ITC Avant Garde"/>
                <w:b/>
                <w:sz w:val="18"/>
                <w:szCs w:val="18"/>
              </w:rPr>
            </w:pPr>
            <w:r w:rsidRPr="00F17180">
              <w:rPr>
                <w:rFonts w:ascii="ITC Avant Garde" w:hAnsi="ITC Avant Garde"/>
                <w:b/>
                <w:sz w:val="18"/>
                <w:szCs w:val="18"/>
              </w:rPr>
              <w:t>Municipios</w:t>
            </w:r>
          </w:p>
        </w:tc>
      </w:tr>
      <w:tr w:rsidR="00653D2B" w:rsidRPr="00F17180" w14:paraId="64E5571E" w14:textId="77777777" w:rsidTr="00331ADC">
        <w:trPr>
          <w:trHeight w:val="272"/>
          <w:jc w:val="center"/>
        </w:trPr>
        <w:tc>
          <w:tcPr>
            <w:tcW w:w="1249" w:type="pct"/>
          </w:tcPr>
          <w:p w14:paraId="5EA98DD4" w14:textId="77777777" w:rsidR="00653D2B" w:rsidRPr="00F17180" w:rsidRDefault="00653D2B" w:rsidP="00D2656D">
            <w:pPr>
              <w:rPr>
                <w:rFonts w:ascii="ITC Avant Garde" w:hAnsi="ITC Avant Garde"/>
                <w:sz w:val="18"/>
                <w:szCs w:val="18"/>
              </w:rPr>
            </w:pPr>
            <w:r w:rsidRPr="00F17180">
              <w:rPr>
                <w:rFonts w:ascii="ITC Avant Garde" w:hAnsi="ITC Avant Garde"/>
                <w:sz w:val="18"/>
                <w:szCs w:val="18"/>
              </w:rPr>
              <w:t>Tamaulipas</w:t>
            </w:r>
          </w:p>
        </w:tc>
        <w:tc>
          <w:tcPr>
            <w:tcW w:w="3751" w:type="pct"/>
          </w:tcPr>
          <w:p w14:paraId="51488D9A" w14:textId="67570AB6" w:rsidR="00653D2B" w:rsidRPr="00F17180" w:rsidRDefault="00653D2B" w:rsidP="000B6276">
            <w:pPr>
              <w:jc w:val="both"/>
              <w:rPr>
                <w:rFonts w:ascii="ITC Avant Garde" w:hAnsi="ITC Avant Garde"/>
                <w:color w:val="000000"/>
                <w:sz w:val="18"/>
                <w:szCs w:val="18"/>
              </w:rPr>
            </w:pPr>
            <w:r w:rsidRPr="00F17180">
              <w:rPr>
                <w:rFonts w:ascii="ITC Avant Garde" w:hAnsi="ITC Avant Garde"/>
                <w:color w:val="000000"/>
                <w:sz w:val="18"/>
                <w:szCs w:val="18"/>
              </w:rPr>
              <w:t xml:space="preserve">Abasolo, Aldama, Altamira, Antiguo Morelos, Burgos, Bustamante, Camargo, Casas, Ciudad Madero, </w:t>
            </w:r>
            <w:proofErr w:type="spellStart"/>
            <w:r w:rsidRPr="00F17180">
              <w:rPr>
                <w:rFonts w:ascii="ITC Avant Garde" w:hAnsi="ITC Avant Garde"/>
                <w:color w:val="000000"/>
                <w:sz w:val="18"/>
                <w:szCs w:val="18"/>
              </w:rPr>
              <w:t>Cruillas</w:t>
            </w:r>
            <w:proofErr w:type="spellEnd"/>
            <w:r w:rsidRPr="00F17180">
              <w:rPr>
                <w:rFonts w:ascii="ITC Avant Garde" w:hAnsi="ITC Avant Garde"/>
                <w:color w:val="000000"/>
                <w:sz w:val="18"/>
                <w:szCs w:val="18"/>
              </w:rPr>
              <w:t xml:space="preserve">, El Mante, Gomez Farías, González, </w:t>
            </w:r>
            <w:proofErr w:type="spellStart"/>
            <w:r w:rsidRPr="00F17180">
              <w:rPr>
                <w:rFonts w:ascii="ITC Avant Garde" w:hAnsi="ITC Avant Garde"/>
                <w:color w:val="000000"/>
                <w:sz w:val="18"/>
                <w:szCs w:val="18"/>
              </w:rPr>
              <w:t>Güémez</w:t>
            </w:r>
            <w:proofErr w:type="spellEnd"/>
            <w:r w:rsidRPr="00F17180">
              <w:rPr>
                <w:rFonts w:ascii="ITC Avant Garde" w:hAnsi="ITC Avant Garde"/>
                <w:color w:val="000000"/>
                <w:sz w:val="18"/>
                <w:szCs w:val="18"/>
              </w:rPr>
              <w:t xml:space="preserve">, Guerrero, Gustavo Díaz Ordaz, Hidalgo, </w:t>
            </w:r>
            <w:proofErr w:type="spellStart"/>
            <w:r w:rsidRPr="00F17180">
              <w:rPr>
                <w:rFonts w:ascii="ITC Avant Garde" w:hAnsi="ITC Avant Garde"/>
                <w:color w:val="000000"/>
                <w:sz w:val="18"/>
                <w:szCs w:val="18"/>
              </w:rPr>
              <w:t>Jaumave</w:t>
            </w:r>
            <w:proofErr w:type="spellEnd"/>
            <w:r w:rsidRPr="00F17180">
              <w:rPr>
                <w:rFonts w:ascii="ITC Avant Garde" w:hAnsi="ITC Avant Garde"/>
                <w:color w:val="000000"/>
                <w:sz w:val="18"/>
                <w:szCs w:val="18"/>
              </w:rPr>
              <w:t xml:space="preserve">, Jiménez, Llera, </w:t>
            </w:r>
            <w:proofErr w:type="spellStart"/>
            <w:r w:rsidRPr="00F17180">
              <w:rPr>
                <w:rFonts w:ascii="ITC Avant Garde" w:hAnsi="ITC Avant Garde"/>
                <w:color w:val="000000"/>
                <w:sz w:val="18"/>
                <w:szCs w:val="18"/>
              </w:rPr>
              <w:t>Mainero</w:t>
            </w:r>
            <w:proofErr w:type="spellEnd"/>
            <w:r w:rsidRPr="00F17180">
              <w:rPr>
                <w:rFonts w:ascii="ITC Avant Garde" w:hAnsi="ITC Avant Garde"/>
                <w:color w:val="000000"/>
                <w:sz w:val="18"/>
                <w:szCs w:val="18"/>
              </w:rPr>
              <w:t xml:space="preserve">, Matamoros, Méndez, Mier, Miguel Alemán, </w:t>
            </w:r>
            <w:proofErr w:type="spellStart"/>
            <w:r w:rsidRPr="00F17180">
              <w:rPr>
                <w:rFonts w:ascii="ITC Avant Garde" w:hAnsi="ITC Avant Garde"/>
                <w:color w:val="000000"/>
                <w:sz w:val="18"/>
                <w:szCs w:val="18"/>
              </w:rPr>
              <w:t>Miquihuana</w:t>
            </w:r>
            <w:proofErr w:type="spellEnd"/>
            <w:r w:rsidRPr="00F17180">
              <w:rPr>
                <w:rFonts w:ascii="ITC Avant Garde" w:hAnsi="ITC Avant Garde"/>
                <w:color w:val="000000"/>
                <w:sz w:val="18"/>
                <w:szCs w:val="18"/>
              </w:rPr>
              <w:t>, Nuevo Laredo, Nuevo Morelos, Ocampo, Padilla, Palmillas, Reynosa, Río Bravo, San Carlos, San Fernando, San Nicolás, Soto la Marina, Tampico, Tula, Valle Hermoso, Victoria, Villagrán y Xicoténcatl.</w:t>
            </w:r>
          </w:p>
        </w:tc>
      </w:tr>
    </w:tbl>
    <w:p w14:paraId="1C5266BC" w14:textId="77777777" w:rsidR="00653D2B" w:rsidRPr="00F17180" w:rsidRDefault="00653D2B" w:rsidP="0034462B">
      <w:pPr>
        <w:autoSpaceDE w:val="0"/>
        <w:autoSpaceDN w:val="0"/>
        <w:adjustRightInd w:val="0"/>
        <w:jc w:val="both"/>
        <w:rPr>
          <w:rFonts w:ascii="ITC Avant Garde" w:hAnsi="ITC Avant Garde"/>
          <w:bCs/>
          <w:sz w:val="22"/>
          <w:szCs w:val="22"/>
        </w:rPr>
      </w:pPr>
    </w:p>
    <w:p w14:paraId="2E24B424" w14:textId="44E611FF" w:rsidR="0034462B" w:rsidRPr="00F17180" w:rsidRDefault="0034462B" w:rsidP="0034462B">
      <w:pPr>
        <w:autoSpaceDE w:val="0"/>
        <w:autoSpaceDN w:val="0"/>
        <w:adjustRightInd w:val="0"/>
        <w:jc w:val="both"/>
        <w:rPr>
          <w:rFonts w:ascii="ITC Avant Garde" w:hAnsi="ITC Avant Garde"/>
          <w:bCs/>
          <w:sz w:val="22"/>
          <w:szCs w:val="22"/>
        </w:rPr>
      </w:pPr>
      <w:r w:rsidRPr="00F17180">
        <w:rPr>
          <w:rFonts w:ascii="ITC Avant Garde" w:hAnsi="ITC Avant Garde"/>
          <w:bCs/>
          <w:sz w:val="22"/>
          <w:szCs w:val="22"/>
        </w:rPr>
        <w:t xml:space="preserve">A fin de que el Instituto Federal de Telecomunicaciones expida el título de concesión señalado en el párrafo anterior, </w:t>
      </w:r>
      <w:r w:rsidR="00D1256B" w:rsidRPr="00F17180">
        <w:rPr>
          <w:rFonts w:ascii="ITC Avant Garde" w:hAnsi="ITC Avant Garde"/>
          <w:bCs/>
          <w:color w:val="000000"/>
          <w:sz w:val="22"/>
          <w:szCs w:val="22"/>
          <w:lang w:val="es-ES" w:eastAsia="es-MX"/>
        </w:rPr>
        <w:t xml:space="preserve">Radio Sistemas de Tamaulipas, S.A. de C.V. </w:t>
      </w:r>
      <w:r w:rsidRPr="00F17180">
        <w:rPr>
          <w:rFonts w:ascii="ITC Avant Garde" w:hAnsi="ITC Avant Garde"/>
          <w:bCs/>
          <w:sz w:val="22"/>
          <w:szCs w:val="22"/>
        </w:rPr>
        <w:t>deberá aceptar expresamente y de manera previa, las nuevas condiciones que al efecto se le establezcan, de conformidad con lo dispuesto por los Resolutivos Cuarto y Quinto de la presente Resolución.</w:t>
      </w:r>
    </w:p>
    <w:p w14:paraId="42FF6278" w14:textId="77777777" w:rsidR="0034462B" w:rsidRDefault="0034462B" w:rsidP="0034462B">
      <w:pPr>
        <w:tabs>
          <w:tab w:val="num" w:pos="540"/>
        </w:tabs>
        <w:jc w:val="both"/>
        <w:rPr>
          <w:rFonts w:ascii="ITC Avant Garde" w:hAnsi="ITC Avant Garde"/>
          <w:bCs/>
          <w:color w:val="000000"/>
          <w:sz w:val="22"/>
          <w:szCs w:val="22"/>
          <w:lang w:val="es-ES" w:eastAsia="es-MX"/>
        </w:rPr>
      </w:pPr>
    </w:p>
    <w:p w14:paraId="2E1BB601" w14:textId="77777777" w:rsidR="007C0BC7" w:rsidRPr="00F17180" w:rsidRDefault="007C0BC7" w:rsidP="0034462B">
      <w:pPr>
        <w:tabs>
          <w:tab w:val="num" w:pos="540"/>
        </w:tabs>
        <w:jc w:val="both"/>
        <w:rPr>
          <w:rFonts w:ascii="ITC Avant Garde" w:hAnsi="ITC Avant Garde"/>
          <w:bCs/>
          <w:color w:val="000000"/>
          <w:sz w:val="22"/>
          <w:szCs w:val="22"/>
          <w:lang w:val="es-ES" w:eastAsia="es-MX"/>
        </w:rPr>
      </w:pPr>
    </w:p>
    <w:p w14:paraId="7ED47FFE" w14:textId="6FA7839C" w:rsidR="00653D2B" w:rsidRPr="00F17180" w:rsidRDefault="0034462B" w:rsidP="00653D2B">
      <w:pPr>
        <w:autoSpaceDE w:val="0"/>
        <w:autoSpaceDN w:val="0"/>
        <w:adjustRightInd w:val="0"/>
        <w:jc w:val="both"/>
        <w:rPr>
          <w:rFonts w:ascii="ITC Avant Garde" w:hAnsi="ITC Avant Garde"/>
          <w:bCs/>
          <w:sz w:val="22"/>
          <w:szCs w:val="22"/>
        </w:rPr>
      </w:pPr>
      <w:r w:rsidRPr="00F17180">
        <w:rPr>
          <w:rFonts w:ascii="ITC Avant Garde" w:hAnsi="ITC Avant Garde"/>
          <w:b/>
          <w:bCs/>
          <w:sz w:val="22"/>
          <w:szCs w:val="22"/>
          <w:lang w:val="es-ES_tradnl"/>
        </w:rPr>
        <w:t>TERCERO.-</w:t>
      </w:r>
      <w:r w:rsidRPr="00F17180">
        <w:rPr>
          <w:rFonts w:ascii="ITC Avant Garde" w:hAnsi="ITC Avant Garde"/>
          <w:bCs/>
          <w:lang w:val="es-ES_tradnl"/>
        </w:rPr>
        <w:t xml:space="preserve"> </w:t>
      </w:r>
      <w:r w:rsidRPr="00F17180">
        <w:rPr>
          <w:rFonts w:ascii="ITC Avant Garde" w:hAnsi="ITC Avant Garde"/>
          <w:sz w:val="22"/>
          <w:szCs w:val="22"/>
        </w:rPr>
        <w:t xml:space="preserve">El título de concesión para uso comercial a que se refiere el Resolutivo Segundo, confiere a </w:t>
      </w:r>
      <w:r w:rsidR="00D1256B" w:rsidRPr="00F17180">
        <w:rPr>
          <w:rFonts w:ascii="ITC Avant Garde" w:hAnsi="ITC Avant Garde"/>
          <w:bCs/>
          <w:color w:val="000000"/>
          <w:sz w:val="22"/>
          <w:szCs w:val="22"/>
          <w:lang w:val="es-ES"/>
        </w:rPr>
        <w:t>Radio Sistemas de Tamaulipas, S.A. de C.V.</w:t>
      </w:r>
      <w:r w:rsidRPr="00F17180">
        <w:rPr>
          <w:rFonts w:ascii="ITC Avant Garde" w:hAnsi="ITC Avant Garde"/>
          <w:sz w:val="22"/>
          <w:szCs w:val="22"/>
        </w:rPr>
        <w:t xml:space="preserve">, a partir de su inicio de vigencia, el derecho a prestar únicamente el servicio móvil de radiocomunicación especializada de </w:t>
      </w:r>
      <w:r w:rsidRPr="00F17180">
        <w:rPr>
          <w:rFonts w:ascii="ITC Avant Garde" w:hAnsi="ITC Avant Garde"/>
          <w:sz w:val="22"/>
          <w:szCs w:val="22"/>
        </w:rPr>
        <w:lastRenderedPageBreak/>
        <w:t xml:space="preserve">flotillas </w:t>
      </w:r>
      <w:r w:rsidRPr="00F17180">
        <w:rPr>
          <w:rFonts w:ascii="ITC Avant Garde" w:hAnsi="ITC Avant Garde"/>
          <w:bCs/>
          <w:color w:val="000000"/>
          <w:sz w:val="22"/>
          <w:szCs w:val="22"/>
        </w:rPr>
        <w:t xml:space="preserve">en los </w:t>
      </w:r>
      <w:r w:rsidR="00CE3E7A" w:rsidRPr="00F17180">
        <w:rPr>
          <w:rFonts w:ascii="ITC Avant Garde" w:hAnsi="ITC Avant Garde"/>
          <w:bCs/>
          <w:color w:val="000000"/>
          <w:sz w:val="22"/>
          <w:szCs w:val="22"/>
        </w:rPr>
        <w:t>grupos</w:t>
      </w:r>
      <w:r w:rsidRPr="00F17180">
        <w:rPr>
          <w:rFonts w:ascii="ITC Avant Garde" w:hAnsi="ITC Avant Garde"/>
          <w:bCs/>
          <w:color w:val="000000"/>
          <w:sz w:val="22"/>
          <w:szCs w:val="22"/>
        </w:rPr>
        <w:t xml:space="preserve"> para tal efecto definidos, dentro del rango de frecuencias 410-430 MHz, </w:t>
      </w:r>
      <w:r w:rsidR="00653D2B" w:rsidRPr="00F17180">
        <w:rPr>
          <w:rFonts w:ascii="ITC Avant Garde" w:hAnsi="ITC Avant Garde"/>
          <w:bCs/>
          <w:sz w:val="22"/>
          <w:szCs w:val="22"/>
        </w:rPr>
        <w:t xml:space="preserve">de conformidad con el siguiente esquema de asignación de </w:t>
      </w:r>
      <w:r w:rsidR="00CE3E7A" w:rsidRPr="00F17180">
        <w:rPr>
          <w:rFonts w:ascii="ITC Avant Garde" w:hAnsi="ITC Avant Garde"/>
          <w:bCs/>
          <w:sz w:val="22"/>
          <w:szCs w:val="22"/>
        </w:rPr>
        <w:t>cobertura</w:t>
      </w:r>
      <w:r w:rsidR="00653D2B" w:rsidRPr="00F17180">
        <w:rPr>
          <w:rFonts w:ascii="ITC Avant Garde" w:hAnsi="ITC Avant Garde"/>
          <w:bCs/>
          <w:sz w:val="22"/>
          <w:szCs w:val="22"/>
        </w:rPr>
        <w:t>:</w:t>
      </w:r>
    </w:p>
    <w:p w14:paraId="393F1FC5" w14:textId="77777777" w:rsidR="00653D2B" w:rsidRDefault="00653D2B" w:rsidP="00653D2B">
      <w:pPr>
        <w:autoSpaceDE w:val="0"/>
        <w:autoSpaceDN w:val="0"/>
        <w:adjustRightInd w:val="0"/>
        <w:jc w:val="both"/>
        <w:rPr>
          <w:rFonts w:ascii="ITC Avant Garde" w:hAnsi="ITC Avant Garde"/>
          <w:bCs/>
          <w:sz w:val="22"/>
          <w:szCs w:val="22"/>
        </w:rPr>
      </w:pPr>
    </w:p>
    <w:p w14:paraId="1BC47E5A" w14:textId="77777777" w:rsidR="005B1313" w:rsidRDefault="005B1313" w:rsidP="00653D2B">
      <w:pPr>
        <w:autoSpaceDE w:val="0"/>
        <w:autoSpaceDN w:val="0"/>
        <w:adjustRightInd w:val="0"/>
        <w:jc w:val="both"/>
        <w:rPr>
          <w:rFonts w:ascii="ITC Avant Garde" w:hAnsi="ITC Avant Garde"/>
          <w:bCs/>
          <w:sz w:val="22"/>
          <w:szCs w:val="22"/>
        </w:rPr>
      </w:pPr>
    </w:p>
    <w:p w14:paraId="4513D9B3" w14:textId="4A8A18CE" w:rsidR="007C0BC7" w:rsidRPr="00331ADC" w:rsidRDefault="00331ADC" w:rsidP="00331ADC">
      <w:pPr>
        <w:autoSpaceDE w:val="0"/>
        <w:autoSpaceDN w:val="0"/>
        <w:adjustRightInd w:val="0"/>
        <w:jc w:val="center"/>
        <w:rPr>
          <w:rFonts w:ascii="ITC Avant Garde" w:hAnsi="ITC Avant Garde"/>
          <w:bCs/>
          <w:sz w:val="22"/>
          <w:szCs w:val="22"/>
        </w:rPr>
      </w:pPr>
      <w:r w:rsidRPr="00331ADC">
        <w:rPr>
          <w:rFonts w:ascii="ITC Avant Garde" w:hAnsi="ITC Avant Garde"/>
          <w:b/>
          <w:sz w:val="22"/>
          <w:szCs w:val="22"/>
        </w:rPr>
        <w:t>Cobertura</w:t>
      </w:r>
    </w:p>
    <w:tbl>
      <w:tblPr>
        <w:tblStyle w:val="Tablaconcuadrcula"/>
        <w:tblW w:w="3725" w:type="pct"/>
        <w:jc w:val="center"/>
        <w:tblLook w:val="04A0" w:firstRow="1" w:lastRow="0" w:firstColumn="1" w:lastColumn="0" w:noHBand="0" w:noVBand="1"/>
        <w:tblCaption w:val="Asignación de cobertura de las frecuencias 410-430MHz."/>
        <w:tblDescription w:val="Estado deTamaulipas.- Municios de Abasolo, Aldama, Altamira, Antiguo Morelos, Burgos, Bustamante, Camargo, Casas, Ciudad Madero, Cruillas, El Mante, Gomez Farías, González, Güémez, Guerrero, Gustavo Díaz Ordaz, Hidalgo, Jaumave, Jiménez, Llera, Mainero, Matamoros, Méndez, Mier, Miguel Alemán, Miquihuana, Nuevo Laredo, Nuevo Morelos, Ocampo, Padilla, Palmillas, Reynosa, Río Bravo, San Carlos, San Fernando, San Nicolás, Soto la Marina, Tampico, Tula, Valle Hermoso, Victoria, Villagrán y Xicoténcatl."/>
      </w:tblPr>
      <w:tblGrid>
        <w:gridCol w:w="1456"/>
        <w:gridCol w:w="4373"/>
        <w:gridCol w:w="1633"/>
      </w:tblGrid>
      <w:tr w:rsidR="00331ADC" w:rsidRPr="00F17180" w14:paraId="663CB115" w14:textId="77777777" w:rsidTr="00331ADC">
        <w:trPr>
          <w:trHeight w:val="1114"/>
          <w:tblHeader/>
          <w:jc w:val="center"/>
        </w:trPr>
        <w:tc>
          <w:tcPr>
            <w:tcW w:w="976" w:type="pct"/>
            <w:shd w:val="clear" w:color="auto" w:fill="A6A6A6" w:themeFill="background1" w:themeFillShade="A6"/>
            <w:vAlign w:val="center"/>
          </w:tcPr>
          <w:p w14:paraId="240FD4EA" w14:textId="77777777" w:rsidR="00331ADC" w:rsidRPr="00F17180" w:rsidRDefault="00331ADC" w:rsidP="00D2656D">
            <w:pPr>
              <w:jc w:val="center"/>
              <w:rPr>
                <w:rFonts w:ascii="ITC Avant Garde" w:hAnsi="ITC Avant Garde"/>
                <w:b/>
                <w:sz w:val="18"/>
                <w:szCs w:val="18"/>
              </w:rPr>
            </w:pPr>
            <w:r w:rsidRPr="00F17180">
              <w:rPr>
                <w:rFonts w:ascii="ITC Avant Garde" w:hAnsi="ITC Avant Garde"/>
                <w:b/>
                <w:sz w:val="18"/>
                <w:szCs w:val="18"/>
              </w:rPr>
              <w:t>Estado</w:t>
            </w:r>
          </w:p>
        </w:tc>
        <w:tc>
          <w:tcPr>
            <w:tcW w:w="2930" w:type="pct"/>
            <w:shd w:val="clear" w:color="auto" w:fill="A6A6A6" w:themeFill="background1" w:themeFillShade="A6"/>
            <w:vAlign w:val="center"/>
          </w:tcPr>
          <w:p w14:paraId="7CED46B4" w14:textId="671ECF9E" w:rsidR="00331ADC" w:rsidRPr="00F17180" w:rsidRDefault="00331ADC" w:rsidP="00D2656D">
            <w:pPr>
              <w:jc w:val="center"/>
              <w:rPr>
                <w:rFonts w:ascii="ITC Avant Garde" w:hAnsi="ITC Avant Garde"/>
                <w:b/>
                <w:sz w:val="18"/>
                <w:szCs w:val="18"/>
              </w:rPr>
            </w:pPr>
            <w:r w:rsidRPr="00F17180">
              <w:rPr>
                <w:rFonts w:ascii="ITC Avant Garde" w:hAnsi="ITC Avant Garde"/>
                <w:b/>
                <w:sz w:val="18"/>
                <w:szCs w:val="18"/>
              </w:rPr>
              <w:t>Municipios</w:t>
            </w:r>
          </w:p>
        </w:tc>
        <w:tc>
          <w:tcPr>
            <w:tcW w:w="1095" w:type="pct"/>
            <w:shd w:val="clear" w:color="auto" w:fill="A6A6A6" w:themeFill="background1" w:themeFillShade="A6"/>
            <w:vAlign w:val="center"/>
          </w:tcPr>
          <w:p w14:paraId="35BE7289" w14:textId="77777777" w:rsidR="00331ADC" w:rsidRPr="00F17180" w:rsidRDefault="00331ADC" w:rsidP="00D2656D">
            <w:pPr>
              <w:jc w:val="center"/>
              <w:rPr>
                <w:rFonts w:ascii="ITC Avant Garde" w:hAnsi="ITC Avant Garde"/>
                <w:b/>
                <w:sz w:val="18"/>
                <w:szCs w:val="18"/>
              </w:rPr>
            </w:pPr>
            <w:r w:rsidRPr="00F17180">
              <w:rPr>
                <w:rFonts w:ascii="ITC Avant Garde" w:hAnsi="ITC Avant Garde"/>
                <w:b/>
                <w:sz w:val="18"/>
                <w:szCs w:val="18"/>
              </w:rPr>
              <w:t>Grupos de frecuencia asignados en la banda de 400 MHz</w:t>
            </w:r>
          </w:p>
        </w:tc>
      </w:tr>
      <w:tr w:rsidR="00653D2B" w:rsidRPr="00F17180" w14:paraId="19416C4B" w14:textId="77777777" w:rsidTr="00331ADC">
        <w:trPr>
          <w:trHeight w:val="139"/>
          <w:jc w:val="center"/>
        </w:trPr>
        <w:tc>
          <w:tcPr>
            <w:tcW w:w="976" w:type="pct"/>
          </w:tcPr>
          <w:p w14:paraId="101A5BD8" w14:textId="77777777" w:rsidR="00653D2B" w:rsidRPr="00F17180" w:rsidRDefault="00653D2B" w:rsidP="00D2656D">
            <w:pPr>
              <w:rPr>
                <w:rFonts w:ascii="ITC Avant Garde" w:hAnsi="ITC Avant Garde"/>
                <w:sz w:val="18"/>
                <w:szCs w:val="18"/>
              </w:rPr>
            </w:pPr>
            <w:r w:rsidRPr="00F17180">
              <w:rPr>
                <w:rFonts w:ascii="ITC Avant Garde" w:hAnsi="ITC Avant Garde"/>
                <w:sz w:val="18"/>
                <w:szCs w:val="18"/>
              </w:rPr>
              <w:t>Tamaulipas</w:t>
            </w:r>
          </w:p>
        </w:tc>
        <w:tc>
          <w:tcPr>
            <w:tcW w:w="2930" w:type="pct"/>
          </w:tcPr>
          <w:p w14:paraId="2AA04DF5" w14:textId="259BDC16" w:rsidR="00653D2B" w:rsidRPr="00F17180" w:rsidRDefault="00653D2B" w:rsidP="000B6276">
            <w:pPr>
              <w:jc w:val="both"/>
              <w:rPr>
                <w:rFonts w:ascii="ITC Avant Garde" w:hAnsi="ITC Avant Garde"/>
                <w:color w:val="000000"/>
                <w:sz w:val="18"/>
                <w:szCs w:val="18"/>
              </w:rPr>
            </w:pPr>
            <w:r w:rsidRPr="00F17180">
              <w:rPr>
                <w:rFonts w:ascii="ITC Avant Garde" w:hAnsi="ITC Avant Garde"/>
                <w:color w:val="000000"/>
                <w:sz w:val="18"/>
                <w:szCs w:val="18"/>
              </w:rPr>
              <w:t xml:space="preserve">Abasolo, Aldama, Altamira, Antiguo Morelos, Burgos, Bustamante, Camargo, Casas, Ciudad Madero, </w:t>
            </w:r>
            <w:proofErr w:type="spellStart"/>
            <w:r w:rsidRPr="00F17180">
              <w:rPr>
                <w:rFonts w:ascii="ITC Avant Garde" w:hAnsi="ITC Avant Garde"/>
                <w:color w:val="000000"/>
                <w:sz w:val="18"/>
                <w:szCs w:val="18"/>
              </w:rPr>
              <w:t>Cruillas</w:t>
            </w:r>
            <w:proofErr w:type="spellEnd"/>
            <w:r w:rsidRPr="00F17180">
              <w:rPr>
                <w:rFonts w:ascii="ITC Avant Garde" w:hAnsi="ITC Avant Garde"/>
                <w:color w:val="000000"/>
                <w:sz w:val="18"/>
                <w:szCs w:val="18"/>
              </w:rPr>
              <w:t xml:space="preserve">, El Mante, Gomez Farías, González, </w:t>
            </w:r>
            <w:proofErr w:type="spellStart"/>
            <w:r w:rsidRPr="00F17180">
              <w:rPr>
                <w:rFonts w:ascii="ITC Avant Garde" w:hAnsi="ITC Avant Garde"/>
                <w:color w:val="000000"/>
                <w:sz w:val="18"/>
                <w:szCs w:val="18"/>
              </w:rPr>
              <w:t>Güémez</w:t>
            </w:r>
            <w:proofErr w:type="spellEnd"/>
            <w:r w:rsidRPr="00F17180">
              <w:rPr>
                <w:rFonts w:ascii="ITC Avant Garde" w:hAnsi="ITC Avant Garde"/>
                <w:color w:val="000000"/>
                <w:sz w:val="18"/>
                <w:szCs w:val="18"/>
              </w:rPr>
              <w:t xml:space="preserve">, Guerrero, Gustavo Díaz Ordaz, Hidalgo, </w:t>
            </w:r>
            <w:proofErr w:type="spellStart"/>
            <w:r w:rsidRPr="00F17180">
              <w:rPr>
                <w:rFonts w:ascii="ITC Avant Garde" w:hAnsi="ITC Avant Garde"/>
                <w:color w:val="000000"/>
                <w:sz w:val="18"/>
                <w:szCs w:val="18"/>
              </w:rPr>
              <w:t>Jaumave</w:t>
            </w:r>
            <w:proofErr w:type="spellEnd"/>
            <w:r w:rsidRPr="00F17180">
              <w:rPr>
                <w:rFonts w:ascii="ITC Avant Garde" w:hAnsi="ITC Avant Garde"/>
                <w:color w:val="000000"/>
                <w:sz w:val="18"/>
                <w:szCs w:val="18"/>
              </w:rPr>
              <w:t xml:space="preserve">, Jiménez, Llera, </w:t>
            </w:r>
            <w:proofErr w:type="spellStart"/>
            <w:r w:rsidRPr="00F17180">
              <w:rPr>
                <w:rFonts w:ascii="ITC Avant Garde" w:hAnsi="ITC Avant Garde"/>
                <w:color w:val="000000"/>
                <w:sz w:val="18"/>
                <w:szCs w:val="18"/>
              </w:rPr>
              <w:t>Mainero</w:t>
            </w:r>
            <w:proofErr w:type="spellEnd"/>
            <w:r w:rsidRPr="00F17180">
              <w:rPr>
                <w:rFonts w:ascii="ITC Avant Garde" w:hAnsi="ITC Avant Garde"/>
                <w:color w:val="000000"/>
                <w:sz w:val="18"/>
                <w:szCs w:val="18"/>
              </w:rPr>
              <w:t xml:space="preserve">, Matamoros, Méndez, Mier, Miguel Alemán, </w:t>
            </w:r>
            <w:proofErr w:type="spellStart"/>
            <w:r w:rsidRPr="00F17180">
              <w:rPr>
                <w:rFonts w:ascii="ITC Avant Garde" w:hAnsi="ITC Avant Garde"/>
                <w:color w:val="000000"/>
                <w:sz w:val="18"/>
                <w:szCs w:val="18"/>
              </w:rPr>
              <w:t>Miquihuana</w:t>
            </w:r>
            <w:proofErr w:type="spellEnd"/>
            <w:r w:rsidRPr="00F17180">
              <w:rPr>
                <w:rFonts w:ascii="ITC Avant Garde" w:hAnsi="ITC Avant Garde"/>
                <w:color w:val="000000"/>
                <w:sz w:val="18"/>
                <w:szCs w:val="18"/>
              </w:rPr>
              <w:t>, Nuevo Laredo, Nuevo Morelos, Ocampo, Padilla, Palmillas, Reynosa, Río Bravo, San Carlos, San Fernando, San Nicolás, Soto la Marina, Tampico, Tula, Valle Hermoso, Victoria, Villagrán y Xicoténcatl.</w:t>
            </w:r>
          </w:p>
        </w:tc>
        <w:tc>
          <w:tcPr>
            <w:tcW w:w="1095" w:type="pct"/>
          </w:tcPr>
          <w:p w14:paraId="62DB7C6E" w14:textId="77777777" w:rsidR="00653D2B" w:rsidRPr="00F17180" w:rsidRDefault="00653D2B" w:rsidP="00D2656D">
            <w:pPr>
              <w:jc w:val="center"/>
              <w:rPr>
                <w:rFonts w:ascii="ITC Avant Garde" w:hAnsi="ITC Avant Garde"/>
                <w:sz w:val="18"/>
                <w:szCs w:val="18"/>
              </w:rPr>
            </w:pPr>
            <w:r w:rsidRPr="00F17180">
              <w:rPr>
                <w:rFonts w:ascii="ITC Avant Garde" w:hAnsi="ITC Avant Garde"/>
                <w:sz w:val="18"/>
                <w:szCs w:val="18"/>
              </w:rPr>
              <w:t>14, 15 y 16</w:t>
            </w:r>
          </w:p>
        </w:tc>
      </w:tr>
    </w:tbl>
    <w:p w14:paraId="4D4BF83C" w14:textId="77777777" w:rsidR="00653D2B" w:rsidRDefault="00653D2B" w:rsidP="0034462B">
      <w:pPr>
        <w:tabs>
          <w:tab w:val="num" w:pos="540"/>
        </w:tabs>
        <w:jc w:val="both"/>
        <w:rPr>
          <w:rFonts w:ascii="ITC Avant Garde" w:hAnsi="ITC Avant Garde"/>
          <w:bCs/>
          <w:color w:val="000000"/>
          <w:sz w:val="22"/>
          <w:szCs w:val="22"/>
          <w:lang w:val="es-ES" w:eastAsia="es-MX"/>
        </w:rPr>
      </w:pPr>
    </w:p>
    <w:p w14:paraId="5C3008FA" w14:textId="77777777" w:rsidR="005B1313" w:rsidRDefault="005B1313" w:rsidP="0034462B">
      <w:pPr>
        <w:tabs>
          <w:tab w:val="num" w:pos="540"/>
        </w:tabs>
        <w:jc w:val="both"/>
        <w:rPr>
          <w:rFonts w:ascii="ITC Avant Garde" w:hAnsi="ITC Avant Garde"/>
          <w:bCs/>
          <w:color w:val="000000"/>
          <w:sz w:val="22"/>
          <w:szCs w:val="22"/>
          <w:lang w:val="es-ES" w:eastAsia="es-MX"/>
        </w:rPr>
      </w:pPr>
    </w:p>
    <w:p w14:paraId="7F4C5311" w14:textId="77777777" w:rsidR="007C0BC7" w:rsidRPr="00F17180" w:rsidRDefault="007C0BC7" w:rsidP="0034462B">
      <w:pPr>
        <w:tabs>
          <w:tab w:val="num" w:pos="540"/>
        </w:tabs>
        <w:jc w:val="both"/>
        <w:rPr>
          <w:rFonts w:ascii="ITC Avant Garde" w:hAnsi="ITC Avant Garde"/>
          <w:bCs/>
          <w:color w:val="000000"/>
          <w:sz w:val="22"/>
          <w:szCs w:val="22"/>
          <w:lang w:val="es-ES" w:eastAsia="es-MX"/>
        </w:rPr>
      </w:pPr>
    </w:p>
    <w:p w14:paraId="60F2DA4C" w14:textId="1A6F9928" w:rsidR="0034462B" w:rsidRPr="00F17180" w:rsidRDefault="0034462B" w:rsidP="0034462B">
      <w:pPr>
        <w:autoSpaceDE w:val="0"/>
        <w:autoSpaceDN w:val="0"/>
        <w:adjustRightInd w:val="0"/>
        <w:jc w:val="both"/>
        <w:rPr>
          <w:rFonts w:ascii="ITC Avant Garde" w:hAnsi="ITC Avant Garde"/>
          <w:bCs/>
          <w:sz w:val="22"/>
          <w:szCs w:val="22"/>
          <w:lang w:val="es-ES_tradnl"/>
        </w:rPr>
      </w:pPr>
      <w:r w:rsidRPr="00F17180">
        <w:rPr>
          <w:rFonts w:ascii="ITC Avant Garde" w:hAnsi="ITC Avant Garde"/>
          <w:b/>
          <w:bCs/>
          <w:sz w:val="22"/>
          <w:szCs w:val="22"/>
          <w:lang w:val="es-ES_tradnl"/>
        </w:rPr>
        <w:t xml:space="preserve">CUARTO.- </w:t>
      </w:r>
      <w:r w:rsidRPr="00F17180">
        <w:rPr>
          <w:rFonts w:ascii="ITC Avant Garde" w:hAnsi="ITC Avant Garde"/>
          <w:bCs/>
          <w:sz w:val="22"/>
          <w:szCs w:val="22"/>
          <w:lang w:val="es-ES_tradnl"/>
        </w:rPr>
        <w:t xml:space="preserve">Se instruye a la Unidad de Concesiones y Servicios a hacer del conocimiento de </w:t>
      </w:r>
      <w:r w:rsidR="00D1256B" w:rsidRPr="00F17180">
        <w:rPr>
          <w:rFonts w:ascii="ITC Avant Garde" w:hAnsi="ITC Avant Garde"/>
          <w:bCs/>
          <w:color w:val="000000"/>
          <w:sz w:val="22"/>
          <w:szCs w:val="22"/>
          <w:lang w:val="es-ES" w:eastAsia="es-MX"/>
        </w:rPr>
        <w:t xml:space="preserve">Radio Sistemas de Tamaulipas, S.A. de C.V. </w:t>
      </w:r>
      <w:r w:rsidRPr="00F17180">
        <w:rPr>
          <w:rFonts w:ascii="ITC Avant Garde" w:hAnsi="ITC Avant Garde"/>
          <w:bCs/>
          <w:sz w:val="22"/>
          <w:szCs w:val="22"/>
          <w:lang w:val="es-ES_tradnl"/>
        </w:rPr>
        <w:t>el contenido de la presente Resolución, así como las nuevas condiciones</w:t>
      </w:r>
      <w:r w:rsidR="006566E2">
        <w:rPr>
          <w:rFonts w:ascii="ITC Avant Garde" w:hAnsi="ITC Avant Garde"/>
          <w:bCs/>
          <w:sz w:val="22"/>
          <w:szCs w:val="22"/>
          <w:lang w:val="es-ES_tradnl"/>
        </w:rPr>
        <w:t>, mismas que se encuentran contenidas</w:t>
      </w:r>
      <w:r w:rsidRPr="00F17180">
        <w:rPr>
          <w:rFonts w:ascii="ITC Avant Garde" w:hAnsi="ITC Avant Garde"/>
          <w:bCs/>
          <w:sz w:val="22"/>
          <w:szCs w:val="22"/>
          <w:lang w:val="es-ES_tradnl"/>
        </w:rPr>
        <w:t xml:space="preserve"> en los proyectos de títulos de concesión </w:t>
      </w:r>
      <w:r w:rsidR="006566E2">
        <w:rPr>
          <w:rFonts w:ascii="ITC Avant Garde" w:hAnsi="ITC Avant Garde"/>
          <w:bCs/>
          <w:sz w:val="22"/>
          <w:szCs w:val="22"/>
          <w:lang w:val="es-ES_tradnl"/>
        </w:rPr>
        <w:t>los cuales</w:t>
      </w:r>
      <w:r w:rsidRPr="00F17180">
        <w:rPr>
          <w:rFonts w:ascii="ITC Avant Garde" w:hAnsi="ITC Avant Garde"/>
          <w:bCs/>
          <w:sz w:val="22"/>
          <w:szCs w:val="22"/>
          <w:lang w:val="es-ES_tradnl"/>
        </w:rPr>
        <w:t xml:space="preserve"> forman parte integral de la presente Resolución, a efecto de recabar de dicha empresa, en un plazo no mayor a 15 (quince) días hábiles contados a partir de que surta efectos la notificación respectiva, su aceptación expresa e indubitable de las nuevas condiciones.</w:t>
      </w:r>
    </w:p>
    <w:p w14:paraId="5FAD7BA9" w14:textId="77777777" w:rsidR="0034462B" w:rsidRPr="00F17180" w:rsidRDefault="0034462B" w:rsidP="0034462B">
      <w:pPr>
        <w:autoSpaceDE w:val="0"/>
        <w:autoSpaceDN w:val="0"/>
        <w:adjustRightInd w:val="0"/>
        <w:jc w:val="both"/>
        <w:rPr>
          <w:rFonts w:ascii="ITC Avant Garde" w:hAnsi="ITC Avant Garde"/>
          <w:bCs/>
          <w:sz w:val="22"/>
          <w:szCs w:val="22"/>
          <w:lang w:val="es-ES_tradnl"/>
        </w:rPr>
      </w:pPr>
    </w:p>
    <w:p w14:paraId="1CEB6159" w14:textId="6059DFF2" w:rsidR="0034462B" w:rsidRPr="00F17180" w:rsidRDefault="0034462B" w:rsidP="00331ADC">
      <w:pPr>
        <w:autoSpaceDE w:val="0"/>
        <w:autoSpaceDN w:val="0"/>
        <w:adjustRightInd w:val="0"/>
        <w:jc w:val="both"/>
        <w:rPr>
          <w:rFonts w:ascii="ITC Avant Garde" w:hAnsi="ITC Avant Garde"/>
          <w:bCs/>
          <w:sz w:val="22"/>
          <w:szCs w:val="22"/>
          <w:lang w:val="es-ES_tradnl"/>
        </w:rPr>
      </w:pPr>
      <w:r w:rsidRPr="00F17180">
        <w:rPr>
          <w:rFonts w:ascii="ITC Avant Garde" w:hAnsi="ITC Avant Garde"/>
          <w:bCs/>
          <w:sz w:val="22"/>
          <w:szCs w:val="22"/>
          <w:lang w:val="es-ES_tradnl"/>
        </w:rPr>
        <w:t xml:space="preserve">En caso de que no se reciba por parte </w:t>
      </w:r>
      <w:r w:rsidR="00D1256B" w:rsidRPr="00F17180">
        <w:rPr>
          <w:rFonts w:ascii="ITC Avant Garde" w:hAnsi="ITC Avant Garde"/>
          <w:bCs/>
          <w:color w:val="000000"/>
          <w:sz w:val="22"/>
          <w:szCs w:val="22"/>
          <w:lang w:val="es-ES" w:eastAsia="es-MX"/>
        </w:rPr>
        <w:t xml:space="preserve">Radio Sistemas de Tamaulipas, S.A. de C.V. </w:t>
      </w:r>
      <w:r w:rsidRPr="00F17180">
        <w:rPr>
          <w:rFonts w:ascii="ITC Avant Garde" w:hAnsi="ITC Avant Garde"/>
          <w:bCs/>
          <w:sz w:val="22"/>
          <w:szCs w:val="22"/>
          <w:lang w:val="es-ES_tradnl"/>
        </w:rPr>
        <w:t>la aceptación referida dentro del plazo establecido para tales efectos, la presente Resolución quedará sin efectos y, en consecuencia, se tendrá por negada la prórroga de vigencia solicitada respecto de las concesiones de mérito.</w:t>
      </w:r>
    </w:p>
    <w:p w14:paraId="0D0251E7" w14:textId="77777777" w:rsidR="0034462B" w:rsidRPr="00F17180" w:rsidRDefault="0034462B" w:rsidP="0034462B">
      <w:pPr>
        <w:jc w:val="both"/>
        <w:rPr>
          <w:rFonts w:ascii="ITC Avant Garde" w:hAnsi="ITC Avant Garde"/>
          <w:bCs/>
          <w:sz w:val="22"/>
          <w:szCs w:val="22"/>
          <w:lang w:val="es-ES_tradnl"/>
        </w:rPr>
      </w:pPr>
    </w:p>
    <w:p w14:paraId="23D54E48" w14:textId="47C69F82" w:rsidR="002C4D68" w:rsidRPr="00F17180" w:rsidRDefault="0034462B" w:rsidP="002C4D68">
      <w:pPr>
        <w:jc w:val="both"/>
        <w:rPr>
          <w:rFonts w:ascii="ITC Avant Garde" w:hAnsi="ITC Avant Garde"/>
          <w:bCs/>
          <w:sz w:val="22"/>
          <w:szCs w:val="22"/>
          <w:lang w:val="es-ES_tradnl"/>
        </w:rPr>
      </w:pPr>
      <w:r w:rsidRPr="00F17180">
        <w:rPr>
          <w:rFonts w:ascii="ITC Avant Garde" w:hAnsi="ITC Avant Garde"/>
          <w:b/>
          <w:bCs/>
          <w:sz w:val="22"/>
          <w:szCs w:val="22"/>
          <w:lang w:val="es-ES_tradnl"/>
        </w:rPr>
        <w:t>QUINTO.-</w:t>
      </w:r>
      <w:r w:rsidRPr="00F17180">
        <w:rPr>
          <w:rFonts w:ascii="ITC Avant Garde" w:hAnsi="ITC Avant Garde"/>
          <w:bCs/>
          <w:sz w:val="22"/>
          <w:szCs w:val="22"/>
          <w:lang w:val="es-ES_tradnl"/>
        </w:rPr>
        <w:t xml:space="preserve"> </w:t>
      </w:r>
      <w:r w:rsidR="002C4D68" w:rsidRPr="00F17180">
        <w:rPr>
          <w:rFonts w:ascii="ITC Avant Garde" w:hAnsi="ITC Avant Garde"/>
          <w:bCs/>
          <w:sz w:val="22"/>
          <w:szCs w:val="22"/>
          <w:lang w:val="es-ES_tradnl"/>
        </w:rPr>
        <w:t>Radio Sistemas de Tamaulipas, S.A. de C.V., deberá presentar al Instituto Federal de Telecomunicaciones el comprobante de pago del aprovechamiento</w:t>
      </w:r>
      <w:r w:rsidR="00D34607">
        <w:rPr>
          <w:rFonts w:ascii="ITC Avant Garde" w:hAnsi="ITC Avant Garde"/>
          <w:bCs/>
          <w:sz w:val="22"/>
          <w:szCs w:val="22"/>
          <w:lang w:val="es-ES_tradnl"/>
        </w:rPr>
        <w:t xml:space="preserve"> por concepto de contraprestación</w:t>
      </w:r>
      <w:r w:rsidR="002C4D68" w:rsidRPr="00F17180">
        <w:rPr>
          <w:rFonts w:ascii="ITC Avant Garde" w:hAnsi="ITC Avant Garde"/>
          <w:bCs/>
          <w:sz w:val="22"/>
          <w:szCs w:val="22"/>
          <w:lang w:val="es-ES_tradnl"/>
        </w:rPr>
        <w:t xml:space="preserve"> autorizado por la Secretaría de Hacienda y Crédito Público por un monto de </w:t>
      </w:r>
      <w:r w:rsidR="002C4D68" w:rsidRPr="00F17180">
        <w:rPr>
          <w:rFonts w:ascii="ITC Avant Garde" w:hAnsi="ITC Avant Garde"/>
          <w:bCs/>
          <w:color w:val="000000"/>
          <w:sz w:val="22"/>
          <w:szCs w:val="22"/>
          <w:lang w:eastAsia="es-MX"/>
        </w:rPr>
        <w:t xml:space="preserve">$15, 589,365.00 (Quince millones quinientos ochenta y nueve mil trecientos sesenta y cinco pesos 00/100 M.N.), dentro del plazo de </w:t>
      </w:r>
      <w:r w:rsidR="002C4D68" w:rsidRPr="00F17180">
        <w:rPr>
          <w:rFonts w:ascii="ITC Avant Garde" w:hAnsi="ITC Avant Garde"/>
          <w:bCs/>
          <w:sz w:val="22"/>
          <w:szCs w:val="22"/>
          <w:lang w:val="es-ES_tradnl"/>
        </w:rPr>
        <w:t xml:space="preserve">30 (treinta) días hábiles siguientes a la fecha en que hubiera presentado la aceptación señalada en el Resolutivo Cuarto de la presente Resolución. </w:t>
      </w:r>
    </w:p>
    <w:p w14:paraId="4928E22B" w14:textId="77777777" w:rsidR="002C4D68" w:rsidRPr="00F17180" w:rsidRDefault="002C4D68" w:rsidP="002C4D68">
      <w:pPr>
        <w:jc w:val="both"/>
        <w:rPr>
          <w:rFonts w:ascii="ITC Avant Garde" w:hAnsi="ITC Avant Garde"/>
          <w:bCs/>
          <w:sz w:val="22"/>
          <w:szCs w:val="22"/>
          <w:lang w:val="es-ES_tradnl"/>
        </w:rPr>
      </w:pPr>
    </w:p>
    <w:p w14:paraId="318AB3EE" w14:textId="3F8CF6E5" w:rsidR="002C4D68" w:rsidRPr="00F17180" w:rsidRDefault="002C4D68" w:rsidP="0034462B">
      <w:pPr>
        <w:jc w:val="both"/>
        <w:rPr>
          <w:rFonts w:ascii="ITC Avant Garde" w:hAnsi="ITC Avant Garde"/>
          <w:bCs/>
          <w:sz w:val="22"/>
          <w:szCs w:val="22"/>
          <w:lang w:val="es-ES_tradnl"/>
        </w:rPr>
      </w:pPr>
      <w:r w:rsidRPr="00F17180">
        <w:rPr>
          <w:rFonts w:ascii="ITC Avant Garde" w:hAnsi="ITC Avant Garde"/>
          <w:bCs/>
          <w:sz w:val="22"/>
          <w:szCs w:val="22"/>
          <w:lang w:val="es-ES_tradnl"/>
        </w:rPr>
        <w:t xml:space="preserve">El monto señalado en el presente Resolutivo deberá ser actualizado al momento del pago, tomando en cuenta el último Índice Nacional de Precios al Consumidor publicado por el Banco de México. </w:t>
      </w:r>
    </w:p>
    <w:p w14:paraId="05D437E0" w14:textId="77777777" w:rsidR="002C4D68" w:rsidRPr="00F17180" w:rsidRDefault="002C4D68" w:rsidP="0034462B">
      <w:pPr>
        <w:jc w:val="both"/>
        <w:rPr>
          <w:rFonts w:ascii="ITC Avant Garde" w:hAnsi="ITC Avant Garde"/>
          <w:bCs/>
          <w:sz w:val="22"/>
          <w:szCs w:val="22"/>
          <w:lang w:val="es-ES_tradnl"/>
        </w:rPr>
      </w:pPr>
    </w:p>
    <w:p w14:paraId="6CC4A5F0" w14:textId="77777777" w:rsidR="00ED0CC5" w:rsidRDefault="0034462B" w:rsidP="0034462B">
      <w:pPr>
        <w:jc w:val="both"/>
        <w:rPr>
          <w:rFonts w:ascii="ITC Avant Garde" w:hAnsi="ITC Avant Garde"/>
          <w:bCs/>
          <w:color w:val="000000"/>
          <w:sz w:val="22"/>
          <w:szCs w:val="22"/>
          <w:lang w:val="es-ES" w:eastAsia="es-MX"/>
        </w:rPr>
      </w:pPr>
      <w:r w:rsidRPr="00F17180">
        <w:rPr>
          <w:rFonts w:ascii="ITC Avant Garde" w:hAnsi="ITC Avant Garde"/>
          <w:b/>
          <w:bCs/>
          <w:sz w:val="22"/>
          <w:szCs w:val="22"/>
          <w:lang w:val="es-ES_tradnl"/>
        </w:rPr>
        <w:lastRenderedPageBreak/>
        <w:t xml:space="preserve">SEXTO.- </w:t>
      </w:r>
      <w:r w:rsidRPr="00F17180">
        <w:rPr>
          <w:rFonts w:ascii="ITC Avant Garde" w:hAnsi="ITC Avant Garde"/>
          <w:bCs/>
          <w:color w:val="000000"/>
          <w:sz w:val="22"/>
          <w:szCs w:val="22"/>
          <w:lang w:eastAsia="es-MX"/>
        </w:rPr>
        <w:t xml:space="preserve">En caso de que </w:t>
      </w:r>
      <w:r w:rsidR="00ED0CC5">
        <w:rPr>
          <w:rFonts w:ascii="ITC Avant Garde" w:hAnsi="ITC Avant Garde"/>
          <w:bCs/>
          <w:color w:val="000000"/>
          <w:sz w:val="22"/>
          <w:szCs w:val="22"/>
          <w:lang w:eastAsia="es-MX"/>
        </w:rPr>
        <w:t xml:space="preserve">no se reciba por parte de </w:t>
      </w:r>
      <w:r w:rsidR="00D1256B" w:rsidRPr="00F17180">
        <w:rPr>
          <w:rFonts w:ascii="ITC Avant Garde" w:hAnsi="ITC Avant Garde"/>
          <w:bCs/>
          <w:color w:val="000000"/>
          <w:sz w:val="22"/>
          <w:szCs w:val="22"/>
          <w:lang w:val="es-ES" w:eastAsia="es-MX"/>
        </w:rPr>
        <w:t>Radio Sistemas de Tamaulipas, S.A. de C.V.</w:t>
      </w:r>
      <w:r w:rsidR="00ED0CC5">
        <w:rPr>
          <w:rFonts w:ascii="ITC Avant Garde" w:hAnsi="ITC Avant Garde"/>
          <w:bCs/>
          <w:color w:val="000000"/>
          <w:sz w:val="22"/>
          <w:szCs w:val="22"/>
          <w:lang w:val="es-ES" w:eastAsia="es-MX"/>
        </w:rPr>
        <w:t xml:space="preserve"> el comprobante de pago del aprovechamiento por concepto de contraprestación señalado en el Resolutivo Quinto, dentro del plazo establecido para tales efectos, la presente Resolución quedará sin efectos y, en consecuencia, se tendrá por negada la prórroga de vigencia solicitada respecto de las concesiones de mérito.</w:t>
      </w:r>
    </w:p>
    <w:p w14:paraId="6D4DB286" w14:textId="77777777" w:rsidR="00ED0CC5" w:rsidRDefault="00ED0CC5" w:rsidP="0034462B">
      <w:pPr>
        <w:jc w:val="both"/>
        <w:rPr>
          <w:rFonts w:ascii="ITC Avant Garde" w:hAnsi="ITC Avant Garde"/>
          <w:bCs/>
          <w:color w:val="000000"/>
          <w:sz w:val="22"/>
          <w:szCs w:val="22"/>
          <w:lang w:val="es-ES" w:eastAsia="es-MX"/>
        </w:rPr>
      </w:pPr>
    </w:p>
    <w:p w14:paraId="1F4834CC" w14:textId="7EE633B0" w:rsidR="0034462B" w:rsidRPr="00F17180" w:rsidRDefault="00ED0CC5" w:rsidP="0034462B">
      <w:pPr>
        <w:jc w:val="both"/>
        <w:rPr>
          <w:rFonts w:ascii="ITC Avant Garde" w:hAnsi="ITC Avant Garde"/>
          <w:bCs/>
          <w:sz w:val="22"/>
          <w:szCs w:val="22"/>
          <w:lang w:val="es-ES_tradnl"/>
        </w:rPr>
      </w:pPr>
      <w:r>
        <w:rPr>
          <w:rFonts w:ascii="ITC Avant Garde" w:hAnsi="ITC Avant Garde"/>
          <w:bCs/>
          <w:color w:val="000000"/>
          <w:sz w:val="22"/>
          <w:szCs w:val="22"/>
          <w:lang w:eastAsia="es-MX"/>
        </w:rPr>
        <w:t>En dicho caso,</w:t>
      </w:r>
      <w:r w:rsidR="0034462B" w:rsidRPr="00F17180">
        <w:rPr>
          <w:rFonts w:ascii="ITC Avant Garde" w:hAnsi="ITC Avant Garde"/>
          <w:bCs/>
          <w:color w:val="000000"/>
          <w:sz w:val="22"/>
          <w:szCs w:val="22"/>
          <w:lang w:eastAsia="es-MX"/>
        </w:rPr>
        <w:t xml:space="preserve"> las bandas de frecuencias que le fueron asignadas revertirán a favor de la Nación, sin perjuicio de que el Instituto Federal de Telecomunicaciones pueda ejercer las atribuciones de verificación, supervisión y, en su caso, sanción que correspondan.</w:t>
      </w:r>
    </w:p>
    <w:p w14:paraId="301E3952" w14:textId="77777777" w:rsidR="0034462B" w:rsidRPr="00F17180" w:rsidRDefault="0034462B" w:rsidP="0034462B">
      <w:pPr>
        <w:jc w:val="both"/>
        <w:rPr>
          <w:rFonts w:ascii="ITC Avant Garde" w:hAnsi="ITC Avant Garde"/>
          <w:bCs/>
          <w:sz w:val="22"/>
          <w:szCs w:val="22"/>
          <w:lang w:val="es-ES_tradnl"/>
        </w:rPr>
      </w:pPr>
    </w:p>
    <w:p w14:paraId="31DF2F6A" w14:textId="7E257AD5" w:rsidR="00D2656D" w:rsidRPr="00F17180" w:rsidRDefault="0034462B" w:rsidP="0034462B">
      <w:pPr>
        <w:jc w:val="both"/>
        <w:rPr>
          <w:rFonts w:ascii="ITC Avant Garde" w:hAnsi="ITC Avant Garde"/>
          <w:bCs/>
          <w:sz w:val="22"/>
          <w:szCs w:val="22"/>
          <w:lang w:val="es-ES_tradnl"/>
        </w:rPr>
      </w:pPr>
      <w:r w:rsidRPr="00F17180">
        <w:rPr>
          <w:rFonts w:ascii="ITC Avant Garde" w:hAnsi="ITC Avant Garde"/>
          <w:b/>
          <w:bCs/>
          <w:sz w:val="22"/>
          <w:szCs w:val="22"/>
          <w:lang w:val="es-ES_tradnl"/>
        </w:rPr>
        <w:t>SÉPTIMO.-</w:t>
      </w:r>
      <w:r w:rsidRPr="00F17180">
        <w:rPr>
          <w:rFonts w:ascii="ITC Avant Garde" w:hAnsi="ITC Avant Garde"/>
          <w:bCs/>
          <w:sz w:val="22"/>
          <w:szCs w:val="22"/>
          <w:lang w:val="es-ES_tradnl"/>
        </w:rPr>
        <w:t xml:space="preserve"> Una vez satisfecho lo establecido en los Resolutivos Cuarto y Quinto anteriores, el Comisionado Presidente del Instituto Federal de Telecomunicaciones, con base en las facultades que le confiere el artículo 14 fracción X del Estatuto Orgánico, suscribirá los títulos de concesión que se otorguen con motivo de la presente Resolución.</w:t>
      </w:r>
    </w:p>
    <w:p w14:paraId="5A7D061C" w14:textId="77777777" w:rsidR="0034462B" w:rsidRPr="00F17180" w:rsidRDefault="0034462B" w:rsidP="0034462B">
      <w:pPr>
        <w:jc w:val="both"/>
        <w:rPr>
          <w:rFonts w:ascii="ITC Avant Garde" w:hAnsi="ITC Avant Garde"/>
          <w:bCs/>
          <w:sz w:val="22"/>
          <w:szCs w:val="22"/>
          <w:lang w:val="es-ES_tradnl"/>
        </w:rPr>
      </w:pPr>
    </w:p>
    <w:p w14:paraId="096047A7" w14:textId="4BACEDEF" w:rsidR="0034462B" w:rsidRPr="00F17180" w:rsidRDefault="0034462B" w:rsidP="0034462B">
      <w:pPr>
        <w:autoSpaceDE w:val="0"/>
        <w:autoSpaceDN w:val="0"/>
        <w:adjustRightInd w:val="0"/>
        <w:jc w:val="both"/>
        <w:rPr>
          <w:rFonts w:ascii="ITC Avant Garde" w:hAnsi="ITC Avant Garde"/>
          <w:bCs/>
          <w:sz w:val="22"/>
          <w:szCs w:val="22"/>
          <w:lang w:val="es-ES_tradnl"/>
        </w:rPr>
      </w:pPr>
      <w:r w:rsidRPr="00F17180">
        <w:rPr>
          <w:rFonts w:ascii="ITC Avant Garde" w:hAnsi="ITC Avant Garde"/>
          <w:b/>
          <w:bCs/>
          <w:sz w:val="22"/>
          <w:szCs w:val="22"/>
          <w:lang w:val="es-ES_tradnl"/>
        </w:rPr>
        <w:t>OCTAVO.-</w:t>
      </w:r>
      <w:r w:rsidRPr="00F17180">
        <w:rPr>
          <w:rFonts w:ascii="ITC Avant Garde" w:hAnsi="ITC Avant Garde"/>
          <w:bCs/>
          <w:sz w:val="22"/>
          <w:szCs w:val="22"/>
          <w:lang w:val="es-ES_tradnl"/>
        </w:rPr>
        <w:t xml:space="preserve"> </w:t>
      </w:r>
      <w:r w:rsidR="000015DC">
        <w:rPr>
          <w:rFonts w:ascii="ITC Avant Garde" w:hAnsi="ITC Avant Garde"/>
          <w:bCs/>
          <w:sz w:val="22"/>
          <w:szCs w:val="22"/>
          <w:lang w:val="es-ES_tradnl"/>
        </w:rPr>
        <w:t>Como consecuencia de los señalado en el Resolutivo que antecede, s</w:t>
      </w:r>
      <w:r w:rsidRPr="00F17180">
        <w:rPr>
          <w:rFonts w:ascii="ITC Avant Garde" w:hAnsi="ITC Avant Garde"/>
          <w:bCs/>
          <w:sz w:val="22"/>
          <w:szCs w:val="22"/>
          <w:lang w:val="es-ES_tradnl"/>
        </w:rPr>
        <w:t xml:space="preserve">e instruye a la Unidad de Concesiones y Servicios a notificar a </w:t>
      </w:r>
      <w:r w:rsidR="00D1256B" w:rsidRPr="00F17180">
        <w:rPr>
          <w:rFonts w:ascii="ITC Avant Garde" w:hAnsi="ITC Avant Garde"/>
          <w:bCs/>
          <w:color w:val="000000"/>
          <w:sz w:val="22"/>
          <w:szCs w:val="22"/>
          <w:lang w:val="es-ES" w:eastAsia="es-MX"/>
        </w:rPr>
        <w:t>Radio Sistemas de Tamaulipas, S.A. de C.V.</w:t>
      </w:r>
      <w:r w:rsidRPr="00F17180">
        <w:rPr>
          <w:rFonts w:ascii="ITC Avant Garde" w:hAnsi="ITC Avant Garde"/>
          <w:bCs/>
          <w:sz w:val="22"/>
          <w:szCs w:val="22"/>
          <w:lang w:val="es-ES_tradnl"/>
        </w:rPr>
        <w:t xml:space="preserve">, el título de concesión única para uso comercial, y el título de concesión </w:t>
      </w:r>
      <w:r w:rsidRPr="00F17180">
        <w:rPr>
          <w:rFonts w:ascii="ITC Avant Garde" w:hAnsi="ITC Avant Garde"/>
          <w:bCs/>
          <w:color w:val="000000"/>
          <w:sz w:val="22"/>
          <w:szCs w:val="22"/>
          <w:lang w:eastAsia="es-MX"/>
        </w:rPr>
        <w:t xml:space="preserve">para usar, aprovechar y explotar bandas de frecuencias del espectro radioeléctrico </w:t>
      </w:r>
      <w:r w:rsidRPr="00F17180">
        <w:rPr>
          <w:rFonts w:ascii="ITC Avant Garde" w:hAnsi="ITC Avant Garde"/>
          <w:bCs/>
          <w:sz w:val="22"/>
          <w:szCs w:val="22"/>
          <w:lang w:val="es-ES_tradnl"/>
        </w:rPr>
        <w:t>para uso comercial, ambos referidos en la presente Resolución</w:t>
      </w:r>
      <w:r w:rsidR="00794BE0" w:rsidRPr="00F17180">
        <w:rPr>
          <w:rFonts w:ascii="ITC Avant Garde" w:hAnsi="ITC Avant Garde"/>
          <w:bCs/>
          <w:sz w:val="22"/>
          <w:szCs w:val="22"/>
          <w:lang w:val="es-ES_tradnl"/>
        </w:rPr>
        <w:t>.</w:t>
      </w:r>
    </w:p>
    <w:p w14:paraId="4DA97F39" w14:textId="77777777" w:rsidR="0034462B" w:rsidRPr="00F17180" w:rsidRDefault="0034462B" w:rsidP="0034462B">
      <w:pPr>
        <w:jc w:val="both"/>
        <w:rPr>
          <w:rFonts w:ascii="ITC Avant Garde" w:hAnsi="ITC Avant Garde"/>
          <w:bCs/>
          <w:sz w:val="22"/>
          <w:szCs w:val="22"/>
          <w:lang w:val="es-ES_tradnl"/>
        </w:rPr>
      </w:pPr>
    </w:p>
    <w:p w14:paraId="7A829854" w14:textId="77777777" w:rsidR="0034462B" w:rsidRPr="00F17180" w:rsidRDefault="0034462B" w:rsidP="0034462B">
      <w:pPr>
        <w:jc w:val="both"/>
        <w:rPr>
          <w:rFonts w:ascii="ITC Avant Garde" w:hAnsi="ITC Avant Garde"/>
          <w:bCs/>
          <w:sz w:val="22"/>
          <w:szCs w:val="22"/>
          <w:lang w:val="es-ES_tradnl"/>
        </w:rPr>
      </w:pPr>
    </w:p>
    <w:p w14:paraId="3F73FD74" w14:textId="72F12E3D" w:rsidR="0034462B" w:rsidRPr="00F17180" w:rsidRDefault="0034462B" w:rsidP="00331ADC">
      <w:pPr>
        <w:autoSpaceDE w:val="0"/>
        <w:autoSpaceDN w:val="0"/>
        <w:adjustRightInd w:val="0"/>
        <w:jc w:val="both"/>
        <w:rPr>
          <w:rFonts w:ascii="ITC Avant Garde" w:hAnsi="ITC Avant Garde"/>
          <w:bCs/>
          <w:sz w:val="22"/>
          <w:szCs w:val="22"/>
          <w:lang w:val="es-ES_tradnl"/>
        </w:rPr>
      </w:pPr>
      <w:r w:rsidRPr="00F17180">
        <w:rPr>
          <w:rFonts w:ascii="ITC Avant Garde" w:hAnsi="ITC Avant Garde"/>
          <w:b/>
          <w:bCs/>
          <w:sz w:val="22"/>
          <w:szCs w:val="22"/>
          <w:lang w:val="es-ES_tradnl"/>
        </w:rPr>
        <w:t>NOVENO.-</w:t>
      </w:r>
      <w:r w:rsidRPr="00F17180">
        <w:rPr>
          <w:rFonts w:ascii="ITC Avant Garde" w:hAnsi="ITC Avant Garde"/>
          <w:bCs/>
          <w:sz w:val="22"/>
          <w:szCs w:val="22"/>
          <w:lang w:val="es-ES_tradnl"/>
        </w:rPr>
        <w:t xml:space="preserve"> </w:t>
      </w:r>
      <w:r w:rsidR="00D1256B" w:rsidRPr="00F17180">
        <w:rPr>
          <w:rFonts w:ascii="ITC Avant Garde" w:hAnsi="ITC Avant Garde"/>
          <w:bCs/>
          <w:color w:val="000000"/>
          <w:sz w:val="22"/>
          <w:szCs w:val="22"/>
          <w:lang w:val="es-ES" w:eastAsia="es-MX"/>
        </w:rPr>
        <w:t>Radio Sistemas de Tamaulipas, S.A. de C.V.</w:t>
      </w:r>
      <w:r w:rsidRPr="00F17180">
        <w:rPr>
          <w:rFonts w:ascii="ITC Avant Garde" w:hAnsi="ITC Avant Garde"/>
          <w:bCs/>
          <w:color w:val="000000"/>
          <w:sz w:val="22"/>
          <w:szCs w:val="22"/>
          <w:lang w:val="es-ES" w:eastAsia="es-MX"/>
        </w:rPr>
        <w:t xml:space="preserve"> </w:t>
      </w:r>
      <w:r w:rsidRPr="00F17180">
        <w:rPr>
          <w:rFonts w:ascii="ITC Avant Garde" w:hAnsi="ITC Avant Garde"/>
          <w:bCs/>
          <w:color w:val="000000"/>
          <w:sz w:val="22"/>
          <w:szCs w:val="22"/>
          <w:lang w:eastAsia="es-MX"/>
        </w:rPr>
        <w:t>en cumplimiento a lo establecido en el último párrafo del artículo 112 de la Ley Federal de Telecomunicaciones y Radiodifusión, en un plazo no mayor de noventa días hábiles contados a partir de la fecha del otorgamiento de las concesiones a que se refiere la presente Resolución, deberá presentar ante el Instituto Federal de Telecomunicaciones, copia certificada del instrumento donde conste que se llevaron a cabo las modificaciones correspondientes a sus estatutos sociales.</w:t>
      </w:r>
    </w:p>
    <w:p w14:paraId="5FCF2E92" w14:textId="77777777" w:rsidR="0034462B" w:rsidRDefault="0034462B" w:rsidP="0034462B">
      <w:pPr>
        <w:jc w:val="both"/>
        <w:rPr>
          <w:rFonts w:ascii="ITC Avant Garde" w:hAnsi="ITC Avant Garde"/>
          <w:bCs/>
          <w:sz w:val="22"/>
          <w:szCs w:val="22"/>
          <w:lang w:val="es-ES_tradnl"/>
        </w:rPr>
      </w:pPr>
    </w:p>
    <w:p w14:paraId="2E95DD85" w14:textId="419B4A8F" w:rsidR="000D0064" w:rsidRPr="00852ABA" w:rsidRDefault="0034462B" w:rsidP="005902FA">
      <w:pPr>
        <w:autoSpaceDE w:val="0"/>
        <w:autoSpaceDN w:val="0"/>
        <w:adjustRightInd w:val="0"/>
        <w:jc w:val="both"/>
        <w:rPr>
          <w:rFonts w:ascii="ITC Avant Garde" w:eastAsia="Calibri" w:hAnsi="ITC Avant Garde"/>
          <w:b/>
          <w:bCs/>
          <w:color w:val="000000"/>
          <w:sz w:val="20"/>
          <w:szCs w:val="22"/>
          <w:lang w:eastAsia="es-MX"/>
        </w:rPr>
      </w:pPr>
      <w:r w:rsidRPr="00F17180">
        <w:rPr>
          <w:rFonts w:ascii="ITC Avant Garde" w:hAnsi="ITC Avant Garde"/>
          <w:b/>
          <w:bCs/>
          <w:sz w:val="22"/>
          <w:szCs w:val="22"/>
          <w:lang w:val="es-ES_tradnl"/>
        </w:rPr>
        <w:t>DÉCIMO.-</w:t>
      </w:r>
      <w:r w:rsidRPr="00F17180">
        <w:rPr>
          <w:rFonts w:ascii="ITC Avant Garde" w:hAnsi="ITC Avant Garde"/>
          <w:bCs/>
          <w:sz w:val="22"/>
          <w:szCs w:val="22"/>
          <w:lang w:val="es-ES_tradnl"/>
        </w:rPr>
        <w:t xml:space="preserve"> Inscríbanse en el Registro Público de Concesiones el título de concesión única para uso comercial, así como el título de concesión para usar, aprovechar y explotar bandas de frecuencias del espectro radioeléctrico para uso comercial a que se refiere la presente Resolución, una vez que sean debidamente notificados</w:t>
      </w:r>
      <w:r w:rsidR="0029171C">
        <w:rPr>
          <w:rFonts w:ascii="ITC Avant Garde" w:hAnsi="ITC Avant Garde"/>
          <w:bCs/>
          <w:sz w:val="22"/>
          <w:szCs w:val="22"/>
          <w:lang w:val="es-ES_tradnl"/>
        </w:rPr>
        <w:t>, en su caso,</w:t>
      </w:r>
      <w:r w:rsidRPr="00F17180">
        <w:rPr>
          <w:rFonts w:ascii="ITC Avant Garde" w:hAnsi="ITC Avant Garde"/>
          <w:bCs/>
          <w:sz w:val="22"/>
          <w:szCs w:val="22"/>
          <w:lang w:val="es-ES_tradnl"/>
        </w:rPr>
        <w:t xml:space="preserve"> al interesado. </w:t>
      </w:r>
    </w:p>
    <w:p w14:paraId="40790B2B" w14:textId="77777777" w:rsidR="00852ABA" w:rsidRPr="00852ABA" w:rsidRDefault="00852ABA" w:rsidP="00B53D4B">
      <w:pPr>
        <w:tabs>
          <w:tab w:val="left" w:pos="7005"/>
        </w:tabs>
        <w:jc w:val="both"/>
        <w:rPr>
          <w:rFonts w:ascii="ITC Avant Garde" w:eastAsia="Calibri" w:hAnsi="ITC Avant Garde"/>
          <w:b/>
          <w:bCs/>
          <w:color w:val="000000"/>
          <w:sz w:val="20"/>
          <w:szCs w:val="22"/>
          <w:lang w:eastAsia="es-MX"/>
        </w:rPr>
      </w:pPr>
    </w:p>
    <w:p w14:paraId="7CF8BEBB" w14:textId="77777777" w:rsidR="00852ABA" w:rsidRPr="00852ABA" w:rsidRDefault="00852ABA" w:rsidP="00852ABA">
      <w:pPr>
        <w:jc w:val="both"/>
        <w:rPr>
          <w:rFonts w:ascii="ITC Avant Garde" w:hAnsi="ITC Avant Garde"/>
          <w:sz w:val="16"/>
        </w:rPr>
      </w:pPr>
      <w:r w:rsidRPr="00852ABA">
        <w:rPr>
          <w:rFonts w:ascii="ITC Avant Garde" w:hAnsi="ITC Avant Garde"/>
          <w:sz w:val="16"/>
        </w:rPr>
        <w:t>La presente Resolución fue aprobada por el Pleno del Instituto Federal de Telecomunicaciones en su II Sesión Ordinaria celebrada el 27 de enero de 2016, en lo general por unanimidad de votos de los Comisionados presentes Gabriel Oswaldo Contreras Saldívar, Luis Fernando Borjón Figueroa, Ernesto Estrada González, Adriana Sofía Labardini Inzunza, María Elena Estavillo Flores, Mario Germán Fromow Rangel y Adolfo Cuevas Teja.</w:t>
      </w:r>
    </w:p>
    <w:p w14:paraId="6DB9F55B" w14:textId="77777777" w:rsidR="00852ABA" w:rsidRPr="00852ABA" w:rsidRDefault="00852ABA" w:rsidP="00852ABA">
      <w:pPr>
        <w:jc w:val="both"/>
        <w:rPr>
          <w:rFonts w:ascii="ITC Avant Garde" w:hAnsi="ITC Avant Garde"/>
          <w:sz w:val="16"/>
        </w:rPr>
      </w:pPr>
    </w:p>
    <w:p w14:paraId="120693C8" w14:textId="77777777" w:rsidR="00852ABA" w:rsidRPr="00852ABA" w:rsidRDefault="00852ABA" w:rsidP="00852ABA">
      <w:pPr>
        <w:jc w:val="both"/>
        <w:rPr>
          <w:rFonts w:ascii="ITC Avant Garde" w:hAnsi="ITC Avant Garde"/>
          <w:sz w:val="16"/>
        </w:rPr>
      </w:pPr>
      <w:r w:rsidRPr="00852ABA">
        <w:rPr>
          <w:rFonts w:ascii="ITC Avant Garde" w:hAnsi="ITC Avant Garde"/>
          <w:sz w:val="16"/>
        </w:rPr>
        <w:t xml:space="preserve">El Comisionado Adolfo Cuevas Teja manifestó voto en contra de la vigencia retroactiva de la concesión única, así como de la actualización del monto al momento del pago. </w:t>
      </w:r>
    </w:p>
    <w:p w14:paraId="21600C8A" w14:textId="77777777" w:rsidR="00852ABA" w:rsidRPr="00852ABA" w:rsidRDefault="00852ABA" w:rsidP="00852ABA">
      <w:pPr>
        <w:jc w:val="both"/>
        <w:rPr>
          <w:rFonts w:ascii="ITC Avant Garde" w:hAnsi="ITC Avant Garde"/>
          <w:sz w:val="16"/>
        </w:rPr>
      </w:pPr>
    </w:p>
    <w:p w14:paraId="2FFB36B7" w14:textId="0CF60AB5" w:rsidR="00EF3EB1" w:rsidRDefault="00852ABA" w:rsidP="00EF3EB1">
      <w:pPr>
        <w:jc w:val="both"/>
      </w:pPr>
      <w:r w:rsidRPr="00852ABA">
        <w:rPr>
          <w:rFonts w:ascii="ITC Avant Garde" w:hAnsi="ITC Avant Garde"/>
          <w:sz w:val="16"/>
        </w:rPr>
        <w:t>Lo anterior,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P/IFT/270116/20.</w:t>
      </w:r>
      <w:bookmarkStart w:id="0" w:name="_GoBack"/>
      <w:bookmarkEnd w:id="0"/>
    </w:p>
    <w:p w14:paraId="4371C7AA" w14:textId="77777777" w:rsidR="00EF3EB1" w:rsidRDefault="00EF3EB1">
      <w:pPr>
        <w:pStyle w:val="Ttulo1"/>
      </w:pPr>
    </w:p>
    <w:sectPr w:rsidR="00EF3EB1" w:rsidSect="00D2656D">
      <w:footerReference w:type="even" r:id="rId10"/>
      <w:footerReference w:type="default" r:id="rId11"/>
      <w:pgSz w:w="12240" w:h="15840" w:code="1"/>
      <w:pgMar w:top="1985" w:right="1080" w:bottom="1134" w:left="1134" w:header="720" w:footer="113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AA9D4B" w14:textId="77777777" w:rsidR="005902FA" w:rsidRDefault="005902FA">
      <w:r>
        <w:separator/>
      </w:r>
    </w:p>
  </w:endnote>
  <w:endnote w:type="continuationSeparator" w:id="0">
    <w:p w14:paraId="1BCB2129" w14:textId="77777777" w:rsidR="005902FA" w:rsidRDefault="00590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ITC Avant Garde">
    <w:panose1 w:val="020B0402020203020304"/>
    <w:charset w:val="00"/>
    <w:family w:val="swiss"/>
    <w:pitch w:val="variable"/>
    <w:sig w:usb0="00000007" w:usb1="00000000" w:usb2="00000000" w:usb3="00000000" w:csb0="00000093" w:csb1="00000000"/>
  </w:font>
  <w:font w:name="ITC Avant Garde Book">
    <w:altName w:val="Century Gothic"/>
    <w:panose1 w:val="020B0402020203020304"/>
    <w:charset w:val="00"/>
    <w:family w:val="auto"/>
    <w:pitch w:val="variable"/>
    <w:sig w:usb0="00000001"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88C1C8" w14:textId="77777777" w:rsidR="005902FA" w:rsidRDefault="005902FA" w:rsidP="00813B5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47EECBA" w14:textId="77777777" w:rsidR="005902FA" w:rsidRDefault="005902FA" w:rsidP="00511255">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9425328"/>
      <w:docPartObj>
        <w:docPartGallery w:val="Page Numbers (Bottom of Page)"/>
        <w:docPartUnique/>
      </w:docPartObj>
    </w:sdtPr>
    <w:sdtEndPr>
      <w:rPr>
        <w:rFonts w:ascii="ITC Avant Garde" w:hAnsi="ITC Avant Garde"/>
        <w:sz w:val="20"/>
      </w:rPr>
    </w:sdtEndPr>
    <w:sdtContent>
      <w:p w14:paraId="5EB5E0BD" w14:textId="58A47DDA" w:rsidR="005902FA" w:rsidRPr="00D2656D" w:rsidRDefault="005902FA">
        <w:pPr>
          <w:pStyle w:val="Piedepgina"/>
          <w:jc w:val="right"/>
          <w:rPr>
            <w:rFonts w:ascii="ITC Avant Garde" w:hAnsi="ITC Avant Garde"/>
            <w:sz w:val="20"/>
          </w:rPr>
        </w:pPr>
        <w:r w:rsidRPr="00D2656D">
          <w:rPr>
            <w:rFonts w:ascii="ITC Avant Garde" w:hAnsi="ITC Avant Garde"/>
            <w:sz w:val="20"/>
          </w:rPr>
          <w:fldChar w:fldCharType="begin"/>
        </w:r>
        <w:r w:rsidRPr="00D2656D">
          <w:rPr>
            <w:rFonts w:ascii="ITC Avant Garde" w:hAnsi="ITC Avant Garde"/>
            <w:sz w:val="20"/>
          </w:rPr>
          <w:instrText>PAGE   \* MERGEFORMAT</w:instrText>
        </w:r>
        <w:r w:rsidRPr="00D2656D">
          <w:rPr>
            <w:rFonts w:ascii="ITC Avant Garde" w:hAnsi="ITC Avant Garde"/>
            <w:sz w:val="20"/>
          </w:rPr>
          <w:fldChar w:fldCharType="separate"/>
        </w:r>
        <w:r w:rsidR="00EF3EB1" w:rsidRPr="00EF3EB1">
          <w:rPr>
            <w:rFonts w:ascii="ITC Avant Garde" w:hAnsi="ITC Avant Garde"/>
            <w:noProof/>
            <w:sz w:val="20"/>
            <w:lang w:val="es-ES"/>
          </w:rPr>
          <w:t>21</w:t>
        </w:r>
        <w:r w:rsidRPr="00D2656D">
          <w:rPr>
            <w:rFonts w:ascii="ITC Avant Garde" w:hAnsi="ITC Avant Garde"/>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541CEC" w14:textId="77777777" w:rsidR="005902FA" w:rsidRDefault="005902FA">
      <w:r>
        <w:separator/>
      </w:r>
    </w:p>
  </w:footnote>
  <w:footnote w:type="continuationSeparator" w:id="0">
    <w:p w14:paraId="66F521B1" w14:textId="77777777" w:rsidR="005902FA" w:rsidRDefault="005902FA">
      <w:r>
        <w:continuationSeparator/>
      </w:r>
    </w:p>
  </w:footnote>
  <w:footnote w:id="1">
    <w:p w14:paraId="08EAC94B" w14:textId="77777777" w:rsidR="005902FA" w:rsidRPr="00063033" w:rsidRDefault="005902FA" w:rsidP="003F43A6">
      <w:pPr>
        <w:pStyle w:val="Textonotapie"/>
        <w:rPr>
          <w:rFonts w:ascii="ITC Avant Garde" w:hAnsi="ITC Avant Garde"/>
          <w:sz w:val="16"/>
          <w:szCs w:val="16"/>
        </w:rPr>
      </w:pPr>
      <w:r w:rsidRPr="00063033">
        <w:rPr>
          <w:rStyle w:val="Refdenotaalpie"/>
          <w:rFonts w:ascii="ITC Avant Garde" w:hAnsi="ITC Avant Garde"/>
          <w:sz w:val="16"/>
          <w:szCs w:val="16"/>
        </w:rPr>
        <w:footnoteRef/>
      </w:r>
      <w:r w:rsidRPr="00063033">
        <w:rPr>
          <w:rFonts w:ascii="ITC Avant Garde" w:hAnsi="ITC Avant Garde"/>
          <w:sz w:val="16"/>
          <w:szCs w:val="16"/>
        </w:rPr>
        <w:t xml:space="preserve"> </w:t>
      </w:r>
      <w:r w:rsidRPr="00063033">
        <w:rPr>
          <w:rFonts w:ascii="ITC Avant Garde" w:hAnsi="ITC Avant Garde"/>
          <w:color w:val="000000" w:themeColor="text1"/>
          <w:sz w:val="16"/>
          <w:szCs w:val="16"/>
        </w:rPr>
        <w:t xml:space="preserve">Consultado el 19/06/2015: </w:t>
      </w:r>
      <w:r w:rsidRPr="00063033">
        <w:rPr>
          <w:rFonts w:ascii="ITC Avant Garde" w:hAnsi="ITC Avant Garde" w:cs="Arial"/>
          <w:sz w:val="16"/>
          <w:szCs w:val="16"/>
          <w:shd w:val="clear" w:color="auto" w:fill="FFFFFF"/>
        </w:rPr>
        <w:t>http://www.ift.org.mx/sites/default/files/p_ift_ext_260315_70.pdf</w:t>
      </w:r>
      <w:r w:rsidRPr="00063033">
        <w:rPr>
          <w:rFonts w:ascii="ITC Avant Garde" w:hAnsi="ITC Avant Garde"/>
          <w:sz w:val="16"/>
          <w:szCs w:val="16"/>
        </w:rPr>
        <w:t xml:space="preserve"> </w:t>
      </w:r>
    </w:p>
  </w:footnote>
  <w:footnote w:id="2">
    <w:p w14:paraId="5BBE8A08" w14:textId="77777777" w:rsidR="005902FA" w:rsidRPr="00935393" w:rsidRDefault="005902FA" w:rsidP="000E3628">
      <w:pPr>
        <w:pStyle w:val="Textonotapie"/>
        <w:jc w:val="both"/>
        <w:rPr>
          <w:rFonts w:ascii="ITC Avant Garde" w:hAnsi="ITC Avant Garde"/>
          <w:sz w:val="16"/>
          <w:szCs w:val="16"/>
        </w:rPr>
      </w:pPr>
      <w:r w:rsidRPr="00935393">
        <w:rPr>
          <w:rStyle w:val="Refdenotaalpie"/>
          <w:rFonts w:ascii="ITC Avant Garde" w:hAnsi="ITC Avant Garde"/>
          <w:sz w:val="16"/>
          <w:szCs w:val="16"/>
        </w:rPr>
        <w:footnoteRef/>
      </w:r>
      <w:r w:rsidRPr="00935393">
        <w:rPr>
          <w:rFonts w:ascii="ITC Avant Garde" w:hAnsi="ITC Avant Garde"/>
          <w:sz w:val="16"/>
          <w:szCs w:val="16"/>
        </w:rPr>
        <w:t xml:space="preserve"> A partir del 16 de abril de 2008 su denominación es Instituto Nacional de Estadística y Geografía.</w:t>
      </w:r>
    </w:p>
  </w:footnote>
  <w:footnote w:id="3">
    <w:p w14:paraId="3238EA2F" w14:textId="77777777" w:rsidR="005902FA" w:rsidRPr="00063033" w:rsidRDefault="005902FA" w:rsidP="003F43A6">
      <w:pPr>
        <w:rPr>
          <w:rFonts w:ascii="ITC Avant Garde" w:hAnsi="ITC Avant Garde"/>
          <w:sz w:val="16"/>
          <w:szCs w:val="16"/>
        </w:rPr>
      </w:pPr>
      <w:r w:rsidRPr="00063033">
        <w:rPr>
          <w:rStyle w:val="Refdenotaalpie"/>
          <w:rFonts w:ascii="ITC Avant Garde" w:hAnsi="ITC Avant Garde"/>
          <w:sz w:val="16"/>
          <w:szCs w:val="16"/>
        </w:rPr>
        <w:footnoteRef/>
      </w:r>
      <w:r w:rsidRPr="00063033">
        <w:rPr>
          <w:rFonts w:ascii="ITC Avant Garde" w:hAnsi="ITC Avant Garde"/>
          <w:sz w:val="16"/>
          <w:szCs w:val="16"/>
        </w:rPr>
        <w:t xml:space="preserve"> </w:t>
      </w:r>
      <w:r w:rsidRPr="00063033">
        <w:rPr>
          <w:rFonts w:ascii="ITC Avant Garde" w:hAnsi="ITC Avant Garde"/>
          <w:color w:val="000000" w:themeColor="text1"/>
          <w:sz w:val="16"/>
          <w:szCs w:val="16"/>
        </w:rPr>
        <w:t xml:space="preserve">Consultado el 19/06/2015: </w:t>
      </w:r>
      <w:r w:rsidRPr="00063033">
        <w:rPr>
          <w:rFonts w:ascii="ITC Avant Garde" w:hAnsi="ITC Avant Garde"/>
          <w:sz w:val="16"/>
          <w:szCs w:val="16"/>
        </w:rPr>
        <w:t>http://www.inegi.org.mx/Sistemas/multiarchivos/doc/702825003884/DZM20101.pdf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93C877E"/>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AB7235"/>
    <w:multiLevelType w:val="hybridMultilevel"/>
    <w:tmpl w:val="9A1EE312"/>
    <w:lvl w:ilvl="0" w:tplc="DE561F62">
      <w:start w:val="1"/>
      <w:numFmt w:val="upperRoman"/>
      <w:lvlText w:val="%1."/>
      <w:lvlJc w:val="left"/>
      <w:pPr>
        <w:tabs>
          <w:tab w:val="num" w:pos="1080"/>
        </w:tabs>
        <w:ind w:left="1080" w:hanging="72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78A69C8"/>
    <w:multiLevelType w:val="hybridMultilevel"/>
    <w:tmpl w:val="A2B0C330"/>
    <w:lvl w:ilvl="0" w:tplc="E7DEF506">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3" w15:restartNumberingAfterBreak="0">
    <w:nsid w:val="0816556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0D4410"/>
    <w:multiLevelType w:val="hybridMultilevel"/>
    <w:tmpl w:val="5C84ADC2"/>
    <w:lvl w:ilvl="0" w:tplc="080A0013">
      <w:start w:val="1"/>
      <w:numFmt w:val="upperRoman"/>
      <w:lvlText w:val="%1."/>
      <w:lvlJc w:val="right"/>
      <w:pPr>
        <w:ind w:left="720" w:hanging="360"/>
      </w:pPr>
    </w:lvl>
    <w:lvl w:ilvl="1" w:tplc="028892FA">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5422B21"/>
    <w:multiLevelType w:val="singleLevel"/>
    <w:tmpl w:val="0C0A0013"/>
    <w:lvl w:ilvl="0">
      <w:start w:val="1"/>
      <w:numFmt w:val="upperRoman"/>
      <w:lvlText w:val="%1."/>
      <w:lvlJc w:val="left"/>
      <w:pPr>
        <w:tabs>
          <w:tab w:val="num" w:pos="720"/>
        </w:tabs>
        <w:ind w:left="720" w:hanging="720"/>
      </w:pPr>
    </w:lvl>
  </w:abstractNum>
  <w:abstractNum w:abstractNumId="6" w15:restartNumberingAfterBreak="0">
    <w:nsid w:val="17A12A4D"/>
    <w:multiLevelType w:val="multilevel"/>
    <w:tmpl w:val="B3F8D56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E611628"/>
    <w:multiLevelType w:val="hybridMultilevel"/>
    <w:tmpl w:val="85DCBF5E"/>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8" w15:restartNumberingAfterBreak="0">
    <w:nsid w:val="1EC4027B"/>
    <w:multiLevelType w:val="hybridMultilevel"/>
    <w:tmpl w:val="A69E8720"/>
    <w:lvl w:ilvl="0" w:tplc="3DF8A804">
      <w:start w:val="5"/>
      <w:numFmt w:val="upperRoman"/>
      <w:lvlText w:val="%1. "/>
      <w:lvlJc w:val="left"/>
      <w:pPr>
        <w:tabs>
          <w:tab w:val="num" w:pos="567"/>
        </w:tabs>
        <w:ind w:left="567" w:hanging="567"/>
      </w:pPr>
      <w:rPr>
        <w:rFonts w:ascii="Arial" w:hAnsi="Arial" w:hint="default"/>
        <w:b/>
        <w:i w:val="0"/>
        <w:sz w:val="22"/>
        <w:szCs w:val="22"/>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502736B"/>
    <w:multiLevelType w:val="multilevel"/>
    <w:tmpl w:val="E7CAF44A"/>
    <w:lvl w:ilvl="0">
      <w:start w:val="1"/>
      <w:numFmt w:val="decimal"/>
      <w:lvlText w:val="%1."/>
      <w:lvlJc w:val="left"/>
      <w:pPr>
        <w:ind w:left="1494" w:hanging="360"/>
      </w:pPr>
      <w:rPr>
        <w:rFonts w:hint="default"/>
      </w:rPr>
    </w:lvl>
    <w:lvl w:ilvl="1">
      <w:start w:val="1"/>
      <w:numFmt w:val="decimal"/>
      <w:isLgl/>
      <w:lvlText w:val="%1.%2."/>
      <w:lvlJc w:val="left"/>
      <w:pPr>
        <w:ind w:left="1920" w:hanging="360"/>
      </w:pPr>
      <w:rPr>
        <w:rFonts w:hint="default"/>
      </w:rPr>
    </w:lvl>
    <w:lvl w:ilvl="2">
      <w:start w:val="1"/>
      <w:numFmt w:val="decimal"/>
      <w:isLgl/>
      <w:lvlText w:val="%1.%2.%3."/>
      <w:lvlJc w:val="left"/>
      <w:pPr>
        <w:ind w:left="2706" w:hanging="720"/>
      </w:pPr>
      <w:rPr>
        <w:rFonts w:hint="default"/>
      </w:rPr>
    </w:lvl>
    <w:lvl w:ilvl="3">
      <w:start w:val="1"/>
      <w:numFmt w:val="decimal"/>
      <w:isLgl/>
      <w:lvlText w:val="%1.%2.%3.%4."/>
      <w:lvlJc w:val="left"/>
      <w:pPr>
        <w:ind w:left="3132" w:hanging="720"/>
      </w:pPr>
      <w:rPr>
        <w:rFonts w:hint="default"/>
      </w:rPr>
    </w:lvl>
    <w:lvl w:ilvl="4">
      <w:start w:val="1"/>
      <w:numFmt w:val="decimal"/>
      <w:isLgl/>
      <w:lvlText w:val="%1.%2.%3.%4.%5."/>
      <w:lvlJc w:val="left"/>
      <w:pPr>
        <w:ind w:left="3558" w:hanging="720"/>
      </w:pPr>
      <w:rPr>
        <w:rFonts w:hint="default"/>
      </w:rPr>
    </w:lvl>
    <w:lvl w:ilvl="5">
      <w:start w:val="1"/>
      <w:numFmt w:val="decimal"/>
      <w:isLgl/>
      <w:lvlText w:val="%1.%2.%3.%4.%5.%6."/>
      <w:lvlJc w:val="left"/>
      <w:pPr>
        <w:ind w:left="4344" w:hanging="1080"/>
      </w:pPr>
      <w:rPr>
        <w:rFonts w:hint="default"/>
      </w:rPr>
    </w:lvl>
    <w:lvl w:ilvl="6">
      <w:start w:val="1"/>
      <w:numFmt w:val="decimal"/>
      <w:isLgl/>
      <w:lvlText w:val="%1.%2.%3.%4.%5.%6.%7."/>
      <w:lvlJc w:val="left"/>
      <w:pPr>
        <w:ind w:left="4770" w:hanging="1080"/>
      </w:pPr>
      <w:rPr>
        <w:rFonts w:hint="default"/>
      </w:rPr>
    </w:lvl>
    <w:lvl w:ilvl="7">
      <w:start w:val="1"/>
      <w:numFmt w:val="decimal"/>
      <w:isLgl/>
      <w:lvlText w:val="%1.%2.%3.%4.%5.%6.%7.%8."/>
      <w:lvlJc w:val="left"/>
      <w:pPr>
        <w:ind w:left="5196" w:hanging="1080"/>
      </w:pPr>
      <w:rPr>
        <w:rFonts w:hint="default"/>
      </w:rPr>
    </w:lvl>
    <w:lvl w:ilvl="8">
      <w:start w:val="1"/>
      <w:numFmt w:val="decimal"/>
      <w:isLgl/>
      <w:lvlText w:val="%1.%2.%3.%4.%5.%6.%7.%8.%9."/>
      <w:lvlJc w:val="left"/>
      <w:pPr>
        <w:ind w:left="5982" w:hanging="1440"/>
      </w:pPr>
      <w:rPr>
        <w:rFonts w:hint="default"/>
      </w:rPr>
    </w:lvl>
  </w:abstractNum>
  <w:abstractNum w:abstractNumId="10" w15:restartNumberingAfterBreak="0">
    <w:nsid w:val="25630E39"/>
    <w:multiLevelType w:val="hybridMultilevel"/>
    <w:tmpl w:val="82BCCFEE"/>
    <w:lvl w:ilvl="0" w:tplc="1F624F82">
      <w:start w:val="1"/>
      <w:numFmt w:val="upperRoman"/>
      <w:lvlText w:val="%1."/>
      <w:lvlJc w:val="right"/>
      <w:pPr>
        <w:tabs>
          <w:tab w:val="num" w:pos="720"/>
        </w:tabs>
        <w:ind w:left="720" w:hanging="360"/>
      </w:pPr>
      <w:rPr>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27175734"/>
    <w:multiLevelType w:val="hybridMultilevel"/>
    <w:tmpl w:val="62DCF2EA"/>
    <w:lvl w:ilvl="0" w:tplc="8E70D1A0">
      <w:start w:val="1"/>
      <w:numFmt w:val="upperRoman"/>
      <w:lvlText w:val="%1I."/>
      <w:lvlJc w:val="right"/>
      <w:pPr>
        <w:ind w:left="1287" w:hanging="360"/>
      </w:pPr>
      <w:rPr>
        <w:rFonts w:hint="default"/>
      </w:r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2" w15:restartNumberingAfterBreak="0">
    <w:nsid w:val="30CD58A2"/>
    <w:multiLevelType w:val="hybridMultilevel"/>
    <w:tmpl w:val="0178955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30ED36B0"/>
    <w:multiLevelType w:val="hybridMultilevel"/>
    <w:tmpl w:val="F8F20A8C"/>
    <w:lvl w:ilvl="0" w:tplc="E2E27488">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3155B5D"/>
    <w:multiLevelType w:val="hybridMultilevel"/>
    <w:tmpl w:val="2DE641D4"/>
    <w:lvl w:ilvl="0" w:tplc="809C54A2">
      <w:start w:val="3"/>
      <w:numFmt w:val="upperRoman"/>
      <w:lvlText w:val="%1."/>
      <w:lvlJc w:val="right"/>
      <w:pPr>
        <w:tabs>
          <w:tab w:val="num" w:pos="540"/>
        </w:tabs>
        <w:ind w:left="540" w:hanging="18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341F4552"/>
    <w:multiLevelType w:val="hybridMultilevel"/>
    <w:tmpl w:val="90464280"/>
    <w:lvl w:ilvl="0" w:tplc="F70E727C">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6" w15:restartNumberingAfterBreak="0">
    <w:nsid w:val="352468D5"/>
    <w:multiLevelType w:val="hybridMultilevel"/>
    <w:tmpl w:val="E67A8E18"/>
    <w:lvl w:ilvl="0" w:tplc="080A0017">
      <w:start w:val="1"/>
      <w:numFmt w:val="lowerLetter"/>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7" w15:restartNumberingAfterBreak="0">
    <w:nsid w:val="38C0560B"/>
    <w:multiLevelType w:val="hybridMultilevel"/>
    <w:tmpl w:val="7C7E4EA4"/>
    <w:lvl w:ilvl="0" w:tplc="4DB21D4E">
      <w:start w:val="1"/>
      <w:numFmt w:val="lowerRoman"/>
      <w:lvlText w:val="%1)"/>
      <w:lvlJc w:val="left"/>
      <w:pPr>
        <w:ind w:left="1146" w:hanging="720"/>
      </w:pPr>
      <w:rPr>
        <w:rFonts w:hint="default"/>
        <w:b/>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18" w15:restartNumberingAfterBreak="0">
    <w:nsid w:val="39C572BE"/>
    <w:multiLevelType w:val="hybridMultilevel"/>
    <w:tmpl w:val="842061BA"/>
    <w:lvl w:ilvl="0" w:tplc="E51049EE">
      <w:start w:val="1"/>
      <w:numFmt w:val="upperRoman"/>
      <w:lvlText w:val="%1."/>
      <w:lvlJc w:val="left"/>
      <w:pPr>
        <w:tabs>
          <w:tab w:val="num" w:pos="180"/>
        </w:tabs>
        <w:ind w:left="180" w:firstLine="108"/>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3A063B65"/>
    <w:multiLevelType w:val="hybridMultilevel"/>
    <w:tmpl w:val="90349022"/>
    <w:lvl w:ilvl="0" w:tplc="0C0A0011">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3CB11AF9"/>
    <w:multiLevelType w:val="hybridMultilevel"/>
    <w:tmpl w:val="3E14F96A"/>
    <w:lvl w:ilvl="0" w:tplc="29865E14">
      <w:start w:val="3"/>
      <w:numFmt w:val="upperRoman"/>
      <w:lvlText w:val="%1. "/>
      <w:lvlJc w:val="left"/>
      <w:pPr>
        <w:tabs>
          <w:tab w:val="num" w:pos="567"/>
        </w:tabs>
        <w:ind w:left="567" w:hanging="567"/>
      </w:pPr>
      <w:rPr>
        <w:rFonts w:ascii="Arial" w:hAnsi="Arial" w:hint="default"/>
        <w:b/>
        <w:i w:val="0"/>
        <w:sz w:val="22"/>
        <w:szCs w:val="22"/>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DB87BA0"/>
    <w:multiLevelType w:val="hybridMultilevel"/>
    <w:tmpl w:val="5458296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1A0B32"/>
    <w:multiLevelType w:val="hybridMultilevel"/>
    <w:tmpl w:val="A2841922"/>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23" w15:restartNumberingAfterBreak="0">
    <w:nsid w:val="477055DD"/>
    <w:multiLevelType w:val="hybridMultilevel"/>
    <w:tmpl w:val="A2CE4A52"/>
    <w:lvl w:ilvl="0" w:tplc="080A0017">
      <w:start w:val="1"/>
      <w:numFmt w:val="lowerLetter"/>
      <w:lvlText w:val="%1)"/>
      <w:lvlJc w:val="left"/>
      <w:pPr>
        <w:ind w:left="1713" w:hanging="360"/>
      </w:pPr>
    </w:lvl>
    <w:lvl w:ilvl="1" w:tplc="080A0019" w:tentative="1">
      <w:start w:val="1"/>
      <w:numFmt w:val="lowerLetter"/>
      <w:lvlText w:val="%2."/>
      <w:lvlJc w:val="left"/>
      <w:pPr>
        <w:ind w:left="2433" w:hanging="360"/>
      </w:pPr>
    </w:lvl>
    <w:lvl w:ilvl="2" w:tplc="080A001B" w:tentative="1">
      <w:start w:val="1"/>
      <w:numFmt w:val="lowerRoman"/>
      <w:lvlText w:val="%3."/>
      <w:lvlJc w:val="right"/>
      <w:pPr>
        <w:ind w:left="3153" w:hanging="180"/>
      </w:pPr>
    </w:lvl>
    <w:lvl w:ilvl="3" w:tplc="080A000F" w:tentative="1">
      <w:start w:val="1"/>
      <w:numFmt w:val="decimal"/>
      <w:lvlText w:val="%4."/>
      <w:lvlJc w:val="left"/>
      <w:pPr>
        <w:ind w:left="3873" w:hanging="360"/>
      </w:pPr>
    </w:lvl>
    <w:lvl w:ilvl="4" w:tplc="080A0019" w:tentative="1">
      <w:start w:val="1"/>
      <w:numFmt w:val="lowerLetter"/>
      <w:lvlText w:val="%5."/>
      <w:lvlJc w:val="left"/>
      <w:pPr>
        <w:ind w:left="4593" w:hanging="360"/>
      </w:pPr>
    </w:lvl>
    <w:lvl w:ilvl="5" w:tplc="080A001B" w:tentative="1">
      <w:start w:val="1"/>
      <w:numFmt w:val="lowerRoman"/>
      <w:lvlText w:val="%6."/>
      <w:lvlJc w:val="right"/>
      <w:pPr>
        <w:ind w:left="5313" w:hanging="180"/>
      </w:pPr>
    </w:lvl>
    <w:lvl w:ilvl="6" w:tplc="080A000F" w:tentative="1">
      <w:start w:val="1"/>
      <w:numFmt w:val="decimal"/>
      <w:lvlText w:val="%7."/>
      <w:lvlJc w:val="left"/>
      <w:pPr>
        <w:ind w:left="6033" w:hanging="360"/>
      </w:pPr>
    </w:lvl>
    <w:lvl w:ilvl="7" w:tplc="080A0019" w:tentative="1">
      <w:start w:val="1"/>
      <w:numFmt w:val="lowerLetter"/>
      <w:lvlText w:val="%8."/>
      <w:lvlJc w:val="left"/>
      <w:pPr>
        <w:ind w:left="6753" w:hanging="360"/>
      </w:pPr>
    </w:lvl>
    <w:lvl w:ilvl="8" w:tplc="080A001B" w:tentative="1">
      <w:start w:val="1"/>
      <w:numFmt w:val="lowerRoman"/>
      <w:lvlText w:val="%9."/>
      <w:lvlJc w:val="right"/>
      <w:pPr>
        <w:ind w:left="7473" w:hanging="180"/>
      </w:pPr>
    </w:lvl>
  </w:abstractNum>
  <w:abstractNum w:abstractNumId="24" w15:restartNumberingAfterBreak="0">
    <w:nsid w:val="4D8D556F"/>
    <w:multiLevelType w:val="hybridMultilevel"/>
    <w:tmpl w:val="DB3AF5CC"/>
    <w:lvl w:ilvl="0" w:tplc="87F8D3C2">
      <w:start w:val="1"/>
      <w:numFmt w:val="lowerLetter"/>
      <w:lvlText w:val="%1)"/>
      <w:lvlJc w:val="left"/>
      <w:pPr>
        <w:tabs>
          <w:tab w:val="num" w:pos="1440"/>
        </w:tabs>
        <w:ind w:left="1440" w:hanging="360"/>
      </w:pPr>
      <w:rPr>
        <w:rFonts w:ascii="Arial" w:hAnsi="Arial" w:hint="default"/>
        <w:b w:val="0"/>
        <w:i w:val="0"/>
        <w:sz w:val="22"/>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15:restartNumberingAfterBreak="0">
    <w:nsid w:val="4F1529E0"/>
    <w:multiLevelType w:val="hybridMultilevel"/>
    <w:tmpl w:val="8116B48E"/>
    <w:lvl w:ilvl="0" w:tplc="5ED221E2">
      <w:start w:val="1"/>
      <w:numFmt w:val="decimal"/>
      <w:lvlText w:val="%1."/>
      <w:lvlJc w:val="left"/>
      <w:pPr>
        <w:tabs>
          <w:tab w:val="num" w:pos="720"/>
        </w:tabs>
        <w:ind w:left="720" w:hanging="360"/>
      </w:pPr>
      <w:rPr>
        <w:b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15:restartNumberingAfterBreak="0">
    <w:nsid w:val="4F2161FC"/>
    <w:multiLevelType w:val="multilevel"/>
    <w:tmpl w:val="B2948C1E"/>
    <w:lvl w:ilvl="0">
      <w:start w:val="1"/>
      <w:numFmt w:val="decimal"/>
      <w:lvlText w:val="%1."/>
      <w:lvlJc w:val="left"/>
      <w:pPr>
        <w:ind w:left="1494" w:hanging="360"/>
      </w:pPr>
      <w:rPr>
        <w:rFonts w:hint="default"/>
      </w:rPr>
    </w:lvl>
    <w:lvl w:ilvl="1">
      <w:start w:val="1"/>
      <w:numFmt w:val="decimal"/>
      <w:isLgl/>
      <w:lvlText w:val="%1.%2."/>
      <w:lvlJc w:val="left"/>
      <w:pPr>
        <w:ind w:left="1920" w:hanging="360"/>
      </w:pPr>
      <w:rPr>
        <w:rFonts w:hint="default"/>
      </w:rPr>
    </w:lvl>
    <w:lvl w:ilvl="2">
      <w:start w:val="1"/>
      <w:numFmt w:val="decimal"/>
      <w:isLgl/>
      <w:lvlText w:val="%1.%2.%3."/>
      <w:lvlJc w:val="left"/>
      <w:pPr>
        <w:ind w:left="2706" w:hanging="720"/>
      </w:pPr>
      <w:rPr>
        <w:rFonts w:hint="default"/>
      </w:rPr>
    </w:lvl>
    <w:lvl w:ilvl="3">
      <w:start w:val="1"/>
      <w:numFmt w:val="decimal"/>
      <w:isLgl/>
      <w:lvlText w:val="%1.%2.%3.%4."/>
      <w:lvlJc w:val="left"/>
      <w:pPr>
        <w:ind w:left="3132" w:hanging="720"/>
      </w:pPr>
      <w:rPr>
        <w:rFonts w:hint="default"/>
      </w:rPr>
    </w:lvl>
    <w:lvl w:ilvl="4">
      <w:start w:val="1"/>
      <w:numFmt w:val="decimal"/>
      <w:isLgl/>
      <w:lvlText w:val="%1.%2.%3.%4.%5."/>
      <w:lvlJc w:val="left"/>
      <w:pPr>
        <w:ind w:left="3558" w:hanging="720"/>
      </w:pPr>
      <w:rPr>
        <w:rFonts w:hint="default"/>
      </w:rPr>
    </w:lvl>
    <w:lvl w:ilvl="5">
      <w:start w:val="1"/>
      <w:numFmt w:val="decimal"/>
      <w:isLgl/>
      <w:lvlText w:val="%1.%2.%3.%4.%5.%6."/>
      <w:lvlJc w:val="left"/>
      <w:pPr>
        <w:ind w:left="4344" w:hanging="1080"/>
      </w:pPr>
      <w:rPr>
        <w:rFonts w:hint="default"/>
      </w:rPr>
    </w:lvl>
    <w:lvl w:ilvl="6">
      <w:start w:val="1"/>
      <w:numFmt w:val="decimal"/>
      <w:isLgl/>
      <w:lvlText w:val="%1.%2.%3.%4.%5.%6.%7."/>
      <w:lvlJc w:val="left"/>
      <w:pPr>
        <w:ind w:left="4770" w:hanging="1080"/>
      </w:pPr>
      <w:rPr>
        <w:rFonts w:hint="default"/>
      </w:rPr>
    </w:lvl>
    <w:lvl w:ilvl="7">
      <w:start w:val="1"/>
      <w:numFmt w:val="decimal"/>
      <w:isLgl/>
      <w:lvlText w:val="%1.%2.%3.%4.%5.%6.%7.%8."/>
      <w:lvlJc w:val="left"/>
      <w:pPr>
        <w:ind w:left="5196" w:hanging="1080"/>
      </w:pPr>
      <w:rPr>
        <w:rFonts w:hint="default"/>
      </w:rPr>
    </w:lvl>
    <w:lvl w:ilvl="8">
      <w:start w:val="1"/>
      <w:numFmt w:val="decimal"/>
      <w:isLgl/>
      <w:lvlText w:val="%1.%2.%3.%4.%5.%6.%7.%8.%9."/>
      <w:lvlJc w:val="left"/>
      <w:pPr>
        <w:ind w:left="5982" w:hanging="1440"/>
      </w:pPr>
      <w:rPr>
        <w:rFonts w:hint="default"/>
      </w:rPr>
    </w:lvl>
  </w:abstractNum>
  <w:abstractNum w:abstractNumId="27" w15:restartNumberingAfterBreak="0">
    <w:nsid w:val="4F3B4F2A"/>
    <w:multiLevelType w:val="hybridMultilevel"/>
    <w:tmpl w:val="7E8AD344"/>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8" w15:restartNumberingAfterBreak="0">
    <w:nsid w:val="537C04BD"/>
    <w:multiLevelType w:val="hybridMultilevel"/>
    <w:tmpl w:val="0D4219DA"/>
    <w:lvl w:ilvl="0" w:tplc="080A001B">
      <w:start w:val="1"/>
      <w:numFmt w:val="low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78012DA"/>
    <w:multiLevelType w:val="multilevel"/>
    <w:tmpl w:val="2DE641D4"/>
    <w:lvl w:ilvl="0">
      <w:start w:val="3"/>
      <w:numFmt w:val="upperRoman"/>
      <w:lvlText w:val="%1."/>
      <w:lvlJc w:val="right"/>
      <w:pPr>
        <w:tabs>
          <w:tab w:val="num" w:pos="540"/>
        </w:tabs>
        <w:ind w:left="54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57CD229A"/>
    <w:multiLevelType w:val="hybridMultilevel"/>
    <w:tmpl w:val="1D92D6CE"/>
    <w:lvl w:ilvl="0" w:tplc="87F8D3C2">
      <w:start w:val="1"/>
      <w:numFmt w:val="lowerLetter"/>
      <w:lvlText w:val="%1)"/>
      <w:lvlJc w:val="left"/>
      <w:pPr>
        <w:tabs>
          <w:tab w:val="num" w:pos="1440"/>
        </w:tabs>
        <w:ind w:left="1440" w:hanging="360"/>
      </w:pPr>
      <w:rPr>
        <w:rFonts w:ascii="Arial" w:hAnsi="Arial" w:hint="default"/>
        <w:b w:val="0"/>
        <w:i w:val="0"/>
        <w:sz w:val="22"/>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15:restartNumberingAfterBreak="0">
    <w:nsid w:val="59833FBB"/>
    <w:multiLevelType w:val="hybridMultilevel"/>
    <w:tmpl w:val="765E4F8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ACF0BEE"/>
    <w:multiLevelType w:val="hybridMultilevel"/>
    <w:tmpl w:val="B2C265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003293A"/>
    <w:multiLevelType w:val="hybridMultilevel"/>
    <w:tmpl w:val="8FAEB31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120637B"/>
    <w:multiLevelType w:val="hybridMultilevel"/>
    <w:tmpl w:val="83E43732"/>
    <w:lvl w:ilvl="0" w:tplc="125CA09A">
      <w:start w:val="1"/>
      <w:numFmt w:val="upperRoman"/>
      <w:lvlText w:val="%1. "/>
      <w:lvlJc w:val="left"/>
      <w:pPr>
        <w:tabs>
          <w:tab w:val="num" w:pos="567"/>
        </w:tabs>
        <w:ind w:left="567" w:hanging="567"/>
      </w:pPr>
      <w:rPr>
        <w:rFonts w:ascii="Arial" w:hAnsi="Arial" w:hint="default"/>
        <w:b/>
        <w:i w:val="0"/>
        <w:sz w:val="22"/>
        <w:szCs w:val="22"/>
        <w:u w:val="none"/>
      </w:rPr>
    </w:lvl>
    <w:lvl w:ilvl="1" w:tplc="0C0A000F">
      <w:start w:val="1"/>
      <w:numFmt w:val="decimal"/>
      <w:lvlText w:val="%2."/>
      <w:lvlJc w:val="left"/>
      <w:pPr>
        <w:tabs>
          <w:tab w:val="num" w:pos="1440"/>
        </w:tabs>
        <w:ind w:left="1440" w:hanging="360"/>
      </w:pPr>
      <w:rPr>
        <w:rFonts w:hint="default"/>
        <w:b/>
        <w:i w:val="0"/>
        <w:sz w:val="22"/>
        <w:szCs w:val="22"/>
        <w:u w:val="none"/>
      </w:rPr>
    </w:lvl>
    <w:lvl w:ilvl="2" w:tplc="D0AA99A8">
      <w:start w:val="1"/>
      <w:numFmt w:val="decimal"/>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15:restartNumberingAfterBreak="0">
    <w:nsid w:val="61F42395"/>
    <w:multiLevelType w:val="hybridMultilevel"/>
    <w:tmpl w:val="8B664042"/>
    <w:lvl w:ilvl="0" w:tplc="21844522">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36" w15:restartNumberingAfterBreak="0">
    <w:nsid w:val="626214A4"/>
    <w:multiLevelType w:val="hybridMultilevel"/>
    <w:tmpl w:val="1CC0757C"/>
    <w:lvl w:ilvl="0" w:tplc="0C0A000F">
      <w:start w:val="1"/>
      <w:numFmt w:val="decimal"/>
      <w:lvlText w:val="%1."/>
      <w:lvlJc w:val="left"/>
      <w:pPr>
        <w:tabs>
          <w:tab w:val="num" w:pos="1260"/>
        </w:tabs>
        <w:ind w:left="1260" w:hanging="360"/>
      </w:pPr>
    </w:lvl>
    <w:lvl w:ilvl="1" w:tplc="0C0A0019" w:tentative="1">
      <w:start w:val="1"/>
      <w:numFmt w:val="lowerLetter"/>
      <w:lvlText w:val="%2."/>
      <w:lvlJc w:val="left"/>
      <w:pPr>
        <w:tabs>
          <w:tab w:val="num" w:pos="1980"/>
        </w:tabs>
        <w:ind w:left="1980" w:hanging="360"/>
      </w:pPr>
    </w:lvl>
    <w:lvl w:ilvl="2" w:tplc="0C0A001B" w:tentative="1">
      <w:start w:val="1"/>
      <w:numFmt w:val="lowerRoman"/>
      <w:lvlText w:val="%3."/>
      <w:lvlJc w:val="right"/>
      <w:pPr>
        <w:tabs>
          <w:tab w:val="num" w:pos="2700"/>
        </w:tabs>
        <w:ind w:left="2700" w:hanging="180"/>
      </w:pPr>
    </w:lvl>
    <w:lvl w:ilvl="3" w:tplc="0C0A000F" w:tentative="1">
      <w:start w:val="1"/>
      <w:numFmt w:val="decimal"/>
      <w:lvlText w:val="%4."/>
      <w:lvlJc w:val="left"/>
      <w:pPr>
        <w:tabs>
          <w:tab w:val="num" w:pos="3420"/>
        </w:tabs>
        <w:ind w:left="3420" w:hanging="360"/>
      </w:pPr>
    </w:lvl>
    <w:lvl w:ilvl="4" w:tplc="0C0A0019" w:tentative="1">
      <w:start w:val="1"/>
      <w:numFmt w:val="lowerLetter"/>
      <w:lvlText w:val="%5."/>
      <w:lvlJc w:val="left"/>
      <w:pPr>
        <w:tabs>
          <w:tab w:val="num" w:pos="4140"/>
        </w:tabs>
        <w:ind w:left="4140" w:hanging="360"/>
      </w:pPr>
    </w:lvl>
    <w:lvl w:ilvl="5" w:tplc="0C0A001B" w:tentative="1">
      <w:start w:val="1"/>
      <w:numFmt w:val="lowerRoman"/>
      <w:lvlText w:val="%6."/>
      <w:lvlJc w:val="right"/>
      <w:pPr>
        <w:tabs>
          <w:tab w:val="num" w:pos="4860"/>
        </w:tabs>
        <w:ind w:left="4860" w:hanging="180"/>
      </w:pPr>
    </w:lvl>
    <w:lvl w:ilvl="6" w:tplc="0C0A000F" w:tentative="1">
      <w:start w:val="1"/>
      <w:numFmt w:val="decimal"/>
      <w:lvlText w:val="%7."/>
      <w:lvlJc w:val="left"/>
      <w:pPr>
        <w:tabs>
          <w:tab w:val="num" w:pos="5580"/>
        </w:tabs>
        <w:ind w:left="5580" w:hanging="360"/>
      </w:pPr>
    </w:lvl>
    <w:lvl w:ilvl="7" w:tplc="0C0A0019" w:tentative="1">
      <w:start w:val="1"/>
      <w:numFmt w:val="lowerLetter"/>
      <w:lvlText w:val="%8."/>
      <w:lvlJc w:val="left"/>
      <w:pPr>
        <w:tabs>
          <w:tab w:val="num" w:pos="6300"/>
        </w:tabs>
        <w:ind w:left="6300" w:hanging="360"/>
      </w:pPr>
    </w:lvl>
    <w:lvl w:ilvl="8" w:tplc="0C0A001B" w:tentative="1">
      <w:start w:val="1"/>
      <w:numFmt w:val="lowerRoman"/>
      <w:lvlText w:val="%9."/>
      <w:lvlJc w:val="right"/>
      <w:pPr>
        <w:tabs>
          <w:tab w:val="num" w:pos="7020"/>
        </w:tabs>
        <w:ind w:left="7020" w:hanging="180"/>
      </w:pPr>
    </w:lvl>
  </w:abstractNum>
  <w:abstractNum w:abstractNumId="37" w15:restartNumberingAfterBreak="0">
    <w:nsid w:val="63C24DBD"/>
    <w:multiLevelType w:val="hybridMultilevel"/>
    <w:tmpl w:val="3020B3B0"/>
    <w:lvl w:ilvl="0" w:tplc="C37ACD6C">
      <w:start w:val="2"/>
      <w:numFmt w:val="upperRoman"/>
      <w:lvlText w:val="%1."/>
      <w:lvlJc w:val="left"/>
      <w:pPr>
        <w:tabs>
          <w:tab w:val="num" w:pos="1080"/>
        </w:tabs>
        <w:ind w:left="1080" w:hanging="720"/>
      </w:pPr>
      <w:rPr>
        <w:rFonts w:hint="default"/>
        <w:b/>
      </w:rPr>
    </w:lvl>
    <w:lvl w:ilvl="1" w:tplc="0C0A0019" w:tentative="1">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8" w15:restartNumberingAfterBreak="0">
    <w:nsid w:val="653D2084"/>
    <w:multiLevelType w:val="hybridMultilevel"/>
    <w:tmpl w:val="280252A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68FD0F60"/>
    <w:multiLevelType w:val="hybridMultilevel"/>
    <w:tmpl w:val="22E036C8"/>
    <w:lvl w:ilvl="0" w:tplc="8ABCBB16">
      <w:start w:val="1"/>
      <w:numFmt w:val="decimal"/>
      <w:lvlText w:val="%1)"/>
      <w:lvlJc w:val="left"/>
      <w:pPr>
        <w:tabs>
          <w:tab w:val="num" w:pos="2340"/>
        </w:tabs>
        <w:ind w:left="234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0" w15:restartNumberingAfterBreak="0">
    <w:nsid w:val="69BC1CDA"/>
    <w:multiLevelType w:val="hybridMultilevel"/>
    <w:tmpl w:val="1898C906"/>
    <w:lvl w:ilvl="0" w:tplc="0C0A000F">
      <w:start w:val="1"/>
      <w:numFmt w:val="decimal"/>
      <w:lvlText w:val="%1."/>
      <w:lvlJc w:val="left"/>
      <w:pPr>
        <w:tabs>
          <w:tab w:val="num" w:pos="1260"/>
        </w:tabs>
        <w:ind w:left="1260" w:hanging="360"/>
      </w:pPr>
    </w:lvl>
    <w:lvl w:ilvl="1" w:tplc="0C0A0019" w:tentative="1">
      <w:start w:val="1"/>
      <w:numFmt w:val="lowerLetter"/>
      <w:lvlText w:val="%2."/>
      <w:lvlJc w:val="left"/>
      <w:pPr>
        <w:tabs>
          <w:tab w:val="num" w:pos="1980"/>
        </w:tabs>
        <w:ind w:left="1980" w:hanging="360"/>
      </w:pPr>
    </w:lvl>
    <w:lvl w:ilvl="2" w:tplc="0C0A001B" w:tentative="1">
      <w:start w:val="1"/>
      <w:numFmt w:val="lowerRoman"/>
      <w:lvlText w:val="%3."/>
      <w:lvlJc w:val="right"/>
      <w:pPr>
        <w:tabs>
          <w:tab w:val="num" w:pos="2700"/>
        </w:tabs>
        <w:ind w:left="2700" w:hanging="180"/>
      </w:pPr>
    </w:lvl>
    <w:lvl w:ilvl="3" w:tplc="0C0A000F" w:tentative="1">
      <w:start w:val="1"/>
      <w:numFmt w:val="decimal"/>
      <w:lvlText w:val="%4."/>
      <w:lvlJc w:val="left"/>
      <w:pPr>
        <w:tabs>
          <w:tab w:val="num" w:pos="3420"/>
        </w:tabs>
        <w:ind w:left="3420" w:hanging="360"/>
      </w:pPr>
    </w:lvl>
    <w:lvl w:ilvl="4" w:tplc="0C0A0019" w:tentative="1">
      <w:start w:val="1"/>
      <w:numFmt w:val="lowerLetter"/>
      <w:lvlText w:val="%5."/>
      <w:lvlJc w:val="left"/>
      <w:pPr>
        <w:tabs>
          <w:tab w:val="num" w:pos="4140"/>
        </w:tabs>
        <w:ind w:left="4140" w:hanging="360"/>
      </w:pPr>
    </w:lvl>
    <w:lvl w:ilvl="5" w:tplc="0C0A001B" w:tentative="1">
      <w:start w:val="1"/>
      <w:numFmt w:val="lowerRoman"/>
      <w:lvlText w:val="%6."/>
      <w:lvlJc w:val="right"/>
      <w:pPr>
        <w:tabs>
          <w:tab w:val="num" w:pos="4860"/>
        </w:tabs>
        <w:ind w:left="4860" w:hanging="180"/>
      </w:pPr>
    </w:lvl>
    <w:lvl w:ilvl="6" w:tplc="0C0A000F" w:tentative="1">
      <w:start w:val="1"/>
      <w:numFmt w:val="decimal"/>
      <w:lvlText w:val="%7."/>
      <w:lvlJc w:val="left"/>
      <w:pPr>
        <w:tabs>
          <w:tab w:val="num" w:pos="5580"/>
        </w:tabs>
        <w:ind w:left="5580" w:hanging="360"/>
      </w:pPr>
    </w:lvl>
    <w:lvl w:ilvl="7" w:tplc="0C0A0019" w:tentative="1">
      <w:start w:val="1"/>
      <w:numFmt w:val="lowerLetter"/>
      <w:lvlText w:val="%8."/>
      <w:lvlJc w:val="left"/>
      <w:pPr>
        <w:tabs>
          <w:tab w:val="num" w:pos="6300"/>
        </w:tabs>
        <w:ind w:left="6300" w:hanging="360"/>
      </w:pPr>
    </w:lvl>
    <w:lvl w:ilvl="8" w:tplc="0C0A001B" w:tentative="1">
      <w:start w:val="1"/>
      <w:numFmt w:val="lowerRoman"/>
      <w:lvlText w:val="%9."/>
      <w:lvlJc w:val="right"/>
      <w:pPr>
        <w:tabs>
          <w:tab w:val="num" w:pos="7020"/>
        </w:tabs>
        <w:ind w:left="7020" w:hanging="180"/>
      </w:pPr>
    </w:lvl>
  </w:abstractNum>
  <w:abstractNum w:abstractNumId="41" w15:restartNumberingAfterBreak="0">
    <w:nsid w:val="6FD93579"/>
    <w:multiLevelType w:val="hybridMultilevel"/>
    <w:tmpl w:val="638C740E"/>
    <w:lvl w:ilvl="0" w:tplc="080A0013">
      <w:start w:val="1"/>
      <w:numFmt w:val="upperRoman"/>
      <w:lvlText w:val="%1."/>
      <w:lvlJc w:val="right"/>
      <w:pPr>
        <w:tabs>
          <w:tab w:val="num" w:pos="567"/>
        </w:tabs>
        <w:ind w:left="567" w:hanging="567"/>
      </w:pPr>
      <w:rPr>
        <w:rFonts w:hint="default"/>
        <w:b/>
        <w:i w:val="0"/>
        <w:sz w:val="22"/>
        <w:szCs w:val="22"/>
        <w:u w:val="none"/>
      </w:rPr>
    </w:lvl>
    <w:lvl w:ilvl="1" w:tplc="0C0A000F">
      <w:start w:val="1"/>
      <w:numFmt w:val="decimal"/>
      <w:lvlText w:val="%2."/>
      <w:lvlJc w:val="left"/>
      <w:pPr>
        <w:tabs>
          <w:tab w:val="num" w:pos="1440"/>
        </w:tabs>
        <w:ind w:left="1440" w:hanging="360"/>
      </w:pPr>
      <w:rPr>
        <w:rFonts w:hint="default"/>
        <w:b/>
        <w:i w:val="0"/>
        <w:sz w:val="22"/>
        <w:szCs w:val="22"/>
        <w:u w:val="none"/>
      </w:rPr>
    </w:lvl>
    <w:lvl w:ilvl="2" w:tplc="D0AA99A8">
      <w:start w:val="1"/>
      <w:numFmt w:val="decimal"/>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2" w15:restartNumberingAfterBreak="0">
    <w:nsid w:val="70B118E0"/>
    <w:multiLevelType w:val="hybridMultilevel"/>
    <w:tmpl w:val="D312E282"/>
    <w:lvl w:ilvl="0" w:tplc="8ABE3078">
      <w:start w:val="4"/>
      <w:numFmt w:val="upperRoman"/>
      <w:lvlText w:val="%1."/>
      <w:lvlJc w:val="left"/>
      <w:pPr>
        <w:ind w:left="1004" w:hanging="72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43" w15:restartNumberingAfterBreak="0">
    <w:nsid w:val="73AC5559"/>
    <w:multiLevelType w:val="hybridMultilevel"/>
    <w:tmpl w:val="925C7B18"/>
    <w:lvl w:ilvl="0" w:tplc="A9E66AD0">
      <w:start w:val="1"/>
      <w:numFmt w:val="upperRoman"/>
      <w:lvlText w:val="%1."/>
      <w:lvlJc w:val="left"/>
      <w:pPr>
        <w:tabs>
          <w:tab w:val="num" w:pos="1080"/>
        </w:tabs>
        <w:ind w:left="1080" w:hanging="720"/>
      </w:pPr>
      <w:rPr>
        <w:rFonts w:hint="default"/>
        <w:b/>
      </w:rPr>
    </w:lvl>
    <w:lvl w:ilvl="1" w:tplc="BC76A95C">
      <w:start w:val="1"/>
      <w:numFmt w:val="lowerLetter"/>
      <w:lvlText w:val="%2)"/>
      <w:lvlJc w:val="left"/>
      <w:pPr>
        <w:tabs>
          <w:tab w:val="num" w:pos="1440"/>
        </w:tabs>
        <w:ind w:left="1440" w:hanging="360"/>
      </w:pPr>
      <w:rPr>
        <w:rFonts w:hint="default"/>
        <w:b w:val="0"/>
        <w:i w:val="0"/>
      </w:r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4" w15:restartNumberingAfterBreak="0">
    <w:nsid w:val="74650DD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7E71BBC"/>
    <w:multiLevelType w:val="multilevel"/>
    <w:tmpl w:val="EE5CCF4A"/>
    <w:lvl w:ilvl="0">
      <w:start w:val="2"/>
      <w:numFmt w:val="decimal"/>
      <w:lvlText w:val="%1."/>
      <w:lvlJc w:val="left"/>
      <w:pPr>
        <w:ind w:left="1494" w:hanging="360"/>
      </w:pPr>
      <w:rPr>
        <w:rFonts w:hint="default"/>
      </w:rPr>
    </w:lvl>
    <w:lvl w:ilvl="1">
      <w:start w:val="4"/>
      <w:numFmt w:val="decimal"/>
      <w:isLgl/>
      <w:lvlText w:val="%1.%2."/>
      <w:lvlJc w:val="left"/>
      <w:pPr>
        <w:ind w:left="1920" w:hanging="360"/>
      </w:pPr>
      <w:rPr>
        <w:rFonts w:hint="default"/>
      </w:rPr>
    </w:lvl>
    <w:lvl w:ilvl="2">
      <w:start w:val="1"/>
      <w:numFmt w:val="decimal"/>
      <w:isLgl/>
      <w:lvlText w:val="%1.%2.%3."/>
      <w:lvlJc w:val="left"/>
      <w:pPr>
        <w:ind w:left="2706" w:hanging="720"/>
      </w:pPr>
      <w:rPr>
        <w:rFonts w:hint="default"/>
      </w:rPr>
    </w:lvl>
    <w:lvl w:ilvl="3">
      <w:start w:val="1"/>
      <w:numFmt w:val="decimal"/>
      <w:isLgl/>
      <w:lvlText w:val="%1.%2.%3.%4."/>
      <w:lvlJc w:val="left"/>
      <w:pPr>
        <w:ind w:left="3132" w:hanging="720"/>
      </w:pPr>
      <w:rPr>
        <w:rFonts w:hint="default"/>
      </w:rPr>
    </w:lvl>
    <w:lvl w:ilvl="4">
      <w:start w:val="1"/>
      <w:numFmt w:val="decimal"/>
      <w:isLgl/>
      <w:lvlText w:val="%1.%2.%3.%4.%5."/>
      <w:lvlJc w:val="left"/>
      <w:pPr>
        <w:ind w:left="3558" w:hanging="720"/>
      </w:pPr>
      <w:rPr>
        <w:rFonts w:hint="default"/>
      </w:rPr>
    </w:lvl>
    <w:lvl w:ilvl="5">
      <w:start w:val="1"/>
      <w:numFmt w:val="decimal"/>
      <w:isLgl/>
      <w:lvlText w:val="%1.%2.%3.%4.%5.%6."/>
      <w:lvlJc w:val="left"/>
      <w:pPr>
        <w:ind w:left="4344" w:hanging="1080"/>
      </w:pPr>
      <w:rPr>
        <w:rFonts w:hint="default"/>
      </w:rPr>
    </w:lvl>
    <w:lvl w:ilvl="6">
      <w:start w:val="1"/>
      <w:numFmt w:val="decimal"/>
      <w:isLgl/>
      <w:lvlText w:val="%1.%2.%3.%4.%5.%6.%7."/>
      <w:lvlJc w:val="left"/>
      <w:pPr>
        <w:ind w:left="4770" w:hanging="1080"/>
      </w:pPr>
      <w:rPr>
        <w:rFonts w:hint="default"/>
      </w:rPr>
    </w:lvl>
    <w:lvl w:ilvl="7">
      <w:start w:val="1"/>
      <w:numFmt w:val="decimal"/>
      <w:isLgl/>
      <w:lvlText w:val="%1.%2.%3.%4.%5.%6.%7.%8."/>
      <w:lvlJc w:val="left"/>
      <w:pPr>
        <w:ind w:left="5196" w:hanging="1080"/>
      </w:pPr>
      <w:rPr>
        <w:rFonts w:hint="default"/>
      </w:rPr>
    </w:lvl>
    <w:lvl w:ilvl="8">
      <w:start w:val="1"/>
      <w:numFmt w:val="decimal"/>
      <w:isLgl/>
      <w:lvlText w:val="%1.%2.%3.%4.%5.%6.%7.%8.%9."/>
      <w:lvlJc w:val="left"/>
      <w:pPr>
        <w:ind w:left="5982" w:hanging="1440"/>
      </w:pPr>
      <w:rPr>
        <w:rFonts w:hint="default"/>
      </w:rPr>
    </w:lvl>
  </w:abstractNum>
  <w:abstractNum w:abstractNumId="46" w15:restartNumberingAfterBreak="0">
    <w:nsid w:val="791F673A"/>
    <w:multiLevelType w:val="hybridMultilevel"/>
    <w:tmpl w:val="B55E4666"/>
    <w:lvl w:ilvl="0" w:tplc="D20491FA">
      <w:start w:val="3"/>
      <w:numFmt w:val="upperRoman"/>
      <w:lvlText w:val="%1."/>
      <w:lvlJc w:val="right"/>
      <w:pPr>
        <w:tabs>
          <w:tab w:val="num" w:pos="180"/>
        </w:tabs>
        <w:ind w:left="180" w:hanging="180"/>
      </w:pPr>
      <w:rPr>
        <w:rFonts w:hint="default"/>
        <w:b/>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34"/>
  </w:num>
  <w:num w:numId="2">
    <w:abstractNumId w:val="18"/>
  </w:num>
  <w:num w:numId="3">
    <w:abstractNumId w:val="36"/>
  </w:num>
  <w:num w:numId="4">
    <w:abstractNumId w:val="14"/>
  </w:num>
  <w:num w:numId="5">
    <w:abstractNumId w:val="6"/>
  </w:num>
  <w:num w:numId="6">
    <w:abstractNumId w:val="29"/>
  </w:num>
  <w:num w:numId="7">
    <w:abstractNumId w:val="46"/>
  </w:num>
  <w:num w:numId="8">
    <w:abstractNumId w:val="5"/>
  </w:num>
  <w:num w:numId="9">
    <w:abstractNumId w:val="22"/>
  </w:num>
  <w:num w:numId="10">
    <w:abstractNumId w:val="1"/>
  </w:num>
  <w:num w:numId="11">
    <w:abstractNumId w:val="37"/>
  </w:num>
  <w:num w:numId="12">
    <w:abstractNumId w:val="21"/>
  </w:num>
  <w:num w:numId="13">
    <w:abstractNumId w:val="39"/>
  </w:num>
  <w:num w:numId="14">
    <w:abstractNumId w:val="40"/>
  </w:num>
  <w:num w:numId="15">
    <w:abstractNumId w:val="27"/>
  </w:num>
  <w:num w:numId="16">
    <w:abstractNumId w:val="12"/>
  </w:num>
  <w:num w:numId="17">
    <w:abstractNumId w:val="19"/>
  </w:num>
  <w:num w:numId="18">
    <w:abstractNumId w:val="24"/>
  </w:num>
  <w:num w:numId="19">
    <w:abstractNumId w:val="31"/>
  </w:num>
  <w:num w:numId="20">
    <w:abstractNumId w:val="10"/>
  </w:num>
  <w:num w:numId="21">
    <w:abstractNumId w:val="33"/>
  </w:num>
  <w:num w:numId="22">
    <w:abstractNumId w:val="43"/>
  </w:num>
  <w:num w:numId="23">
    <w:abstractNumId w:val="25"/>
  </w:num>
  <w:num w:numId="24">
    <w:abstractNumId w:val="17"/>
  </w:num>
  <w:num w:numId="25">
    <w:abstractNumId w:val="23"/>
  </w:num>
  <w:num w:numId="26">
    <w:abstractNumId w:val="30"/>
  </w:num>
  <w:num w:numId="27">
    <w:abstractNumId w:val="26"/>
  </w:num>
  <w:num w:numId="28">
    <w:abstractNumId w:val="16"/>
  </w:num>
  <w:num w:numId="29">
    <w:abstractNumId w:val="9"/>
  </w:num>
  <w:num w:numId="30">
    <w:abstractNumId w:val="7"/>
  </w:num>
  <w:num w:numId="31">
    <w:abstractNumId w:val="0"/>
  </w:num>
  <w:num w:numId="32">
    <w:abstractNumId w:val="45"/>
  </w:num>
  <w:num w:numId="33">
    <w:abstractNumId w:val="38"/>
  </w:num>
  <w:num w:numId="34">
    <w:abstractNumId w:val="4"/>
  </w:num>
  <w:num w:numId="35">
    <w:abstractNumId w:val="44"/>
  </w:num>
  <w:num w:numId="36">
    <w:abstractNumId w:val="3"/>
  </w:num>
  <w:num w:numId="37">
    <w:abstractNumId w:val="32"/>
  </w:num>
  <w:num w:numId="38">
    <w:abstractNumId w:val="35"/>
  </w:num>
  <w:num w:numId="39">
    <w:abstractNumId w:val="28"/>
  </w:num>
  <w:num w:numId="40">
    <w:abstractNumId w:val="2"/>
  </w:num>
  <w:num w:numId="41">
    <w:abstractNumId w:val="42"/>
  </w:num>
  <w:num w:numId="42">
    <w:abstractNumId w:val="41"/>
  </w:num>
  <w:num w:numId="43">
    <w:abstractNumId w:val="11"/>
  </w:num>
  <w:num w:numId="44">
    <w:abstractNumId w:val="20"/>
  </w:num>
  <w:num w:numId="45">
    <w:abstractNumId w:val="13"/>
  </w:num>
  <w:num w:numId="46">
    <w:abstractNumId w:val="8"/>
  </w:num>
  <w:num w:numId="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28C"/>
    <w:rsid w:val="000015DC"/>
    <w:rsid w:val="00001C95"/>
    <w:rsid w:val="000033B8"/>
    <w:rsid w:val="00005E0C"/>
    <w:rsid w:val="000065C2"/>
    <w:rsid w:val="00007248"/>
    <w:rsid w:val="00007DF4"/>
    <w:rsid w:val="000111B4"/>
    <w:rsid w:val="0001222C"/>
    <w:rsid w:val="00013794"/>
    <w:rsid w:val="00015945"/>
    <w:rsid w:val="00017616"/>
    <w:rsid w:val="00017697"/>
    <w:rsid w:val="00017947"/>
    <w:rsid w:val="00017AF6"/>
    <w:rsid w:val="00020A9A"/>
    <w:rsid w:val="00023FF1"/>
    <w:rsid w:val="0002515B"/>
    <w:rsid w:val="00025E24"/>
    <w:rsid w:val="000305DA"/>
    <w:rsid w:val="00033159"/>
    <w:rsid w:val="00033D40"/>
    <w:rsid w:val="000347B2"/>
    <w:rsid w:val="0003610C"/>
    <w:rsid w:val="00036C36"/>
    <w:rsid w:val="00036C77"/>
    <w:rsid w:val="000377A1"/>
    <w:rsid w:val="00040514"/>
    <w:rsid w:val="000413BB"/>
    <w:rsid w:val="0004227D"/>
    <w:rsid w:val="00042299"/>
    <w:rsid w:val="00042361"/>
    <w:rsid w:val="00042A89"/>
    <w:rsid w:val="0004312C"/>
    <w:rsid w:val="00043BDC"/>
    <w:rsid w:val="00044052"/>
    <w:rsid w:val="000442B9"/>
    <w:rsid w:val="0004438F"/>
    <w:rsid w:val="000447E9"/>
    <w:rsid w:val="00046465"/>
    <w:rsid w:val="00046582"/>
    <w:rsid w:val="00047CBA"/>
    <w:rsid w:val="0005079D"/>
    <w:rsid w:val="00050BDC"/>
    <w:rsid w:val="00053E8F"/>
    <w:rsid w:val="000552F4"/>
    <w:rsid w:val="00055642"/>
    <w:rsid w:val="00055913"/>
    <w:rsid w:val="00055A44"/>
    <w:rsid w:val="000606FD"/>
    <w:rsid w:val="00065A5B"/>
    <w:rsid w:val="000660A9"/>
    <w:rsid w:val="000660C0"/>
    <w:rsid w:val="00066724"/>
    <w:rsid w:val="000701AA"/>
    <w:rsid w:val="000707B0"/>
    <w:rsid w:val="00072206"/>
    <w:rsid w:val="00072BBC"/>
    <w:rsid w:val="00073385"/>
    <w:rsid w:val="00073BDC"/>
    <w:rsid w:val="00074C33"/>
    <w:rsid w:val="00074FE7"/>
    <w:rsid w:val="00075942"/>
    <w:rsid w:val="00076950"/>
    <w:rsid w:val="000775DD"/>
    <w:rsid w:val="000778C1"/>
    <w:rsid w:val="00081503"/>
    <w:rsid w:val="000823F5"/>
    <w:rsid w:val="00083E3D"/>
    <w:rsid w:val="00084357"/>
    <w:rsid w:val="00085958"/>
    <w:rsid w:val="000859EA"/>
    <w:rsid w:val="00085D21"/>
    <w:rsid w:val="00087AE5"/>
    <w:rsid w:val="00091A86"/>
    <w:rsid w:val="00092C25"/>
    <w:rsid w:val="000933CB"/>
    <w:rsid w:val="000936D0"/>
    <w:rsid w:val="0009476E"/>
    <w:rsid w:val="00094E98"/>
    <w:rsid w:val="000962A0"/>
    <w:rsid w:val="00096AAA"/>
    <w:rsid w:val="00096F68"/>
    <w:rsid w:val="000A0EBD"/>
    <w:rsid w:val="000A2E19"/>
    <w:rsid w:val="000A3AB4"/>
    <w:rsid w:val="000A61F0"/>
    <w:rsid w:val="000A7B76"/>
    <w:rsid w:val="000B1587"/>
    <w:rsid w:val="000B28A0"/>
    <w:rsid w:val="000B3ACE"/>
    <w:rsid w:val="000B6276"/>
    <w:rsid w:val="000B6E98"/>
    <w:rsid w:val="000B77D3"/>
    <w:rsid w:val="000C0C3C"/>
    <w:rsid w:val="000C1710"/>
    <w:rsid w:val="000C38E3"/>
    <w:rsid w:val="000C405C"/>
    <w:rsid w:val="000C45D1"/>
    <w:rsid w:val="000C4DCB"/>
    <w:rsid w:val="000C7242"/>
    <w:rsid w:val="000C759B"/>
    <w:rsid w:val="000D0064"/>
    <w:rsid w:val="000D04FE"/>
    <w:rsid w:val="000D0816"/>
    <w:rsid w:val="000D1164"/>
    <w:rsid w:val="000D3AE9"/>
    <w:rsid w:val="000D5E1D"/>
    <w:rsid w:val="000D60A1"/>
    <w:rsid w:val="000D6EC6"/>
    <w:rsid w:val="000E08A6"/>
    <w:rsid w:val="000E1584"/>
    <w:rsid w:val="000E3628"/>
    <w:rsid w:val="000E4460"/>
    <w:rsid w:val="000E577E"/>
    <w:rsid w:val="000E61CC"/>
    <w:rsid w:val="000E6F0B"/>
    <w:rsid w:val="000E719A"/>
    <w:rsid w:val="000E7AAF"/>
    <w:rsid w:val="000F08B6"/>
    <w:rsid w:val="000F0D9E"/>
    <w:rsid w:val="000F2367"/>
    <w:rsid w:val="000F3211"/>
    <w:rsid w:val="000F339A"/>
    <w:rsid w:val="000F3DF3"/>
    <w:rsid w:val="000F4832"/>
    <w:rsid w:val="000F4CB3"/>
    <w:rsid w:val="000F4D5D"/>
    <w:rsid w:val="000F6D5B"/>
    <w:rsid w:val="000F6E7D"/>
    <w:rsid w:val="000F7F45"/>
    <w:rsid w:val="00100357"/>
    <w:rsid w:val="00100675"/>
    <w:rsid w:val="001017E1"/>
    <w:rsid w:val="00101F94"/>
    <w:rsid w:val="001021AE"/>
    <w:rsid w:val="00102B29"/>
    <w:rsid w:val="00103F46"/>
    <w:rsid w:val="00104D92"/>
    <w:rsid w:val="00107032"/>
    <w:rsid w:val="0010756C"/>
    <w:rsid w:val="00110BF0"/>
    <w:rsid w:val="00111255"/>
    <w:rsid w:val="001115F3"/>
    <w:rsid w:val="00112BC9"/>
    <w:rsid w:val="001132E3"/>
    <w:rsid w:val="00113B5F"/>
    <w:rsid w:val="0011404C"/>
    <w:rsid w:val="00114181"/>
    <w:rsid w:val="0011466E"/>
    <w:rsid w:val="001148F1"/>
    <w:rsid w:val="001152B5"/>
    <w:rsid w:val="0011655E"/>
    <w:rsid w:val="00116EFB"/>
    <w:rsid w:val="0012107C"/>
    <w:rsid w:val="001241F5"/>
    <w:rsid w:val="0012518E"/>
    <w:rsid w:val="001251E2"/>
    <w:rsid w:val="0012791B"/>
    <w:rsid w:val="00127A31"/>
    <w:rsid w:val="00130D2D"/>
    <w:rsid w:val="00131135"/>
    <w:rsid w:val="00131BDF"/>
    <w:rsid w:val="001323CB"/>
    <w:rsid w:val="00133914"/>
    <w:rsid w:val="001339C8"/>
    <w:rsid w:val="00135033"/>
    <w:rsid w:val="00144715"/>
    <w:rsid w:val="0014715F"/>
    <w:rsid w:val="00147C9F"/>
    <w:rsid w:val="0015148E"/>
    <w:rsid w:val="00151FD5"/>
    <w:rsid w:val="001523F0"/>
    <w:rsid w:val="001552FC"/>
    <w:rsid w:val="00155681"/>
    <w:rsid w:val="00155963"/>
    <w:rsid w:val="00156062"/>
    <w:rsid w:val="00157131"/>
    <w:rsid w:val="00162268"/>
    <w:rsid w:val="00162D5C"/>
    <w:rsid w:val="001652DA"/>
    <w:rsid w:val="00171FFF"/>
    <w:rsid w:val="00174889"/>
    <w:rsid w:val="001765CD"/>
    <w:rsid w:val="00177354"/>
    <w:rsid w:val="00177588"/>
    <w:rsid w:val="001819FB"/>
    <w:rsid w:val="0018248E"/>
    <w:rsid w:val="001845AB"/>
    <w:rsid w:val="0018506F"/>
    <w:rsid w:val="00186B53"/>
    <w:rsid w:val="00187028"/>
    <w:rsid w:val="00187070"/>
    <w:rsid w:val="00187B60"/>
    <w:rsid w:val="00192149"/>
    <w:rsid w:val="00193ACD"/>
    <w:rsid w:val="00193F2E"/>
    <w:rsid w:val="0019438B"/>
    <w:rsid w:val="00194DF8"/>
    <w:rsid w:val="00194FB9"/>
    <w:rsid w:val="0019617A"/>
    <w:rsid w:val="001969FA"/>
    <w:rsid w:val="0019724F"/>
    <w:rsid w:val="001A01B1"/>
    <w:rsid w:val="001A04F2"/>
    <w:rsid w:val="001A09E1"/>
    <w:rsid w:val="001A226D"/>
    <w:rsid w:val="001A30CB"/>
    <w:rsid w:val="001A3E09"/>
    <w:rsid w:val="001A4328"/>
    <w:rsid w:val="001A5554"/>
    <w:rsid w:val="001A60E0"/>
    <w:rsid w:val="001A6905"/>
    <w:rsid w:val="001A75EE"/>
    <w:rsid w:val="001A76AC"/>
    <w:rsid w:val="001B1509"/>
    <w:rsid w:val="001B26CA"/>
    <w:rsid w:val="001B350A"/>
    <w:rsid w:val="001B351C"/>
    <w:rsid w:val="001B3594"/>
    <w:rsid w:val="001B3CDC"/>
    <w:rsid w:val="001B45E1"/>
    <w:rsid w:val="001B4D9A"/>
    <w:rsid w:val="001B5D11"/>
    <w:rsid w:val="001B62F4"/>
    <w:rsid w:val="001B6765"/>
    <w:rsid w:val="001B687C"/>
    <w:rsid w:val="001B6C8A"/>
    <w:rsid w:val="001C0C5C"/>
    <w:rsid w:val="001C0D89"/>
    <w:rsid w:val="001C12AF"/>
    <w:rsid w:val="001C1377"/>
    <w:rsid w:val="001C3587"/>
    <w:rsid w:val="001C3897"/>
    <w:rsid w:val="001C3E04"/>
    <w:rsid w:val="001C4DE1"/>
    <w:rsid w:val="001C5591"/>
    <w:rsid w:val="001C5C10"/>
    <w:rsid w:val="001C613C"/>
    <w:rsid w:val="001D001E"/>
    <w:rsid w:val="001D088D"/>
    <w:rsid w:val="001D1009"/>
    <w:rsid w:val="001D1C87"/>
    <w:rsid w:val="001D2F3C"/>
    <w:rsid w:val="001D34E8"/>
    <w:rsid w:val="001D4CFA"/>
    <w:rsid w:val="001D57FA"/>
    <w:rsid w:val="001D5BBE"/>
    <w:rsid w:val="001D7082"/>
    <w:rsid w:val="001D725E"/>
    <w:rsid w:val="001E09D0"/>
    <w:rsid w:val="001E1360"/>
    <w:rsid w:val="001E1510"/>
    <w:rsid w:val="001E1A7F"/>
    <w:rsid w:val="001E2587"/>
    <w:rsid w:val="001E2FFD"/>
    <w:rsid w:val="001E5B56"/>
    <w:rsid w:val="001E6D56"/>
    <w:rsid w:val="001E7D57"/>
    <w:rsid w:val="001E7F2B"/>
    <w:rsid w:val="001F13A2"/>
    <w:rsid w:val="001F1DD7"/>
    <w:rsid w:val="001F2002"/>
    <w:rsid w:val="001F27DA"/>
    <w:rsid w:val="001F3658"/>
    <w:rsid w:val="001F39A3"/>
    <w:rsid w:val="001F41B6"/>
    <w:rsid w:val="001F4632"/>
    <w:rsid w:val="001F4998"/>
    <w:rsid w:val="001F60A7"/>
    <w:rsid w:val="00200204"/>
    <w:rsid w:val="002026C3"/>
    <w:rsid w:val="00203742"/>
    <w:rsid w:val="00203806"/>
    <w:rsid w:val="00203BB4"/>
    <w:rsid w:val="00203DB8"/>
    <w:rsid w:val="0020462B"/>
    <w:rsid w:val="002047C3"/>
    <w:rsid w:val="00204DCF"/>
    <w:rsid w:val="002060DD"/>
    <w:rsid w:val="00207ACE"/>
    <w:rsid w:val="002111DA"/>
    <w:rsid w:val="00211CB8"/>
    <w:rsid w:val="00212DD2"/>
    <w:rsid w:val="00214D78"/>
    <w:rsid w:val="002223CC"/>
    <w:rsid w:val="00224799"/>
    <w:rsid w:val="002257A2"/>
    <w:rsid w:val="00226585"/>
    <w:rsid w:val="00226AF8"/>
    <w:rsid w:val="00227A2E"/>
    <w:rsid w:val="002311DE"/>
    <w:rsid w:val="0023171C"/>
    <w:rsid w:val="00231AAA"/>
    <w:rsid w:val="00231CFB"/>
    <w:rsid w:val="00232985"/>
    <w:rsid w:val="0023312B"/>
    <w:rsid w:val="00233C19"/>
    <w:rsid w:val="00234636"/>
    <w:rsid w:val="00235264"/>
    <w:rsid w:val="002364B7"/>
    <w:rsid w:val="00236679"/>
    <w:rsid w:val="002402E7"/>
    <w:rsid w:val="002404EF"/>
    <w:rsid w:val="00240660"/>
    <w:rsid w:val="002425F6"/>
    <w:rsid w:val="002442AD"/>
    <w:rsid w:val="00244A46"/>
    <w:rsid w:val="00244E93"/>
    <w:rsid w:val="00244F45"/>
    <w:rsid w:val="002456F8"/>
    <w:rsid w:val="002520B5"/>
    <w:rsid w:val="002533B6"/>
    <w:rsid w:val="002536D5"/>
    <w:rsid w:val="002549BD"/>
    <w:rsid w:val="00254E38"/>
    <w:rsid w:val="002579C4"/>
    <w:rsid w:val="0026256F"/>
    <w:rsid w:val="00264038"/>
    <w:rsid w:val="0026427C"/>
    <w:rsid w:val="0026473F"/>
    <w:rsid w:val="002650A6"/>
    <w:rsid w:val="00265F46"/>
    <w:rsid w:val="00267EB7"/>
    <w:rsid w:val="00270897"/>
    <w:rsid w:val="00273234"/>
    <w:rsid w:val="00273A76"/>
    <w:rsid w:val="00273B9F"/>
    <w:rsid w:val="00275E66"/>
    <w:rsid w:val="00276062"/>
    <w:rsid w:val="002800A8"/>
    <w:rsid w:val="00280C51"/>
    <w:rsid w:val="002812E6"/>
    <w:rsid w:val="00283486"/>
    <w:rsid w:val="00284895"/>
    <w:rsid w:val="002854A4"/>
    <w:rsid w:val="00286B93"/>
    <w:rsid w:val="00287CDC"/>
    <w:rsid w:val="002903E3"/>
    <w:rsid w:val="0029171C"/>
    <w:rsid w:val="00291F4C"/>
    <w:rsid w:val="00292016"/>
    <w:rsid w:val="0029502E"/>
    <w:rsid w:val="002967B3"/>
    <w:rsid w:val="00297BCC"/>
    <w:rsid w:val="002A04CA"/>
    <w:rsid w:val="002A0CC9"/>
    <w:rsid w:val="002A16A9"/>
    <w:rsid w:val="002A1A69"/>
    <w:rsid w:val="002A1E0B"/>
    <w:rsid w:val="002A29BE"/>
    <w:rsid w:val="002A3358"/>
    <w:rsid w:val="002A3570"/>
    <w:rsid w:val="002A4B39"/>
    <w:rsid w:val="002A50C9"/>
    <w:rsid w:val="002A5A76"/>
    <w:rsid w:val="002A676A"/>
    <w:rsid w:val="002A77DB"/>
    <w:rsid w:val="002B2006"/>
    <w:rsid w:val="002B2673"/>
    <w:rsid w:val="002B3824"/>
    <w:rsid w:val="002B3A46"/>
    <w:rsid w:val="002B4A39"/>
    <w:rsid w:val="002B566D"/>
    <w:rsid w:val="002B5A87"/>
    <w:rsid w:val="002C229F"/>
    <w:rsid w:val="002C2711"/>
    <w:rsid w:val="002C42DA"/>
    <w:rsid w:val="002C442B"/>
    <w:rsid w:val="002C4A11"/>
    <w:rsid w:val="002C4C2A"/>
    <w:rsid w:val="002C4C64"/>
    <w:rsid w:val="002C4D68"/>
    <w:rsid w:val="002D0075"/>
    <w:rsid w:val="002D00D4"/>
    <w:rsid w:val="002D22C4"/>
    <w:rsid w:val="002D28A2"/>
    <w:rsid w:val="002D3260"/>
    <w:rsid w:val="002D3FEC"/>
    <w:rsid w:val="002D4DFE"/>
    <w:rsid w:val="002D60B8"/>
    <w:rsid w:val="002E0FDF"/>
    <w:rsid w:val="002E15B4"/>
    <w:rsid w:val="002E15CC"/>
    <w:rsid w:val="002E2DEC"/>
    <w:rsid w:val="002E31E9"/>
    <w:rsid w:val="002E4063"/>
    <w:rsid w:val="002E5555"/>
    <w:rsid w:val="002E58E1"/>
    <w:rsid w:val="002E59B5"/>
    <w:rsid w:val="002E6835"/>
    <w:rsid w:val="002F01BE"/>
    <w:rsid w:val="002F02B8"/>
    <w:rsid w:val="002F0602"/>
    <w:rsid w:val="002F120B"/>
    <w:rsid w:val="002F1771"/>
    <w:rsid w:val="002F261D"/>
    <w:rsid w:val="002F4C73"/>
    <w:rsid w:val="002F5816"/>
    <w:rsid w:val="002F5B2F"/>
    <w:rsid w:val="002F65B4"/>
    <w:rsid w:val="002F6C4C"/>
    <w:rsid w:val="002F775F"/>
    <w:rsid w:val="00300284"/>
    <w:rsid w:val="00303C67"/>
    <w:rsid w:val="00304155"/>
    <w:rsid w:val="00305294"/>
    <w:rsid w:val="00305992"/>
    <w:rsid w:val="00305CD0"/>
    <w:rsid w:val="003069C5"/>
    <w:rsid w:val="003079D0"/>
    <w:rsid w:val="003105CF"/>
    <w:rsid w:val="00310F81"/>
    <w:rsid w:val="00311A17"/>
    <w:rsid w:val="00311B59"/>
    <w:rsid w:val="00321556"/>
    <w:rsid w:val="003216F1"/>
    <w:rsid w:val="00321AD3"/>
    <w:rsid w:val="003227A1"/>
    <w:rsid w:val="00322844"/>
    <w:rsid w:val="0032420A"/>
    <w:rsid w:val="00325416"/>
    <w:rsid w:val="00325975"/>
    <w:rsid w:val="0032751F"/>
    <w:rsid w:val="0033130E"/>
    <w:rsid w:val="00331ADC"/>
    <w:rsid w:val="00331BB9"/>
    <w:rsid w:val="00333283"/>
    <w:rsid w:val="003336E9"/>
    <w:rsid w:val="0033384A"/>
    <w:rsid w:val="00334103"/>
    <w:rsid w:val="00334BF9"/>
    <w:rsid w:val="00337332"/>
    <w:rsid w:val="00337E9B"/>
    <w:rsid w:val="00341852"/>
    <w:rsid w:val="003426E2"/>
    <w:rsid w:val="00342857"/>
    <w:rsid w:val="00343167"/>
    <w:rsid w:val="00343F92"/>
    <w:rsid w:val="0034455D"/>
    <w:rsid w:val="0034462B"/>
    <w:rsid w:val="00344B2D"/>
    <w:rsid w:val="00344FDD"/>
    <w:rsid w:val="00345125"/>
    <w:rsid w:val="003462CA"/>
    <w:rsid w:val="00350039"/>
    <w:rsid w:val="00350860"/>
    <w:rsid w:val="00352DF3"/>
    <w:rsid w:val="003533FC"/>
    <w:rsid w:val="00354C4D"/>
    <w:rsid w:val="00357A9A"/>
    <w:rsid w:val="00357CCA"/>
    <w:rsid w:val="0036124B"/>
    <w:rsid w:val="00370F53"/>
    <w:rsid w:val="00371E5D"/>
    <w:rsid w:val="003725A8"/>
    <w:rsid w:val="0037461D"/>
    <w:rsid w:val="00375A70"/>
    <w:rsid w:val="00376651"/>
    <w:rsid w:val="00376BAC"/>
    <w:rsid w:val="00376E11"/>
    <w:rsid w:val="00381308"/>
    <w:rsid w:val="003822A6"/>
    <w:rsid w:val="00385705"/>
    <w:rsid w:val="00385D4E"/>
    <w:rsid w:val="00385DBA"/>
    <w:rsid w:val="003860F3"/>
    <w:rsid w:val="00386F85"/>
    <w:rsid w:val="00387D24"/>
    <w:rsid w:val="0039083C"/>
    <w:rsid w:val="003909FD"/>
    <w:rsid w:val="003916F7"/>
    <w:rsid w:val="00391A9B"/>
    <w:rsid w:val="00391F7F"/>
    <w:rsid w:val="00392438"/>
    <w:rsid w:val="003926A9"/>
    <w:rsid w:val="003940A5"/>
    <w:rsid w:val="003943A8"/>
    <w:rsid w:val="00395A2E"/>
    <w:rsid w:val="00396192"/>
    <w:rsid w:val="003968C1"/>
    <w:rsid w:val="00397565"/>
    <w:rsid w:val="003A196F"/>
    <w:rsid w:val="003A266B"/>
    <w:rsid w:val="003A476D"/>
    <w:rsid w:val="003A567E"/>
    <w:rsid w:val="003A6C90"/>
    <w:rsid w:val="003A6EC2"/>
    <w:rsid w:val="003A7C21"/>
    <w:rsid w:val="003B010C"/>
    <w:rsid w:val="003B28B2"/>
    <w:rsid w:val="003B2F28"/>
    <w:rsid w:val="003B3AF9"/>
    <w:rsid w:val="003B430B"/>
    <w:rsid w:val="003B5AEE"/>
    <w:rsid w:val="003B5D2B"/>
    <w:rsid w:val="003B70AE"/>
    <w:rsid w:val="003B72F1"/>
    <w:rsid w:val="003C09B3"/>
    <w:rsid w:val="003C19BD"/>
    <w:rsid w:val="003C1AED"/>
    <w:rsid w:val="003C28B7"/>
    <w:rsid w:val="003C28BD"/>
    <w:rsid w:val="003C4CC0"/>
    <w:rsid w:val="003C7B77"/>
    <w:rsid w:val="003D0901"/>
    <w:rsid w:val="003D166C"/>
    <w:rsid w:val="003D1A36"/>
    <w:rsid w:val="003D3F30"/>
    <w:rsid w:val="003D408D"/>
    <w:rsid w:val="003D4476"/>
    <w:rsid w:val="003D66D7"/>
    <w:rsid w:val="003D7259"/>
    <w:rsid w:val="003D729F"/>
    <w:rsid w:val="003D744E"/>
    <w:rsid w:val="003D77E5"/>
    <w:rsid w:val="003E0CFF"/>
    <w:rsid w:val="003E16D2"/>
    <w:rsid w:val="003E176F"/>
    <w:rsid w:val="003E183F"/>
    <w:rsid w:val="003E33E8"/>
    <w:rsid w:val="003E3988"/>
    <w:rsid w:val="003E4FEC"/>
    <w:rsid w:val="003E787F"/>
    <w:rsid w:val="003F24FC"/>
    <w:rsid w:val="003F37E8"/>
    <w:rsid w:val="003F43A6"/>
    <w:rsid w:val="003F44BD"/>
    <w:rsid w:val="003F497B"/>
    <w:rsid w:val="003F5F4E"/>
    <w:rsid w:val="003F6036"/>
    <w:rsid w:val="003F7CE2"/>
    <w:rsid w:val="00400AAD"/>
    <w:rsid w:val="00402480"/>
    <w:rsid w:val="00402DAC"/>
    <w:rsid w:val="0040385E"/>
    <w:rsid w:val="00403E60"/>
    <w:rsid w:val="004050BD"/>
    <w:rsid w:val="00405AA0"/>
    <w:rsid w:val="00407D8E"/>
    <w:rsid w:val="004111EF"/>
    <w:rsid w:val="0041373A"/>
    <w:rsid w:val="00414161"/>
    <w:rsid w:val="00415ED0"/>
    <w:rsid w:val="00416F98"/>
    <w:rsid w:val="00417B47"/>
    <w:rsid w:val="00417E67"/>
    <w:rsid w:val="00422C7A"/>
    <w:rsid w:val="004254B1"/>
    <w:rsid w:val="00425509"/>
    <w:rsid w:val="0042636A"/>
    <w:rsid w:val="00426DDA"/>
    <w:rsid w:val="00431288"/>
    <w:rsid w:val="00431892"/>
    <w:rsid w:val="00431DE3"/>
    <w:rsid w:val="00433338"/>
    <w:rsid w:val="004335CE"/>
    <w:rsid w:val="004352F6"/>
    <w:rsid w:val="00435E40"/>
    <w:rsid w:val="00436233"/>
    <w:rsid w:val="004406AC"/>
    <w:rsid w:val="0044191C"/>
    <w:rsid w:val="00444F40"/>
    <w:rsid w:val="0044599B"/>
    <w:rsid w:val="00445A30"/>
    <w:rsid w:val="00446202"/>
    <w:rsid w:val="00446967"/>
    <w:rsid w:val="00447996"/>
    <w:rsid w:val="00447B36"/>
    <w:rsid w:val="004513B9"/>
    <w:rsid w:val="0045190C"/>
    <w:rsid w:val="00451A53"/>
    <w:rsid w:val="00453386"/>
    <w:rsid w:val="004546FB"/>
    <w:rsid w:val="00456081"/>
    <w:rsid w:val="004564DF"/>
    <w:rsid w:val="00457237"/>
    <w:rsid w:val="004578A5"/>
    <w:rsid w:val="00457C8F"/>
    <w:rsid w:val="00460581"/>
    <w:rsid w:val="00461064"/>
    <w:rsid w:val="00461715"/>
    <w:rsid w:val="004621D9"/>
    <w:rsid w:val="00464F8C"/>
    <w:rsid w:val="004659FD"/>
    <w:rsid w:val="00466DA0"/>
    <w:rsid w:val="00471735"/>
    <w:rsid w:val="004725A3"/>
    <w:rsid w:val="00472C8D"/>
    <w:rsid w:val="004731F3"/>
    <w:rsid w:val="0047401D"/>
    <w:rsid w:val="004743AE"/>
    <w:rsid w:val="00474F3D"/>
    <w:rsid w:val="00477215"/>
    <w:rsid w:val="0047721E"/>
    <w:rsid w:val="00477249"/>
    <w:rsid w:val="00477438"/>
    <w:rsid w:val="004802D8"/>
    <w:rsid w:val="00480E5B"/>
    <w:rsid w:val="00482350"/>
    <w:rsid w:val="00482BF1"/>
    <w:rsid w:val="00483357"/>
    <w:rsid w:val="00483AAC"/>
    <w:rsid w:val="0048434D"/>
    <w:rsid w:val="00484574"/>
    <w:rsid w:val="004852E0"/>
    <w:rsid w:val="004853DF"/>
    <w:rsid w:val="00486C75"/>
    <w:rsid w:val="004873A0"/>
    <w:rsid w:val="00491AF0"/>
    <w:rsid w:val="00491F39"/>
    <w:rsid w:val="00492321"/>
    <w:rsid w:val="0049347E"/>
    <w:rsid w:val="0049730F"/>
    <w:rsid w:val="004A226E"/>
    <w:rsid w:val="004A295D"/>
    <w:rsid w:val="004A3606"/>
    <w:rsid w:val="004A55C8"/>
    <w:rsid w:val="004A57DE"/>
    <w:rsid w:val="004A5BE4"/>
    <w:rsid w:val="004A6B33"/>
    <w:rsid w:val="004B01EC"/>
    <w:rsid w:val="004B118F"/>
    <w:rsid w:val="004B1C65"/>
    <w:rsid w:val="004B2113"/>
    <w:rsid w:val="004B251C"/>
    <w:rsid w:val="004B29E5"/>
    <w:rsid w:val="004B551D"/>
    <w:rsid w:val="004B648A"/>
    <w:rsid w:val="004C1FD5"/>
    <w:rsid w:val="004C37B2"/>
    <w:rsid w:val="004C3E1D"/>
    <w:rsid w:val="004C41F0"/>
    <w:rsid w:val="004C4C37"/>
    <w:rsid w:val="004C4D3E"/>
    <w:rsid w:val="004C532B"/>
    <w:rsid w:val="004C554E"/>
    <w:rsid w:val="004C68E7"/>
    <w:rsid w:val="004C6E8F"/>
    <w:rsid w:val="004C7D2A"/>
    <w:rsid w:val="004C7F12"/>
    <w:rsid w:val="004D3265"/>
    <w:rsid w:val="004D4FA1"/>
    <w:rsid w:val="004D5872"/>
    <w:rsid w:val="004D7726"/>
    <w:rsid w:val="004E068D"/>
    <w:rsid w:val="004E1073"/>
    <w:rsid w:val="004E25DF"/>
    <w:rsid w:val="004E4E4F"/>
    <w:rsid w:val="004E4F67"/>
    <w:rsid w:val="004E591D"/>
    <w:rsid w:val="004E7C5B"/>
    <w:rsid w:val="004F00CE"/>
    <w:rsid w:val="004F05CB"/>
    <w:rsid w:val="004F2BA6"/>
    <w:rsid w:val="004F2C0C"/>
    <w:rsid w:val="004F34B4"/>
    <w:rsid w:val="004F6BBB"/>
    <w:rsid w:val="004F70DC"/>
    <w:rsid w:val="004F71DA"/>
    <w:rsid w:val="004F76D2"/>
    <w:rsid w:val="0050145C"/>
    <w:rsid w:val="00501C05"/>
    <w:rsid w:val="00502224"/>
    <w:rsid w:val="005023E3"/>
    <w:rsid w:val="00502AC4"/>
    <w:rsid w:val="0050314A"/>
    <w:rsid w:val="00505F60"/>
    <w:rsid w:val="005062B1"/>
    <w:rsid w:val="005070A2"/>
    <w:rsid w:val="00507517"/>
    <w:rsid w:val="00510415"/>
    <w:rsid w:val="005111D7"/>
    <w:rsid w:val="00511255"/>
    <w:rsid w:val="005123DF"/>
    <w:rsid w:val="005125C3"/>
    <w:rsid w:val="005127E3"/>
    <w:rsid w:val="005131CB"/>
    <w:rsid w:val="005140E9"/>
    <w:rsid w:val="00514AFC"/>
    <w:rsid w:val="00515990"/>
    <w:rsid w:val="005202C2"/>
    <w:rsid w:val="00520D65"/>
    <w:rsid w:val="0052105A"/>
    <w:rsid w:val="00522459"/>
    <w:rsid w:val="00522969"/>
    <w:rsid w:val="005236D9"/>
    <w:rsid w:val="00524400"/>
    <w:rsid w:val="00525484"/>
    <w:rsid w:val="00525996"/>
    <w:rsid w:val="00526A06"/>
    <w:rsid w:val="0052773B"/>
    <w:rsid w:val="00527C14"/>
    <w:rsid w:val="00527F32"/>
    <w:rsid w:val="00530D47"/>
    <w:rsid w:val="00530F69"/>
    <w:rsid w:val="0053113C"/>
    <w:rsid w:val="00531857"/>
    <w:rsid w:val="00532071"/>
    <w:rsid w:val="00533907"/>
    <w:rsid w:val="00534142"/>
    <w:rsid w:val="00534510"/>
    <w:rsid w:val="00536689"/>
    <w:rsid w:val="00536885"/>
    <w:rsid w:val="005414A5"/>
    <w:rsid w:val="00544B7D"/>
    <w:rsid w:val="00545022"/>
    <w:rsid w:val="00546626"/>
    <w:rsid w:val="00547E24"/>
    <w:rsid w:val="00550D0E"/>
    <w:rsid w:val="00550F4B"/>
    <w:rsid w:val="00552052"/>
    <w:rsid w:val="00552353"/>
    <w:rsid w:val="00552E84"/>
    <w:rsid w:val="0055415D"/>
    <w:rsid w:val="0055471C"/>
    <w:rsid w:val="00555384"/>
    <w:rsid w:val="00556517"/>
    <w:rsid w:val="005602BA"/>
    <w:rsid w:val="00560814"/>
    <w:rsid w:val="00560F37"/>
    <w:rsid w:val="00563789"/>
    <w:rsid w:val="005646AF"/>
    <w:rsid w:val="00565E26"/>
    <w:rsid w:val="005669A6"/>
    <w:rsid w:val="00566AA2"/>
    <w:rsid w:val="005671F9"/>
    <w:rsid w:val="0056766D"/>
    <w:rsid w:val="00571119"/>
    <w:rsid w:val="005720A9"/>
    <w:rsid w:val="00574EB9"/>
    <w:rsid w:val="00575017"/>
    <w:rsid w:val="0058108A"/>
    <w:rsid w:val="005819CF"/>
    <w:rsid w:val="00581EB2"/>
    <w:rsid w:val="005822E5"/>
    <w:rsid w:val="0058575E"/>
    <w:rsid w:val="00587FCA"/>
    <w:rsid w:val="005902FA"/>
    <w:rsid w:val="00592277"/>
    <w:rsid w:val="00592EAD"/>
    <w:rsid w:val="005932CA"/>
    <w:rsid w:val="005936E7"/>
    <w:rsid w:val="0059518B"/>
    <w:rsid w:val="00595D4F"/>
    <w:rsid w:val="00596FD5"/>
    <w:rsid w:val="0059754D"/>
    <w:rsid w:val="00597682"/>
    <w:rsid w:val="00597CF9"/>
    <w:rsid w:val="005A27C9"/>
    <w:rsid w:val="005A3409"/>
    <w:rsid w:val="005A34A6"/>
    <w:rsid w:val="005A34CD"/>
    <w:rsid w:val="005A3598"/>
    <w:rsid w:val="005A35CC"/>
    <w:rsid w:val="005A5860"/>
    <w:rsid w:val="005A7609"/>
    <w:rsid w:val="005A7E62"/>
    <w:rsid w:val="005B1193"/>
    <w:rsid w:val="005B124D"/>
    <w:rsid w:val="005B12CB"/>
    <w:rsid w:val="005B1313"/>
    <w:rsid w:val="005B1615"/>
    <w:rsid w:val="005B1A2A"/>
    <w:rsid w:val="005B3872"/>
    <w:rsid w:val="005B4389"/>
    <w:rsid w:val="005B43B5"/>
    <w:rsid w:val="005B4792"/>
    <w:rsid w:val="005B4F76"/>
    <w:rsid w:val="005B5256"/>
    <w:rsid w:val="005B5F1B"/>
    <w:rsid w:val="005B6453"/>
    <w:rsid w:val="005B653A"/>
    <w:rsid w:val="005C0AFD"/>
    <w:rsid w:val="005C1301"/>
    <w:rsid w:val="005C2130"/>
    <w:rsid w:val="005C290C"/>
    <w:rsid w:val="005C2F2D"/>
    <w:rsid w:val="005C4A5A"/>
    <w:rsid w:val="005C4AB4"/>
    <w:rsid w:val="005C544E"/>
    <w:rsid w:val="005C5A31"/>
    <w:rsid w:val="005C601D"/>
    <w:rsid w:val="005C6F84"/>
    <w:rsid w:val="005C70DF"/>
    <w:rsid w:val="005C7104"/>
    <w:rsid w:val="005C7795"/>
    <w:rsid w:val="005C7F6D"/>
    <w:rsid w:val="005D1C9A"/>
    <w:rsid w:val="005D5A8D"/>
    <w:rsid w:val="005E05B1"/>
    <w:rsid w:val="005E0F4C"/>
    <w:rsid w:val="005E1E0C"/>
    <w:rsid w:val="005E2281"/>
    <w:rsid w:val="005E2E83"/>
    <w:rsid w:val="005E35E2"/>
    <w:rsid w:val="005E6D45"/>
    <w:rsid w:val="005F0189"/>
    <w:rsid w:val="005F1955"/>
    <w:rsid w:val="005F2D56"/>
    <w:rsid w:val="005F3EA5"/>
    <w:rsid w:val="005F4709"/>
    <w:rsid w:val="005F4E09"/>
    <w:rsid w:val="005F7EB2"/>
    <w:rsid w:val="0060045A"/>
    <w:rsid w:val="00602313"/>
    <w:rsid w:val="00602A1F"/>
    <w:rsid w:val="00604EA6"/>
    <w:rsid w:val="00605869"/>
    <w:rsid w:val="006070B6"/>
    <w:rsid w:val="00607BCC"/>
    <w:rsid w:val="0061264C"/>
    <w:rsid w:val="0061412E"/>
    <w:rsid w:val="00616D89"/>
    <w:rsid w:val="00621FE1"/>
    <w:rsid w:val="0062269A"/>
    <w:rsid w:val="00622826"/>
    <w:rsid w:val="00622B87"/>
    <w:rsid w:val="00622F73"/>
    <w:rsid w:val="0062377B"/>
    <w:rsid w:val="00623D14"/>
    <w:rsid w:val="0062479C"/>
    <w:rsid w:val="00625EB9"/>
    <w:rsid w:val="006268C5"/>
    <w:rsid w:val="00627FFE"/>
    <w:rsid w:val="00630551"/>
    <w:rsid w:val="00631019"/>
    <w:rsid w:val="006328E8"/>
    <w:rsid w:val="0063566F"/>
    <w:rsid w:val="00635A1E"/>
    <w:rsid w:val="00635BEF"/>
    <w:rsid w:val="006360B5"/>
    <w:rsid w:val="00636CFB"/>
    <w:rsid w:val="00637296"/>
    <w:rsid w:val="00637C60"/>
    <w:rsid w:val="00640748"/>
    <w:rsid w:val="00642BA3"/>
    <w:rsid w:val="00644074"/>
    <w:rsid w:val="00644715"/>
    <w:rsid w:val="00644AA3"/>
    <w:rsid w:val="00645E93"/>
    <w:rsid w:val="00645FC7"/>
    <w:rsid w:val="006469F1"/>
    <w:rsid w:val="0064762D"/>
    <w:rsid w:val="006479B0"/>
    <w:rsid w:val="00647C19"/>
    <w:rsid w:val="00647E1E"/>
    <w:rsid w:val="00650806"/>
    <w:rsid w:val="006518FA"/>
    <w:rsid w:val="00651CD1"/>
    <w:rsid w:val="00652467"/>
    <w:rsid w:val="00652765"/>
    <w:rsid w:val="006531FA"/>
    <w:rsid w:val="00653D2B"/>
    <w:rsid w:val="00655F1D"/>
    <w:rsid w:val="006566E2"/>
    <w:rsid w:val="00656EE1"/>
    <w:rsid w:val="00657147"/>
    <w:rsid w:val="00657655"/>
    <w:rsid w:val="006615EF"/>
    <w:rsid w:val="00661FE5"/>
    <w:rsid w:val="00663D02"/>
    <w:rsid w:val="00663FEA"/>
    <w:rsid w:val="0066523F"/>
    <w:rsid w:val="006710E0"/>
    <w:rsid w:val="006713CB"/>
    <w:rsid w:val="00672470"/>
    <w:rsid w:val="00672B9E"/>
    <w:rsid w:val="0067316F"/>
    <w:rsid w:val="006732CC"/>
    <w:rsid w:val="00673850"/>
    <w:rsid w:val="00673C54"/>
    <w:rsid w:val="006779A6"/>
    <w:rsid w:val="00677A9C"/>
    <w:rsid w:val="00677E0F"/>
    <w:rsid w:val="00681319"/>
    <w:rsid w:val="00683BFC"/>
    <w:rsid w:val="006840D2"/>
    <w:rsid w:val="0068446A"/>
    <w:rsid w:val="006857EE"/>
    <w:rsid w:val="00686BBA"/>
    <w:rsid w:val="0068795B"/>
    <w:rsid w:val="00692A13"/>
    <w:rsid w:val="00696746"/>
    <w:rsid w:val="006A087B"/>
    <w:rsid w:val="006A0974"/>
    <w:rsid w:val="006A0CB6"/>
    <w:rsid w:val="006A1084"/>
    <w:rsid w:val="006A17C6"/>
    <w:rsid w:val="006A358A"/>
    <w:rsid w:val="006A4292"/>
    <w:rsid w:val="006A4389"/>
    <w:rsid w:val="006A43ED"/>
    <w:rsid w:val="006A457E"/>
    <w:rsid w:val="006A5950"/>
    <w:rsid w:val="006A6CD3"/>
    <w:rsid w:val="006B2398"/>
    <w:rsid w:val="006B23F8"/>
    <w:rsid w:val="006B2DAF"/>
    <w:rsid w:val="006B3404"/>
    <w:rsid w:val="006B3547"/>
    <w:rsid w:val="006B493D"/>
    <w:rsid w:val="006B7B9A"/>
    <w:rsid w:val="006C0FCB"/>
    <w:rsid w:val="006C3129"/>
    <w:rsid w:val="006C6D16"/>
    <w:rsid w:val="006C72DB"/>
    <w:rsid w:val="006C7DB0"/>
    <w:rsid w:val="006D22A8"/>
    <w:rsid w:val="006D367C"/>
    <w:rsid w:val="006D5133"/>
    <w:rsid w:val="006D5CC0"/>
    <w:rsid w:val="006D64BD"/>
    <w:rsid w:val="006D6CE4"/>
    <w:rsid w:val="006D71DF"/>
    <w:rsid w:val="006D7861"/>
    <w:rsid w:val="006E05DF"/>
    <w:rsid w:val="006E11C5"/>
    <w:rsid w:val="006E1844"/>
    <w:rsid w:val="006E1DC0"/>
    <w:rsid w:val="006E1F23"/>
    <w:rsid w:val="006E27A8"/>
    <w:rsid w:val="006E313C"/>
    <w:rsid w:val="006E3752"/>
    <w:rsid w:val="006E4BF8"/>
    <w:rsid w:val="006E5D30"/>
    <w:rsid w:val="006E5FDD"/>
    <w:rsid w:val="006E7160"/>
    <w:rsid w:val="006F13A5"/>
    <w:rsid w:val="006F1648"/>
    <w:rsid w:val="006F25CF"/>
    <w:rsid w:val="006F3EEC"/>
    <w:rsid w:val="006F406F"/>
    <w:rsid w:val="006F514A"/>
    <w:rsid w:val="006F5620"/>
    <w:rsid w:val="006F625D"/>
    <w:rsid w:val="006F64A3"/>
    <w:rsid w:val="006F672D"/>
    <w:rsid w:val="006F6D9B"/>
    <w:rsid w:val="006F7E84"/>
    <w:rsid w:val="0070205A"/>
    <w:rsid w:val="007029A3"/>
    <w:rsid w:val="0070327A"/>
    <w:rsid w:val="00705A0A"/>
    <w:rsid w:val="00706FD5"/>
    <w:rsid w:val="007078B7"/>
    <w:rsid w:val="007127BE"/>
    <w:rsid w:val="00712919"/>
    <w:rsid w:val="00712B9E"/>
    <w:rsid w:val="00712F2D"/>
    <w:rsid w:val="00717F4C"/>
    <w:rsid w:val="007231B0"/>
    <w:rsid w:val="007232DD"/>
    <w:rsid w:val="007235D2"/>
    <w:rsid w:val="0072368F"/>
    <w:rsid w:val="00724352"/>
    <w:rsid w:val="007243FD"/>
    <w:rsid w:val="00725791"/>
    <w:rsid w:val="00725DEA"/>
    <w:rsid w:val="0072680E"/>
    <w:rsid w:val="007269F9"/>
    <w:rsid w:val="00726AC5"/>
    <w:rsid w:val="00726BE4"/>
    <w:rsid w:val="00726C3A"/>
    <w:rsid w:val="00727382"/>
    <w:rsid w:val="007309B1"/>
    <w:rsid w:val="00731E83"/>
    <w:rsid w:val="007325E3"/>
    <w:rsid w:val="0073271D"/>
    <w:rsid w:val="007331A1"/>
    <w:rsid w:val="00733B18"/>
    <w:rsid w:val="00735A2E"/>
    <w:rsid w:val="00737028"/>
    <w:rsid w:val="0073796F"/>
    <w:rsid w:val="007379BB"/>
    <w:rsid w:val="00744152"/>
    <w:rsid w:val="00744816"/>
    <w:rsid w:val="0074664E"/>
    <w:rsid w:val="00746D14"/>
    <w:rsid w:val="00747B10"/>
    <w:rsid w:val="00747B7C"/>
    <w:rsid w:val="007509F4"/>
    <w:rsid w:val="007525A7"/>
    <w:rsid w:val="00755AC6"/>
    <w:rsid w:val="0075629E"/>
    <w:rsid w:val="00757F8B"/>
    <w:rsid w:val="00760D33"/>
    <w:rsid w:val="00761003"/>
    <w:rsid w:val="007616AA"/>
    <w:rsid w:val="00761CAD"/>
    <w:rsid w:val="007621F1"/>
    <w:rsid w:val="00762AFA"/>
    <w:rsid w:val="00762D76"/>
    <w:rsid w:val="00762E4D"/>
    <w:rsid w:val="00765510"/>
    <w:rsid w:val="00765640"/>
    <w:rsid w:val="00765B4D"/>
    <w:rsid w:val="00765C80"/>
    <w:rsid w:val="00767278"/>
    <w:rsid w:val="0076764B"/>
    <w:rsid w:val="00772736"/>
    <w:rsid w:val="00773FDE"/>
    <w:rsid w:val="00774C4A"/>
    <w:rsid w:val="00774F1E"/>
    <w:rsid w:val="007778AF"/>
    <w:rsid w:val="00777E6E"/>
    <w:rsid w:val="0078042A"/>
    <w:rsid w:val="007805E9"/>
    <w:rsid w:val="00782A0D"/>
    <w:rsid w:val="007839E6"/>
    <w:rsid w:val="00784B6F"/>
    <w:rsid w:val="00784F96"/>
    <w:rsid w:val="0078536B"/>
    <w:rsid w:val="00786ACF"/>
    <w:rsid w:val="007870C8"/>
    <w:rsid w:val="00792B8B"/>
    <w:rsid w:val="007937BB"/>
    <w:rsid w:val="00793B29"/>
    <w:rsid w:val="00793F85"/>
    <w:rsid w:val="0079413E"/>
    <w:rsid w:val="00794BE0"/>
    <w:rsid w:val="00795C11"/>
    <w:rsid w:val="00795F0A"/>
    <w:rsid w:val="00796D67"/>
    <w:rsid w:val="007A1316"/>
    <w:rsid w:val="007A287A"/>
    <w:rsid w:val="007A2D4D"/>
    <w:rsid w:val="007A361E"/>
    <w:rsid w:val="007A37CA"/>
    <w:rsid w:val="007A3920"/>
    <w:rsid w:val="007A59A8"/>
    <w:rsid w:val="007A5C90"/>
    <w:rsid w:val="007A7338"/>
    <w:rsid w:val="007A7357"/>
    <w:rsid w:val="007B1114"/>
    <w:rsid w:val="007B3257"/>
    <w:rsid w:val="007B4628"/>
    <w:rsid w:val="007B5A89"/>
    <w:rsid w:val="007B6914"/>
    <w:rsid w:val="007B761D"/>
    <w:rsid w:val="007C00F0"/>
    <w:rsid w:val="007C0959"/>
    <w:rsid w:val="007C0BC7"/>
    <w:rsid w:val="007C0CD3"/>
    <w:rsid w:val="007C1189"/>
    <w:rsid w:val="007C1A67"/>
    <w:rsid w:val="007C1B3D"/>
    <w:rsid w:val="007C21CE"/>
    <w:rsid w:val="007C335A"/>
    <w:rsid w:val="007C5BC9"/>
    <w:rsid w:val="007C7B4E"/>
    <w:rsid w:val="007D0B36"/>
    <w:rsid w:val="007D29B7"/>
    <w:rsid w:val="007D2F51"/>
    <w:rsid w:val="007D3FEC"/>
    <w:rsid w:val="007D5273"/>
    <w:rsid w:val="007D5FA7"/>
    <w:rsid w:val="007D66A3"/>
    <w:rsid w:val="007D724A"/>
    <w:rsid w:val="007D7C43"/>
    <w:rsid w:val="007D7E30"/>
    <w:rsid w:val="007E0306"/>
    <w:rsid w:val="007E06EB"/>
    <w:rsid w:val="007E35DD"/>
    <w:rsid w:val="007E5708"/>
    <w:rsid w:val="007E6838"/>
    <w:rsid w:val="007E71C4"/>
    <w:rsid w:val="007E766A"/>
    <w:rsid w:val="007E7D56"/>
    <w:rsid w:val="007F0D8E"/>
    <w:rsid w:val="007F12B1"/>
    <w:rsid w:val="007F17F0"/>
    <w:rsid w:val="007F25CA"/>
    <w:rsid w:val="007F2D22"/>
    <w:rsid w:val="007F3AAB"/>
    <w:rsid w:val="007F6733"/>
    <w:rsid w:val="007F6CB3"/>
    <w:rsid w:val="007F7137"/>
    <w:rsid w:val="007F7232"/>
    <w:rsid w:val="007F7EF1"/>
    <w:rsid w:val="008009BE"/>
    <w:rsid w:val="00800F59"/>
    <w:rsid w:val="00801376"/>
    <w:rsid w:val="00801827"/>
    <w:rsid w:val="008020C9"/>
    <w:rsid w:val="00802B93"/>
    <w:rsid w:val="00804063"/>
    <w:rsid w:val="0080479D"/>
    <w:rsid w:val="00806930"/>
    <w:rsid w:val="008069B8"/>
    <w:rsid w:val="008076B6"/>
    <w:rsid w:val="00807C91"/>
    <w:rsid w:val="00811FC7"/>
    <w:rsid w:val="00812774"/>
    <w:rsid w:val="00812E18"/>
    <w:rsid w:val="0081380B"/>
    <w:rsid w:val="00813B50"/>
    <w:rsid w:val="008149D2"/>
    <w:rsid w:val="00815342"/>
    <w:rsid w:val="008162F3"/>
    <w:rsid w:val="00817BEB"/>
    <w:rsid w:val="008204BE"/>
    <w:rsid w:val="008205DB"/>
    <w:rsid w:val="00820BC2"/>
    <w:rsid w:val="00821711"/>
    <w:rsid w:val="0082360B"/>
    <w:rsid w:val="00825B98"/>
    <w:rsid w:val="008260AF"/>
    <w:rsid w:val="008266AE"/>
    <w:rsid w:val="00830379"/>
    <w:rsid w:val="00830A50"/>
    <w:rsid w:val="00832117"/>
    <w:rsid w:val="00834412"/>
    <w:rsid w:val="00834561"/>
    <w:rsid w:val="00834C14"/>
    <w:rsid w:val="00834CAB"/>
    <w:rsid w:val="0083660D"/>
    <w:rsid w:val="0083663F"/>
    <w:rsid w:val="008370DC"/>
    <w:rsid w:val="00840175"/>
    <w:rsid w:val="008404AD"/>
    <w:rsid w:val="00842B9A"/>
    <w:rsid w:val="0084331B"/>
    <w:rsid w:val="008439D7"/>
    <w:rsid w:val="00845568"/>
    <w:rsid w:val="00850D3C"/>
    <w:rsid w:val="00852ABA"/>
    <w:rsid w:val="00852AF3"/>
    <w:rsid w:val="00852DD7"/>
    <w:rsid w:val="0085478A"/>
    <w:rsid w:val="00856286"/>
    <w:rsid w:val="0085684A"/>
    <w:rsid w:val="008568BB"/>
    <w:rsid w:val="008568E5"/>
    <w:rsid w:val="00860394"/>
    <w:rsid w:val="008609A9"/>
    <w:rsid w:val="00861BE4"/>
    <w:rsid w:val="00863B0C"/>
    <w:rsid w:val="0086564C"/>
    <w:rsid w:val="00866087"/>
    <w:rsid w:val="0086612F"/>
    <w:rsid w:val="00867F86"/>
    <w:rsid w:val="008707F5"/>
    <w:rsid w:val="00870C25"/>
    <w:rsid w:val="00872DF4"/>
    <w:rsid w:val="00872F23"/>
    <w:rsid w:val="008733F5"/>
    <w:rsid w:val="00874294"/>
    <w:rsid w:val="00875CAC"/>
    <w:rsid w:val="00876BFE"/>
    <w:rsid w:val="00877CB3"/>
    <w:rsid w:val="0088172D"/>
    <w:rsid w:val="008826AA"/>
    <w:rsid w:val="00883895"/>
    <w:rsid w:val="00884041"/>
    <w:rsid w:val="008852CF"/>
    <w:rsid w:val="00886669"/>
    <w:rsid w:val="00886B93"/>
    <w:rsid w:val="00887BDB"/>
    <w:rsid w:val="00887F14"/>
    <w:rsid w:val="00893088"/>
    <w:rsid w:val="00893434"/>
    <w:rsid w:val="00893A27"/>
    <w:rsid w:val="00895496"/>
    <w:rsid w:val="00897506"/>
    <w:rsid w:val="00897DCC"/>
    <w:rsid w:val="00897DE4"/>
    <w:rsid w:val="008A1457"/>
    <w:rsid w:val="008A1ACA"/>
    <w:rsid w:val="008A2623"/>
    <w:rsid w:val="008A2B64"/>
    <w:rsid w:val="008A4657"/>
    <w:rsid w:val="008A4BC6"/>
    <w:rsid w:val="008A5943"/>
    <w:rsid w:val="008A65E1"/>
    <w:rsid w:val="008A6BD5"/>
    <w:rsid w:val="008B08CC"/>
    <w:rsid w:val="008B0CE6"/>
    <w:rsid w:val="008B1F40"/>
    <w:rsid w:val="008B2317"/>
    <w:rsid w:val="008B38B5"/>
    <w:rsid w:val="008B4253"/>
    <w:rsid w:val="008C0B01"/>
    <w:rsid w:val="008C10BB"/>
    <w:rsid w:val="008C271F"/>
    <w:rsid w:val="008C3D9E"/>
    <w:rsid w:val="008C4E98"/>
    <w:rsid w:val="008D0402"/>
    <w:rsid w:val="008D0D3F"/>
    <w:rsid w:val="008D1091"/>
    <w:rsid w:val="008D40C8"/>
    <w:rsid w:val="008D5DA6"/>
    <w:rsid w:val="008D61D6"/>
    <w:rsid w:val="008D6782"/>
    <w:rsid w:val="008E01E1"/>
    <w:rsid w:val="008E0B94"/>
    <w:rsid w:val="008E0FC6"/>
    <w:rsid w:val="008E10D7"/>
    <w:rsid w:val="008E149B"/>
    <w:rsid w:val="008E2849"/>
    <w:rsid w:val="008E4AF8"/>
    <w:rsid w:val="008E4B72"/>
    <w:rsid w:val="008E59A8"/>
    <w:rsid w:val="008E5BC0"/>
    <w:rsid w:val="008E6908"/>
    <w:rsid w:val="008E6CE8"/>
    <w:rsid w:val="008E7242"/>
    <w:rsid w:val="008E73DC"/>
    <w:rsid w:val="008E73F0"/>
    <w:rsid w:val="008E79D0"/>
    <w:rsid w:val="008F0D3C"/>
    <w:rsid w:val="008F0F3D"/>
    <w:rsid w:val="008F1AAB"/>
    <w:rsid w:val="008F2095"/>
    <w:rsid w:val="008F26CE"/>
    <w:rsid w:val="008F3F52"/>
    <w:rsid w:val="008F4475"/>
    <w:rsid w:val="008F4C23"/>
    <w:rsid w:val="008F55C2"/>
    <w:rsid w:val="008F670F"/>
    <w:rsid w:val="008F6876"/>
    <w:rsid w:val="008F7A12"/>
    <w:rsid w:val="009004EA"/>
    <w:rsid w:val="00901A49"/>
    <w:rsid w:val="009023E6"/>
    <w:rsid w:val="00904204"/>
    <w:rsid w:val="0090460A"/>
    <w:rsid w:val="00905D71"/>
    <w:rsid w:val="009062EE"/>
    <w:rsid w:val="00906521"/>
    <w:rsid w:val="00907CAC"/>
    <w:rsid w:val="009101E9"/>
    <w:rsid w:val="0091054D"/>
    <w:rsid w:val="00910C7D"/>
    <w:rsid w:val="0091400E"/>
    <w:rsid w:val="009147F0"/>
    <w:rsid w:val="0091492F"/>
    <w:rsid w:val="00914A93"/>
    <w:rsid w:val="00915AD9"/>
    <w:rsid w:val="00915F07"/>
    <w:rsid w:val="00916297"/>
    <w:rsid w:val="00916D46"/>
    <w:rsid w:val="00916E18"/>
    <w:rsid w:val="00916F4E"/>
    <w:rsid w:val="00917047"/>
    <w:rsid w:val="00920C28"/>
    <w:rsid w:val="0092103C"/>
    <w:rsid w:val="00921F3E"/>
    <w:rsid w:val="0092210B"/>
    <w:rsid w:val="00922204"/>
    <w:rsid w:val="00922E7D"/>
    <w:rsid w:val="00925456"/>
    <w:rsid w:val="00925662"/>
    <w:rsid w:val="00925794"/>
    <w:rsid w:val="009261DC"/>
    <w:rsid w:val="00926996"/>
    <w:rsid w:val="009270EE"/>
    <w:rsid w:val="00930E90"/>
    <w:rsid w:val="00931367"/>
    <w:rsid w:val="00932789"/>
    <w:rsid w:val="00933B0C"/>
    <w:rsid w:val="00933D1F"/>
    <w:rsid w:val="00934332"/>
    <w:rsid w:val="0093537F"/>
    <w:rsid w:val="0093572D"/>
    <w:rsid w:val="00935DBB"/>
    <w:rsid w:val="00936984"/>
    <w:rsid w:val="0094054E"/>
    <w:rsid w:val="009409AE"/>
    <w:rsid w:val="00942020"/>
    <w:rsid w:val="00943340"/>
    <w:rsid w:val="00943580"/>
    <w:rsid w:val="00943954"/>
    <w:rsid w:val="009441F6"/>
    <w:rsid w:val="009455DC"/>
    <w:rsid w:val="009479F0"/>
    <w:rsid w:val="0095062E"/>
    <w:rsid w:val="00952D81"/>
    <w:rsid w:val="009535C3"/>
    <w:rsid w:val="009544BB"/>
    <w:rsid w:val="0095648F"/>
    <w:rsid w:val="00960062"/>
    <w:rsid w:val="00961515"/>
    <w:rsid w:val="0096243F"/>
    <w:rsid w:val="009642F2"/>
    <w:rsid w:val="00964639"/>
    <w:rsid w:val="00964790"/>
    <w:rsid w:val="00964DC8"/>
    <w:rsid w:val="009654C5"/>
    <w:rsid w:val="0096561D"/>
    <w:rsid w:val="009659AE"/>
    <w:rsid w:val="00966C36"/>
    <w:rsid w:val="00967EC7"/>
    <w:rsid w:val="009704F4"/>
    <w:rsid w:val="00970A30"/>
    <w:rsid w:val="0097147C"/>
    <w:rsid w:val="009727FB"/>
    <w:rsid w:val="0097328C"/>
    <w:rsid w:val="009732CA"/>
    <w:rsid w:val="009736BE"/>
    <w:rsid w:val="0098199B"/>
    <w:rsid w:val="00982026"/>
    <w:rsid w:val="00982A61"/>
    <w:rsid w:val="009860A5"/>
    <w:rsid w:val="00987DA0"/>
    <w:rsid w:val="00990429"/>
    <w:rsid w:val="009920C2"/>
    <w:rsid w:val="00992245"/>
    <w:rsid w:val="0099698C"/>
    <w:rsid w:val="009970F4"/>
    <w:rsid w:val="00997454"/>
    <w:rsid w:val="009A0F4E"/>
    <w:rsid w:val="009A1DBE"/>
    <w:rsid w:val="009A1E5B"/>
    <w:rsid w:val="009A1FC6"/>
    <w:rsid w:val="009A2CCB"/>
    <w:rsid w:val="009A4447"/>
    <w:rsid w:val="009B0406"/>
    <w:rsid w:val="009B2053"/>
    <w:rsid w:val="009B219D"/>
    <w:rsid w:val="009B23D1"/>
    <w:rsid w:val="009B287B"/>
    <w:rsid w:val="009B4050"/>
    <w:rsid w:val="009B4643"/>
    <w:rsid w:val="009B510B"/>
    <w:rsid w:val="009B7465"/>
    <w:rsid w:val="009B7870"/>
    <w:rsid w:val="009C06BF"/>
    <w:rsid w:val="009C1FFF"/>
    <w:rsid w:val="009C224F"/>
    <w:rsid w:val="009C38B0"/>
    <w:rsid w:val="009C4092"/>
    <w:rsid w:val="009C5364"/>
    <w:rsid w:val="009C5636"/>
    <w:rsid w:val="009C65B0"/>
    <w:rsid w:val="009D02C1"/>
    <w:rsid w:val="009D2973"/>
    <w:rsid w:val="009D533A"/>
    <w:rsid w:val="009D55F0"/>
    <w:rsid w:val="009D6DE5"/>
    <w:rsid w:val="009D76F4"/>
    <w:rsid w:val="009D7BE4"/>
    <w:rsid w:val="009D7C49"/>
    <w:rsid w:val="009E005F"/>
    <w:rsid w:val="009E0AE8"/>
    <w:rsid w:val="009E14B6"/>
    <w:rsid w:val="009E171A"/>
    <w:rsid w:val="009E257E"/>
    <w:rsid w:val="009E30D0"/>
    <w:rsid w:val="009E3D08"/>
    <w:rsid w:val="009F05A3"/>
    <w:rsid w:val="009F0755"/>
    <w:rsid w:val="009F0932"/>
    <w:rsid w:val="009F0DA2"/>
    <w:rsid w:val="009F222E"/>
    <w:rsid w:val="009F4F80"/>
    <w:rsid w:val="009F503D"/>
    <w:rsid w:val="009F6A4E"/>
    <w:rsid w:val="009F7150"/>
    <w:rsid w:val="009F764F"/>
    <w:rsid w:val="009F7E1A"/>
    <w:rsid w:val="00A0024A"/>
    <w:rsid w:val="00A00781"/>
    <w:rsid w:val="00A016EA"/>
    <w:rsid w:val="00A0197E"/>
    <w:rsid w:val="00A03706"/>
    <w:rsid w:val="00A04C59"/>
    <w:rsid w:val="00A1256B"/>
    <w:rsid w:val="00A15F5F"/>
    <w:rsid w:val="00A171DD"/>
    <w:rsid w:val="00A1746A"/>
    <w:rsid w:val="00A20114"/>
    <w:rsid w:val="00A209A4"/>
    <w:rsid w:val="00A21885"/>
    <w:rsid w:val="00A22658"/>
    <w:rsid w:val="00A2274F"/>
    <w:rsid w:val="00A23098"/>
    <w:rsid w:val="00A233FF"/>
    <w:rsid w:val="00A248D7"/>
    <w:rsid w:val="00A25AE6"/>
    <w:rsid w:val="00A323F8"/>
    <w:rsid w:val="00A33B9C"/>
    <w:rsid w:val="00A358A0"/>
    <w:rsid w:val="00A35BD7"/>
    <w:rsid w:val="00A37641"/>
    <w:rsid w:val="00A4094F"/>
    <w:rsid w:val="00A40B68"/>
    <w:rsid w:val="00A4147B"/>
    <w:rsid w:val="00A41587"/>
    <w:rsid w:val="00A41C5F"/>
    <w:rsid w:val="00A4285B"/>
    <w:rsid w:val="00A43F99"/>
    <w:rsid w:val="00A44684"/>
    <w:rsid w:val="00A446B8"/>
    <w:rsid w:val="00A44D94"/>
    <w:rsid w:val="00A44DF9"/>
    <w:rsid w:val="00A472C3"/>
    <w:rsid w:val="00A478EA"/>
    <w:rsid w:val="00A50874"/>
    <w:rsid w:val="00A51633"/>
    <w:rsid w:val="00A51A17"/>
    <w:rsid w:val="00A53490"/>
    <w:rsid w:val="00A54DB7"/>
    <w:rsid w:val="00A57A89"/>
    <w:rsid w:val="00A601A7"/>
    <w:rsid w:val="00A633D6"/>
    <w:rsid w:val="00A64387"/>
    <w:rsid w:val="00A65D06"/>
    <w:rsid w:val="00A662C1"/>
    <w:rsid w:val="00A66D82"/>
    <w:rsid w:val="00A678C5"/>
    <w:rsid w:val="00A67ADB"/>
    <w:rsid w:val="00A70C2E"/>
    <w:rsid w:val="00A71C50"/>
    <w:rsid w:val="00A71E45"/>
    <w:rsid w:val="00A734FC"/>
    <w:rsid w:val="00A75AFF"/>
    <w:rsid w:val="00A77336"/>
    <w:rsid w:val="00A773BF"/>
    <w:rsid w:val="00A777DF"/>
    <w:rsid w:val="00A807EE"/>
    <w:rsid w:val="00A809AA"/>
    <w:rsid w:val="00A811FB"/>
    <w:rsid w:val="00A84147"/>
    <w:rsid w:val="00A85056"/>
    <w:rsid w:val="00A852BA"/>
    <w:rsid w:val="00A8605E"/>
    <w:rsid w:val="00A87496"/>
    <w:rsid w:val="00A90825"/>
    <w:rsid w:val="00A913ED"/>
    <w:rsid w:val="00A92F97"/>
    <w:rsid w:val="00A93B49"/>
    <w:rsid w:val="00A94080"/>
    <w:rsid w:val="00A9410B"/>
    <w:rsid w:val="00A947B1"/>
    <w:rsid w:val="00A949B0"/>
    <w:rsid w:val="00A9540A"/>
    <w:rsid w:val="00A96645"/>
    <w:rsid w:val="00A96DF6"/>
    <w:rsid w:val="00AA2C6B"/>
    <w:rsid w:val="00AA40EC"/>
    <w:rsid w:val="00AA463A"/>
    <w:rsid w:val="00AA56F3"/>
    <w:rsid w:val="00AA5C19"/>
    <w:rsid w:val="00AA7516"/>
    <w:rsid w:val="00AA7F0E"/>
    <w:rsid w:val="00AB24B3"/>
    <w:rsid w:val="00AB471F"/>
    <w:rsid w:val="00AB48B1"/>
    <w:rsid w:val="00AB48BE"/>
    <w:rsid w:val="00AB6462"/>
    <w:rsid w:val="00AB751D"/>
    <w:rsid w:val="00AC29BE"/>
    <w:rsid w:val="00AC3D0B"/>
    <w:rsid w:val="00AC3DCF"/>
    <w:rsid w:val="00AC43EA"/>
    <w:rsid w:val="00AC4595"/>
    <w:rsid w:val="00AC483F"/>
    <w:rsid w:val="00AC488A"/>
    <w:rsid w:val="00AC5247"/>
    <w:rsid w:val="00AC57E8"/>
    <w:rsid w:val="00AC6432"/>
    <w:rsid w:val="00AC653D"/>
    <w:rsid w:val="00AC6AE3"/>
    <w:rsid w:val="00AC77E1"/>
    <w:rsid w:val="00AC7D12"/>
    <w:rsid w:val="00AD011F"/>
    <w:rsid w:val="00AD0DB7"/>
    <w:rsid w:val="00AD29B3"/>
    <w:rsid w:val="00AD437E"/>
    <w:rsid w:val="00AD50F2"/>
    <w:rsid w:val="00AD5267"/>
    <w:rsid w:val="00AD535B"/>
    <w:rsid w:val="00AD61CB"/>
    <w:rsid w:val="00AD6FBB"/>
    <w:rsid w:val="00AE0B45"/>
    <w:rsid w:val="00AE17E1"/>
    <w:rsid w:val="00AE2CF8"/>
    <w:rsid w:val="00AE369F"/>
    <w:rsid w:val="00AE43A6"/>
    <w:rsid w:val="00AE442F"/>
    <w:rsid w:val="00AE4614"/>
    <w:rsid w:val="00AE52E9"/>
    <w:rsid w:val="00AE5725"/>
    <w:rsid w:val="00AE60B8"/>
    <w:rsid w:val="00AF1FFA"/>
    <w:rsid w:val="00AF2027"/>
    <w:rsid w:val="00AF339D"/>
    <w:rsid w:val="00AF6644"/>
    <w:rsid w:val="00AF778D"/>
    <w:rsid w:val="00B014BD"/>
    <w:rsid w:val="00B04069"/>
    <w:rsid w:val="00B055FB"/>
    <w:rsid w:val="00B05F2A"/>
    <w:rsid w:val="00B06478"/>
    <w:rsid w:val="00B07D91"/>
    <w:rsid w:val="00B07DAC"/>
    <w:rsid w:val="00B10821"/>
    <w:rsid w:val="00B10831"/>
    <w:rsid w:val="00B12F3A"/>
    <w:rsid w:val="00B13A26"/>
    <w:rsid w:val="00B15289"/>
    <w:rsid w:val="00B15B07"/>
    <w:rsid w:val="00B166CD"/>
    <w:rsid w:val="00B17775"/>
    <w:rsid w:val="00B17DB2"/>
    <w:rsid w:val="00B20B1D"/>
    <w:rsid w:val="00B20BD5"/>
    <w:rsid w:val="00B227EB"/>
    <w:rsid w:val="00B256BA"/>
    <w:rsid w:val="00B26087"/>
    <w:rsid w:val="00B265C5"/>
    <w:rsid w:val="00B266C1"/>
    <w:rsid w:val="00B304EF"/>
    <w:rsid w:val="00B30EC5"/>
    <w:rsid w:val="00B30F63"/>
    <w:rsid w:val="00B31175"/>
    <w:rsid w:val="00B32757"/>
    <w:rsid w:val="00B32A2E"/>
    <w:rsid w:val="00B3303E"/>
    <w:rsid w:val="00B35A89"/>
    <w:rsid w:val="00B36091"/>
    <w:rsid w:val="00B37540"/>
    <w:rsid w:val="00B4398D"/>
    <w:rsid w:val="00B43B6A"/>
    <w:rsid w:val="00B44CBE"/>
    <w:rsid w:val="00B4643D"/>
    <w:rsid w:val="00B51B0C"/>
    <w:rsid w:val="00B52390"/>
    <w:rsid w:val="00B52445"/>
    <w:rsid w:val="00B5319B"/>
    <w:rsid w:val="00B53D4B"/>
    <w:rsid w:val="00B5439D"/>
    <w:rsid w:val="00B54BB1"/>
    <w:rsid w:val="00B54BE7"/>
    <w:rsid w:val="00B56CE2"/>
    <w:rsid w:val="00B57115"/>
    <w:rsid w:val="00B574E5"/>
    <w:rsid w:val="00B602D5"/>
    <w:rsid w:val="00B61449"/>
    <w:rsid w:val="00B64666"/>
    <w:rsid w:val="00B64EF1"/>
    <w:rsid w:val="00B7068D"/>
    <w:rsid w:val="00B7190A"/>
    <w:rsid w:val="00B71999"/>
    <w:rsid w:val="00B7295C"/>
    <w:rsid w:val="00B735B1"/>
    <w:rsid w:val="00B747EC"/>
    <w:rsid w:val="00B764BB"/>
    <w:rsid w:val="00B775C8"/>
    <w:rsid w:val="00B77981"/>
    <w:rsid w:val="00B80106"/>
    <w:rsid w:val="00B80E00"/>
    <w:rsid w:val="00B81989"/>
    <w:rsid w:val="00B81D3D"/>
    <w:rsid w:val="00B83E95"/>
    <w:rsid w:val="00B849C2"/>
    <w:rsid w:val="00B84FA2"/>
    <w:rsid w:val="00B850A2"/>
    <w:rsid w:val="00B85938"/>
    <w:rsid w:val="00B8609D"/>
    <w:rsid w:val="00B8686A"/>
    <w:rsid w:val="00B8730E"/>
    <w:rsid w:val="00B87C7E"/>
    <w:rsid w:val="00B9204C"/>
    <w:rsid w:val="00B93130"/>
    <w:rsid w:val="00B945A0"/>
    <w:rsid w:val="00B9481D"/>
    <w:rsid w:val="00B9542B"/>
    <w:rsid w:val="00B96AA8"/>
    <w:rsid w:val="00B97489"/>
    <w:rsid w:val="00B97B4C"/>
    <w:rsid w:val="00B97EEE"/>
    <w:rsid w:val="00BA0D6A"/>
    <w:rsid w:val="00BA11DA"/>
    <w:rsid w:val="00BA2530"/>
    <w:rsid w:val="00BA39FF"/>
    <w:rsid w:val="00BA4532"/>
    <w:rsid w:val="00BA4771"/>
    <w:rsid w:val="00BA5C1D"/>
    <w:rsid w:val="00BA6937"/>
    <w:rsid w:val="00BA6C9A"/>
    <w:rsid w:val="00BB0C17"/>
    <w:rsid w:val="00BB0D47"/>
    <w:rsid w:val="00BB0E11"/>
    <w:rsid w:val="00BB0E8F"/>
    <w:rsid w:val="00BB167A"/>
    <w:rsid w:val="00BB4EA3"/>
    <w:rsid w:val="00BB67DD"/>
    <w:rsid w:val="00BB6DB8"/>
    <w:rsid w:val="00BC02AB"/>
    <w:rsid w:val="00BC0C64"/>
    <w:rsid w:val="00BC0CA4"/>
    <w:rsid w:val="00BC1DAB"/>
    <w:rsid w:val="00BC4203"/>
    <w:rsid w:val="00BC5377"/>
    <w:rsid w:val="00BC68B6"/>
    <w:rsid w:val="00BC7B0D"/>
    <w:rsid w:val="00BD0C07"/>
    <w:rsid w:val="00BD130D"/>
    <w:rsid w:val="00BD326F"/>
    <w:rsid w:val="00BD3B61"/>
    <w:rsid w:val="00BD44B6"/>
    <w:rsid w:val="00BD5DC5"/>
    <w:rsid w:val="00BD7618"/>
    <w:rsid w:val="00BD7A2E"/>
    <w:rsid w:val="00BE013C"/>
    <w:rsid w:val="00BE0737"/>
    <w:rsid w:val="00BE2CDE"/>
    <w:rsid w:val="00BE4BFF"/>
    <w:rsid w:val="00BE5CB0"/>
    <w:rsid w:val="00BE60D3"/>
    <w:rsid w:val="00BE67CB"/>
    <w:rsid w:val="00BE6A11"/>
    <w:rsid w:val="00BF145A"/>
    <w:rsid w:val="00BF161A"/>
    <w:rsid w:val="00BF215B"/>
    <w:rsid w:val="00BF46CE"/>
    <w:rsid w:val="00BF4C76"/>
    <w:rsid w:val="00BF6616"/>
    <w:rsid w:val="00BF67BA"/>
    <w:rsid w:val="00C003FB"/>
    <w:rsid w:val="00C0131E"/>
    <w:rsid w:val="00C027C3"/>
    <w:rsid w:val="00C03425"/>
    <w:rsid w:val="00C03683"/>
    <w:rsid w:val="00C03C7C"/>
    <w:rsid w:val="00C04040"/>
    <w:rsid w:val="00C04303"/>
    <w:rsid w:val="00C04625"/>
    <w:rsid w:val="00C0706D"/>
    <w:rsid w:val="00C07165"/>
    <w:rsid w:val="00C07C78"/>
    <w:rsid w:val="00C12C00"/>
    <w:rsid w:val="00C12E4C"/>
    <w:rsid w:val="00C12F6A"/>
    <w:rsid w:val="00C1386F"/>
    <w:rsid w:val="00C15E78"/>
    <w:rsid w:val="00C21A8F"/>
    <w:rsid w:val="00C226EE"/>
    <w:rsid w:val="00C22B18"/>
    <w:rsid w:val="00C22F1B"/>
    <w:rsid w:val="00C2442C"/>
    <w:rsid w:val="00C24E5E"/>
    <w:rsid w:val="00C256EB"/>
    <w:rsid w:val="00C25E94"/>
    <w:rsid w:val="00C266F4"/>
    <w:rsid w:val="00C267DF"/>
    <w:rsid w:val="00C26C9F"/>
    <w:rsid w:val="00C32309"/>
    <w:rsid w:val="00C326E7"/>
    <w:rsid w:val="00C338EC"/>
    <w:rsid w:val="00C36259"/>
    <w:rsid w:val="00C36E0E"/>
    <w:rsid w:val="00C36EAD"/>
    <w:rsid w:val="00C37EAB"/>
    <w:rsid w:val="00C413C5"/>
    <w:rsid w:val="00C4318E"/>
    <w:rsid w:val="00C43842"/>
    <w:rsid w:val="00C4387D"/>
    <w:rsid w:val="00C43FF3"/>
    <w:rsid w:val="00C44C59"/>
    <w:rsid w:val="00C4601D"/>
    <w:rsid w:val="00C469DB"/>
    <w:rsid w:val="00C4729C"/>
    <w:rsid w:val="00C50495"/>
    <w:rsid w:val="00C50610"/>
    <w:rsid w:val="00C50A30"/>
    <w:rsid w:val="00C5325C"/>
    <w:rsid w:val="00C55721"/>
    <w:rsid w:val="00C5573B"/>
    <w:rsid w:val="00C55D08"/>
    <w:rsid w:val="00C60029"/>
    <w:rsid w:val="00C625BC"/>
    <w:rsid w:val="00C63EDC"/>
    <w:rsid w:val="00C65701"/>
    <w:rsid w:val="00C66420"/>
    <w:rsid w:val="00C66987"/>
    <w:rsid w:val="00C67180"/>
    <w:rsid w:val="00C67AA1"/>
    <w:rsid w:val="00C7011D"/>
    <w:rsid w:val="00C70ACF"/>
    <w:rsid w:val="00C7127F"/>
    <w:rsid w:val="00C72A12"/>
    <w:rsid w:val="00C7305B"/>
    <w:rsid w:val="00C74CBE"/>
    <w:rsid w:val="00C75FC9"/>
    <w:rsid w:val="00C760DE"/>
    <w:rsid w:val="00C76796"/>
    <w:rsid w:val="00C77AED"/>
    <w:rsid w:val="00C814BD"/>
    <w:rsid w:val="00C83721"/>
    <w:rsid w:val="00C83D6E"/>
    <w:rsid w:val="00C842F1"/>
    <w:rsid w:val="00C84473"/>
    <w:rsid w:val="00C863D9"/>
    <w:rsid w:val="00C86617"/>
    <w:rsid w:val="00C8670C"/>
    <w:rsid w:val="00C86EFD"/>
    <w:rsid w:val="00C87B33"/>
    <w:rsid w:val="00C9133F"/>
    <w:rsid w:val="00C93648"/>
    <w:rsid w:val="00C93B4D"/>
    <w:rsid w:val="00C946E1"/>
    <w:rsid w:val="00C94835"/>
    <w:rsid w:val="00C94A4F"/>
    <w:rsid w:val="00C95ACC"/>
    <w:rsid w:val="00C963DF"/>
    <w:rsid w:val="00C96ADD"/>
    <w:rsid w:val="00C96DD0"/>
    <w:rsid w:val="00C97B01"/>
    <w:rsid w:val="00C97BE8"/>
    <w:rsid w:val="00CA0967"/>
    <w:rsid w:val="00CA1B8C"/>
    <w:rsid w:val="00CA4CF6"/>
    <w:rsid w:val="00CA54EF"/>
    <w:rsid w:val="00CA6494"/>
    <w:rsid w:val="00CA692D"/>
    <w:rsid w:val="00CA755C"/>
    <w:rsid w:val="00CA792C"/>
    <w:rsid w:val="00CB0641"/>
    <w:rsid w:val="00CB116F"/>
    <w:rsid w:val="00CB1F20"/>
    <w:rsid w:val="00CB3ABC"/>
    <w:rsid w:val="00CB42E4"/>
    <w:rsid w:val="00CB4679"/>
    <w:rsid w:val="00CB5914"/>
    <w:rsid w:val="00CB6F0D"/>
    <w:rsid w:val="00CC0904"/>
    <w:rsid w:val="00CC1C58"/>
    <w:rsid w:val="00CC2611"/>
    <w:rsid w:val="00CC56F0"/>
    <w:rsid w:val="00CC6DED"/>
    <w:rsid w:val="00CC6F76"/>
    <w:rsid w:val="00CC6FED"/>
    <w:rsid w:val="00CC7A3C"/>
    <w:rsid w:val="00CC7DD4"/>
    <w:rsid w:val="00CD0151"/>
    <w:rsid w:val="00CD15C7"/>
    <w:rsid w:val="00CD50A0"/>
    <w:rsid w:val="00CD5FBB"/>
    <w:rsid w:val="00CD6341"/>
    <w:rsid w:val="00CD6372"/>
    <w:rsid w:val="00CD744B"/>
    <w:rsid w:val="00CD7D21"/>
    <w:rsid w:val="00CE12AD"/>
    <w:rsid w:val="00CE1C1F"/>
    <w:rsid w:val="00CE222B"/>
    <w:rsid w:val="00CE2638"/>
    <w:rsid w:val="00CE3033"/>
    <w:rsid w:val="00CE3DEE"/>
    <w:rsid w:val="00CE3E7A"/>
    <w:rsid w:val="00CE7189"/>
    <w:rsid w:val="00CE7B14"/>
    <w:rsid w:val="00CF1085"/>
    <w:rsid w:val="00CF3115"/>
    <w:rsid w:val="00CF3262"/>
    <w:rsid w:val="00CF4381"/>
    <w:rsid w:val="00CF4E90"/>
    <w:rsid w:val="00CF540E"/>
    <w:rsid w:val="00CF5D8C"/>
    <w:rsid w:val="00D01C3D"/>
    <w:rsid w:val="00D03053"/>
    <w:rsid w:val="00D0501D"/>
    <w:rsid w:val="00D05560"/>
    <w:rsid w:val="00D05909"/>
    <w:rsid w:val="00D06209"/>
    <w:rsid w:val="00D06D62"/>
    <w:rsid w:val="00D1041C"/>
    <w:rsid w:val="00D1256B"/>
    <w:rsid w:val="00D12722"/>
    <w:rsid w:val="00D13B45"/>
    <w:rsid w:val="00D15241"/>
    <w:rsid w:val="00D17675"/>
    <w:rsid w:val="00D178DA"/>
    <w:rsid w:val="00D21DDA"/>
    <w:rsid w:val="00D228AC"/>
    <w:rsid w:val="00D23575"/>
    <w:rsid w:val="00D255B2"/>
    <w:rsid w:val="00D25E65"/>
    <w:rsid w:val="00D25F2C"/>
    <w:rsid w:val="00D2656D"/>
    <w:rsid w:val="00D309F7"/>
    <w:rsid w:val="00D31007"/>
    <w:rsid w:val="00D3107E"/>
    <w:rsid w:val="00D31539"/>
    <w:rsid w:val="00D32049"/>
    <w:rsid w:val="00D325E9"/>
    <w:rsid w:val="00D34027"/>
    <w:rsid w:val="00D344F8"/>
    <w:rsid w:val="00D34607"/>
    <w:rsid w:val="00D3652E"/>
    <w:rsid w:val="00D367B8"/>
    <w:rsid w:val="00D37E97"/>
    <w:rsid w:val="00D40531"/>
    <w:rsid w:val="00D40A39"/>
    <w:rsid w:val="00D40D77"/>
    <w:rsid w:val="00D4119B"/>
    <w:rsid w:val="00D411EB"/>
    <w:rsid w:val="00D417B9"/>
    <w:rsid w:val="00D41EA7"/>
    <w:rsid w:val="00D4237B"/>
    <w:rsid w:val="00D42582"/>
    <w:rsid w:val="00D42A38"/>
    <w:rsid w:val="00D43FA0"/>
    <w:rsid w:val="00D45834"/>
    <w:rsid w:val="00D46145"/>
    <w:rsid w:val="00D47472"/>
    <w:rsid w:val="00D523CD"/>
    <w:rsid w:val="00D52693"/>
    <w:rsid w:val="00D5387B"/>
    <w:rsid w:val="00D55464"/>
    <w:rsid w:val="00D56CE3"/>
    <w:rsid w:val="00D57A8F"/>
    <w:rsid w:val="00D60F4F"/>
    <w:rsid w:val="00D612A0"/>
    <w:rsid w:val="00D62551"/>
    <w:rsid w:val="00D627FE"/>
    <w:rsid w:val="00D62AFB"/>
    <w:rsid w:val="00D62D7A"/>
    <w:rsid w:val="00D63225"/>
    <w:rsid w:val="00D641EF"/>
    <w:rsid w:val="00D65C4A"/>
    <w:rsid w:val="00D66D8A"/>
    <w:rsid w:val="00D67E75"/>
    <w:rsid w:val="00D70C38"/>
    <w:rsid w:val="00D72331"/>
    <w:rsid w:val="00D7381E"/>
    <w:rsid w:val="00D7654F"/>
    <w:rsid w:val="00D76FC9"/>
    <w:rsid w:val="00D775FA"/>
    <w:rsid w:val="00D80D7A"/>
    <w:rsid w:val="00D818FF"/>
    <w:rsid w:val="00D85952"/>
    <w:rsid w:val="00D87383"/>
    <w:rsid w:val="00D90C6E"/>
    <w:rsid w:val="00D91B39"/>
    <w:rsid w:val="00D92279"/>
    <w:rsid w:val="00D9229B"/>
    <w:rsid w:val="00D923A3"/>
    <w:rsid w:val="00D92427"/>
    <w:rsid w:val="00D928B5"/>
    <w:rsid w:val="00D930EA"/>
    <w:rsid w:val="00D93374"/>
    <w:rsid w:val="00D94275"/>
    <w:rsid w:val="00D95117"/>
    <w:rsid w:val="00D96696"/>
    <w:rsid w:val="00D96E26"/>
    <w:rsid w:val="00DA3CE1"/>
    <w:rsid w:val="00DA47D3"/>
    <w:rsid w:val="00DA6B50"/>
    <w:rsid w:val="00DA740C"/>
    <w:rsid w:val="00DA7A8E"/>
    <w:rsid w:val="00DB0378"/>
    <w:rsid w:val="00DB1B1E"/>
    <w:rsid w:val="00DB2C67"/>
    <w:rsid w:val="00DB3958"/>
    <w:rsid w:val="00DB41F5"/>
    <w:rsid w:val="00DB51D6"/>
    <w:rsid w:val="00DB55D5"/>
    <w:rsid w:val="00DB668A"/>
    <w:rsid w:val="00DB6CDF"/>
    <w:rsid w:val="00DB73EA"/>
    <w:rsid w:val="00DC052E"/>
    <w:rsid w:val="00DC0E00"/>
    <w:rsid w:val="00DC4040"/>
    <w:rsid w:val="00DC41DF"/>
    <w:rsid w:val="00DC456E"/>
    <w:rsid w:val="00DC7048"/>
    <w:rsid w:val="00DC72BA"/>
    <w:rsid w:val="00DC7DE7"/>
    <w:rsid w:val="00DD046E"/>
    <w:rsid w:val="00DD08F2"/>
    <w:rsid w:val="00DD1B30"/>
    <w:rsid w:val="00DD3299"/>
    <w:rsid w:val="00DD3FC9"/>
    <w:rsid w:val="00DD441A"/>
    <w:rsid w:val="00DD44A7"/>
    <w:rsid w:val="00DD459F"/>
    <w:rsid w:val="00DD4B79"/>
    <w:rsid w:val="00DD510F"/>
    <w:rsid w:val="00DD5D3E"/>
    <w:rsid w:val="00DD60CE"/>
    <w:rsid w:val="00DE00CB"/>
    <w:rsid w:val="00DE078A"/>
    <w:rsid w:val="00DE0DAC"/>
    <w:rsid w:val="00DE0EAE"/>
    <w:rsid w:val="00DE0FE8"/>
    <w:rsid w:val="00DE1DC1"/>
    <w:rsid w:val="00DE23F8"/>
    <w:rsid w:val="00DE250A"/>
    <w:rsid w:val="00DE294F"/>
    <w:rsid w:val="00DE33F0"/>
    <w:rsid w:val="00DE396F"/>
    <w:rsid w:val="00DE54F2"/>
    <w:rsid w:val="00DE59D9"/>
    <w:rsid w:val="00DE5B10"/>
    <w:rsid w:val="00DE5D16"/>
    <w:rsid w:val="00DE6431"/>
    <w:rsid w:val="00DE6553"/>
    <w:rsid w:val="00DF0F23"/>
    <w:rsid w:val="00DF194F"/>
    <w:rsid w:val="00DF1D9C"/>
    <w:rsid w:val="00DF1F69"/>
    <w:rsid w:val="00DF22E9"/>
    <w:rsid w:val="00DF2FC7"/>
    <w:rsid w:val="00DF39F8"/>
    <w:rsid w:val="00DF4344"/>
    <w:rsid w:val="00DF435E"/>
    <w:rsid w:val="00DF4927"/>
    <w:rsid w:val="00DF49BE"/>
    <w:rsid w:val="00DF65A0"/>
    <w:rsid w:val="00E00176"/>
    <w:rsid w:val="00E0154E"/>
    <w:rsid w:val="00E01B74"/>
    <w:rsid w:val="00E02608"/>
    <w:rsid w:val="00E03454"/>
    <w:rsid w:val="00E04CD8"/>
    <w:rsid w:val="00E101ED"/>
    <w:rsid w:val="00E101FE"/>
    <w:rsid w:val="00E107AA"/>
    <w:rsid w:val="00E114F3"/>
    <w:rsid w:val="00E11BDB"/>
    <w:rsid w:val="00E1231D"/>
    <w:rsid w:val="00E13EAB"/>
    <w:rsid w:val="00E13FB7"/>
    <w:rsid w:val="00E1562E"/>
    <w:rsid w:val="00E17405"/>
    <w:rsid w:val="00E20B13"/>
    <w:rsid w:val="00E217CD"/>
    <w:rsid w:val="00E24D56"/>
    <w:rsid w:val="00E256E2"/>
    <w:rsid w:val="00E26450"/>
    <w:rsid w:val="00E26BDE"/>
    <w:rsid w:val="00E27C9D"/>
    <w:rsid w:val="00E3078B"/>
    <w:rsid w:val="00E31CDD"/>
    <w:rsid w:val="00E31CF0"/>
    <w:rsid w:val="00E324E4"/>
    <w:rsid w:val="00E32696"/>
    <w:rsid w:val="00E326BF"/>
    <w:rsid w:val="00E34B69"/>
    <w:rsid w:val="00E35A7F"/>
    <w:rsid w:val="00E35FA9"/>
    <w:rsid w:val="00E36D0C"/>
    <w:rsid w:val="00E37B7A"/>
    <w:rsid w:val="00E37D73"/>
    <w:rsid w:val="00E40FCF"/>
    <w:rsid w:val="00E41835"/>
    <w:rsid w:val="00E41ABF"/>
    <w:rsid w:val="00E42160"/>
    <w:rsid w:val="00E422DF"/>
    <w:rsid w:val="00E43297"/>
    <w:rsid w:val="00E44187"/>
    <w:rsid w:val="00E4668F"/>
    <w:rsid w:val="00E47889"/>
    <w:rsid w:val="00E47B7E"/>
    <w:rsid w:val="00E502E1"/>
    <w:rsid w:val="00E50B7D"/>
    <w:rsid w:val="00E51ADE"/>
    <w:rsid w:val="00E5391E"/>
    <w:rsid w:val="00E53EFB"/>
    <w:rsid w:val="00E545DB"/>
    <w:rsid w:val="00E55C5E"/>
    <w:rsid w:val="00E575DA"/>
    <w:rsid w:val="00E57C6C"/>
    <w:rsid w:val="00E6020B"/>
    <w:rsid w:val="00E60246"/>
    <w:rsid w:val="00E60EFE"/>
    <w:rsid w:val="00E61717"/>
    <w:rsid w:val="00E6183E"/>
    <w:rsid w:val="00E62875"/>
    <w:rsid w:val="00E62F9A"/>
    <w:rsid w:val="00E634C6"/>
    <w:rsid w:val="00E635E8"/>
    <w:rsid w:val="00E63F0B"/>
    <w:rsid w:val="00E64243"/>
    <w:rsid w:val="00E6767A"/>
    <w:rsid w:val="00E7074F"/>
    <w:rsid w:val="00E71803"/>
    <w:rsid w:val="00E72EEC"/>
    <w:rsid w:val="00E730BE"/>
    <w:rsid w:val="00E74A05"/>
    <w:rsid w:val="00E74ABF"/>
    <w:rsid w:val="00E754DE"/>
    <w:rsid w:val="00E75C82"/>
    <w:rsid w:val="00E75D9E"/>
    <w:rsid w:val="00E76919"/>
    <w:rsid w:val="00E76E13"/>
    <w:rsid w:val="00E76F41"/>
    <w:rsid w:val="00E80587"/>
    <w:rsid w:val="00E81D51"/>
    <w:rsid w:val="00E82213"/>
    <w:rsid w:val="00E8258C"/>
    <w:rsid w:val="00E82E17"/>
    <w:rsid w:val="00E83E18"/>
    <w:rsid w:val="00E83F06"/>
    <w:rsid w:val="00E84522"/>
    <w:rsid w:val="00E84B8E"/>
    <w:rsid w:val="00E8571F"/>
    <w:rsid w:val="00E866B9"/>
    <w:rsid w:val="00E874D6"/>
    <w:rsid w:val="00E91F1B"/>
    <w:rsid w:val="00E92ED5"/>
    <w:rsid w:val="00E93558"/>
    <w:rsid w:val="00E938F6"/>
    <w:rsid w:val="00E942C3"/>
    <w:rsid w:val="00E94936"/>
    <w:rsid w:val="00E97E20"/>
    <w:rsid w:val="00EA1358"/>
    <w:rsid w:val="00EA1A1A"/>
    <w:rsid w:val="00EA2AA5"/>
    <w:rsid w:val="00EA2B1A"/>
    <w:rsid w:val="00EA3C17"/>
    <w:rsid w:val="00EA5637"/>
    <w:rsid w:val="00EA73CB"/>
    <w:rsid w:val="00EA75B5"/>
    <w:rsid w:val="00EA762F"/>
    <w:rsid w:val="00EA7BF3"/>
    <w:rsid w:val="00EB0687"/>
    <w:rsid w:val="00EB08BB"/>
    <w:rsid w:val="00EB3ED0"/>
    <w:rsid w:val="00EB4FCF"/>
    <w:rsid w:val="00EB5866"/>
    <w:rsid w:val="00EB627D"/>
    <w:rsid w:val="00EB762F"/>
    <w:rsid w:val="00EC1596"/>
    <w:rsid w:val="00EC1873"/>
    <w:rsid w:val="00EC18A0"/>
    <w:rsid w:val="00EC41FB"/>
    <w:rsid w:val="00EC5100"/>
    <w:rsid w:val="00EC660F"/>
    <w:rsid w:val="00EC6ADB"/>
    <w:rsid w:val="00EC771D"/>
    <w:rsid w:val="00ED0CC5"/>
    <w:rsid w:val="00ED1091"/>
    <w:rsid w:val="00ED1313"/>
    <w:rsid w:val="00ED476F"/>
    <w:rsid w:val="00ED4A2F"/>
    <w:rsid w:val="00ED6322"/>
    <w:rsid w:val="00ED6A8E"/>
    <w:rsid w:val="00ED7A09"/>
    <w:rsid w:val="00ED7F77"/>
    <w:rsid w:val="00EE04E8"/>
    <w:rsid w:val="00EE1C4F"/>
    <w:rsid w:val="00EE3328"/>
    <w:rsid w:val="00EE3567"/>
    <w:rsid w:val="00EE3D6D"/>
    <w:rsid w:val="00EE6135"/>
    <w:rsid w:val="00EF056F"/>
    <w:rsid w:val="00EF24ED"/>
    <w:rsid w:val="00EF3EB1"/>
    <w:rsid w:val="00EF6683"/>
    <w:rsid w:val="00EF70B8"/>
    <w:rsid w:val="00EF73C8"/>
    <w:rsid w:val="00EF7753"/>
    <w:rsid w:val="00F02334"/>
    <w:rsid w:val="00F02EA9"/>
    <w:rsid w:val="00F03E5F"/>
    <w:rsid w:val="00F04E9C"/>
    <w:rsid w:val="00F051FB"/>
    <w:rsid w:val="00F05212"/>
    <w:rsid w:val="00F0674E"/>
    <w:rsid w:val="00F06BF9"/>
    <w:rsid w:val="00F07E7B"/>
    <w:rsid w:val="00F10B38"/>
    <w:rsid w:val="00F10C0F"/>
    <w:rsid w:val="00F11EF2"/>
    <w:rsid w:val="00F11FF9"/>
    <w:rsid w:val="00F12577"/>
    <w:rsid w:val="00F12B32"/>
    <w:rsid w:val="00F14089"/>
    <w:rsid w:val="00F1460F"/>
    <w:rsid w:val="00F14A05"/>
    <w:rsid w:val="00F14C49"/>
    <w:rsid w:val="00F15125"/>
    <w:rsid w:val="00F163A3"/>
    <w:rsid w:val="00F17180"/>
    <w:rsid w:val="00F20F25"/>
    <w:rsid w:val="00F212C0"/>
    <w:rsid w:val="00F21A7D"/>
    <w:rsid w:val="00F230D8"/>
    <w:rsid w:val="00F23D00"/>
    <w:rsid w:val="00F24FED"/>
    <w:rsid w:val="00F27702"/>
    <w:rsid w:val="00F277E7"/>
    <w:rsid w:val="00F27FE4"/>
    <w:rsid w:val="00F308D5"/>
    <w:rsid w:val="00F31609"/>
    <w:rsid w:val="00F31A4B"/>
    <w:rsid w:val="00F3250C"/>
    <w:rsid w:val="00F35395"/>
    <w:rsid w:val="00F356BD"/>
    <w:rsid w:val="00F3599D"/>
    <w:rsid w:val="00F36A9C"/>
    <w:rsid w:val="00F36E61"/>
    <w:rsid w:val="00F37982"/>
    <w:rsid w:val="00F41F83"/>
    <w:rsid w:val="00F42158"/>
    <w:rsid w:val="00F42571"/>
    <w:rsid w:val="00F42DE2"/>
    <w:rsid w:val="00F42E60"/>
    <w:rsid w:val="00F43F96"/>
    <w:rsid w:val="00F45BB2"/>
    <w:rsid w:val="00F464BE"/>
    <w:rsid w:val="00F479AF"/>
    <w:rsid w:val="00F50C05"/>
    <w:rsid w:val="00F50FAE"/>
    <w:rsid w:val="00F515D7"/>
    <w:rsid w:val="00F55A7B"/>
    <w:rsid w:val="00F565DC"/>
    <w:rsid w:val="00F578D4"/>
    <w:rsid w:val="00F60CEB"/>
    <w:rsid w:val="00F60F71"/>
    <w:rsid w:val="00F6148A"/>
    <w:rsid w:val="00F621DF"/>
    <w:rsid w:val="00F656B7"/>
    <w:rsid w:val="00F65966"/>
    <w:rsid w:val="00F67092"/>
    <w:rsid w:val="00F6772E"/>
    <w:rsid w:val="00F67B48"/>
    <w:rsid w:val="00F708BD"/>
    <w:rsid w:val="00F71A3B"/>
    <w:rsid w:val="00F73019"/>
    <w:rsid w:val="00F73722"/>
    <w:rsid w:val="00F74181"/>
    <w:rsid w:val="00F74D0C"/>
    <w:rsid w:val="00F7562D"/>
    <w:rsid w:val="00F76012"/>
    <w:rsid w:val="00F77752"/>
    <w:rsid w:val="00F77F79"/>
    <w:rsid w:val="00F80391"/>
    <w:rsid w:val="00F80E4C"/>
    <w:rsid w:val="00F8109C"/>
    <w:rsid w:val="00F81D98"/>
    <w:rsid w:val="00F82794"/>
    <w:rsid w:val="00F82914"/>
    <w:rsid w:val="00F832B9"/>
    <w:rsid w:val="00F8339D"/>
    <w:rsid w:val="00F844F4"/>
    <w:rsid w:val="00F84C11"/>
    <w:rsid w:val="00F85114"/>
    <w:rsid w:val="00F86658"/>
    <w:rsid w:val="00F8693F"/>
    <w:rsid w:val="00F87B2B"/>
    <w:rsid w:val="00F87D54"/>
    <w:rsid w:val="00F900FE"/>
    <w:rsid w:val="00F9192E"/>
    <w:rsid w:val="00F91FC1"/>
    <w:rsid w:val="00F92566"/>
    <w:rsid w:val="00F92893"/>
    <w:rsid w:val="00F92D99"/>
    <w:rsid w:val="00F93646"/>
    <w:rsid w:val="00F93EB9"/>
    <w:rsid w:val="00F94FCD"/>
    <w:rsid w:val="00F971B5"/>
    <w:rsid w:val="00F97A38"/>
    <w:rsid w:val="00FA171A"/>
    <w:rsid w:val="00FA1D1A"/>
    <w:rsid w:val="00FA24AB"/>
    <w:rsid w:val="00FA27C6"/>
    <w:rsid w:val="00FA3A8C"/>
    <w:rsid w:val="00FA3E67"/>
    <w:rsid w:val="00FA4A37"/>
    <w:rsid w:val="00FA5395"/>
    <w:rsid w:val="00FA6A51"/>
    <w:rsid w:val="00FA7E7A"/>
    <w:rsid w:val="00FB03E0"/>
    <w:rsid w:val="00FB163A"/>
    <w:rsid w:val="00FB1A7A"/>
    <w:rsid w:val="00FB25FA"/>
    <w:rsid w:val="00FB3669"/>
    <w:rsid w:val="00FB4202"/>
    <w:rsid w:val="00FB4BAB"/>
    <w:rsid w:val="00FB5FDE"/>
    <w:rsid w:val="00FB619F"/>
    <w:rsid w:val="00FB6670"/>
    <w:rsid w:val="00FC0BD8"/>
    <w:rsid w:val="00FC261B"/>
    <w:rsid w:val="00FC2DB6"/>
    <w:rsid w:val="00FC58DC"/>
    <w:rsid w:val="00FD044C"/>
    <w:rsid w:val="00FD05F2"/>
    <w:rsid w:val="00FD217A"/>
    <w:rsid w:val="00FD2420"/>
    <w:rsid w:val="00FD2AFE"/>
    <w:rsid w:val="00FD305C"/>
    <w:rsid w:val="00FD3A16"/>
    <w:rsid w:val="00FD4CD5"/>
    <w:rsid w:val="00FD54E4"/>
    <w:rsid w:val="00FD5B6C"/>
    <w:rsid w:val="00FD63FE"/>
    <w:rsid w:val="00FD660D"/>
    <w:rsid w:val="00FD6832"/>
    <w:rsid w:val="00FD784A"/>
    <w:rsid w:val="00FE1D6F"/>
    <w:rsid w:val="00FE2120"/>
    <w:rsid w:val="00FE2227"/>
    <w:rsid w:val="00FE317B"/>
    <w:rsid w:val="00FE6784"/>
    <w:rsid w:val="00FF4962"/>
    <w:rsid w:val="00FF4BEC"/>
    <w:rsid w:val="00FF5379"/>
    <w:rsid w:val="00FF5398"/>
    <w:rsid w:val="00FF5C00"/>
    <w:rsid w:val="00FF5C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B8B8C1B"/>
  <w15:docId w15:val="{1E4BED61-5B02-4485-AE1E-585CB1E58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3CC"/>
    <w:rPr>
      <w:rFonts w:ascii="Arial" w:hAnsi="Arial"/>
      <w:sz w:val="24"/>
      <w:lang w:val="es-MX"/>
    </w:rPr>
  </w:style>
  <w:style w:type="paragraph" w:styleId="Ttulo1">
    <w:name w:val="heading 1"/>
    <w:basedOn w:val="Normal"/>
    <w:next w:val="Normal"/>
    <w:link w:val="Ttulo1Car"/>
    <w:qFormat/>
    <w:rsid w:val="005902F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nhideWhenUsed/>
    <w:qFormat/>
    <w:rsid w:val="00EF3EB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5">
    <w:name w:val="heading 5"/>
    <w:basedOn w:val="Normal"/>
    <w:next w:val="Normal"/>
    <w:qFormat/>
    <w:rsid w:val="0097328C"/>
    <w:pPr>
      <w:keepNext/>
      <w:jc w:val="center"/>
      <w:outlineLvl w:val="4"/>
    </w:pPr>
    <w:rPr>
      <w:b/>
    </w:rPr>
  </w:style>
  <w:style w:type="paragraph" w:styleId="Ttulo6">
    <w:name w:val="heading 6"/>
    <w:basedOn w:val="Normal"/>
    <w:next w:val="Normal"/>
    <w:qFormat/>
    <w:rsid w:val="0097328C"/>
    <w:pPr>
      <w:keepNext/>
      <w:jc w:val="center"/>
      <w:outlineLvl w:val="5"/>
    </w:pPr>
    <w:rPr>
      <w:b/>
      <w:sz w:val="19"/>
    </w:rPr>
  </w:style>
  <w:style w:type="paragraph" w:styleId="Ttulo7">
    <w:name w:val="heading 7"/>
    <w:basedOn w:val="Normal"/>
    <w:next w:val="Normal"/>
    <w:qFormat/>
    <w:rsid w:val="0097328C"/>
    <w:pPr>
      <w:keepNext/>
      <w:spacing w:before="240"/>
      <w:outlineLvl w:val="6"/>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7328C"/>
    <w:pPr>
      <w:jc w:val="both"/>
    </w:pPr>
  </w:style>
  <w:style w:type="paragraph" w:styleId="Puesto">
    <w:name w:val="Title"/>
    <w:basedOn w:val="Normal"/>
    <w:qFormat/>
    <w:rsid w:val="0097328C"/>
    <w:pPr>
      <w:jc w:val="center"/>
    </w:pPr>
    <w:rPr>
      <w:b/>
      <w:sz w:val="20"/>
    </w:rPr>
  </w:style>
  <w:style w:type="paragraph" w:styleId="Textodeglobo">
    <w:name w:val="Balloon Text"/>
    <w:basedOn w:val="Normal"/>
    <w:semiHidden/>
    <w:rsid w:val="00A209A4"/>
    <w:rPr>
      <w:rFonts w:ascii="Tahoma" w:hAnsi="Tahoma" w:cs="Tahoma"/>
      <w:sz w:val="16"/>
      <w:szCs w:val="16"/>
    </w:rPr>
  </w:style>
  <w:style w:type="paragraph" w:styleId="Piedepgina">
    <w:name w:val="footer"/>
    <w:basedOn w:val="Normal"/>
    <w:link w:val="PiedepginaCar"/>
    <w:uiPriority w:val="99"/>
    <w:rsid w:val="00511255"/>
    <w:pPr>
      <w:tabs>
        <w:tab w:val="center" w:pos="4252"/>
        <w:tab w:val="right" w:pos="8504"/>
      </w:tabs>
    </w:pPr>
  </w:style>
  <w:style w:type="character" w:styleId="Nmerodepgina">
    <w:name w:val="page number"/>
    <w:basedOn w:val="Fuentedeprrafopredeter"/>
    <w:rsid w:val="00511255"/>
  </w:style>
  <w:style w:type="paragraph" w:styleId="Encabezado">
    <w:name w:val="header"/>
    <w:basedOn w:val="Normal"/>
    <w:link w:val="EncabezadoCar"/>
    <w:uiPriority w:val="99"/>
    <w:rsid w:val="00511255"/>
    <w:pPr>
      <w:tabs>
        <w:tab w:val="center" w:pos="4252"/>
        <w:tab w:val="right" w:pos="8504"/>
      </w:tabs>
    </w:pPr>
  </w:style>
  <w:style w:type="table" w:styleId="Tablaconcuadrcula">
    <w:name w:val="Table Grid"/>
    <w:basedOn w:val="Tablanormal"/>
    <w:uiPriority w:val="59"/>
    <w:rsid w:val="008321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692A13"/>
    <w:pPr>
      <w:spacing w:before="100" w:beforeAutospacing="1" w:after="100" w:afterAutospacing="1"/>
    </w:pPr>
    <w:rPr>
      <w:rFonts w:ascii="Times New Roman" w:hAnsi="Times New Roman"/>
      <w:szCs w:val="24"/>
      <w:lang w:val="es-ES"/>
    </w:rPr>
  </w:style>
  <w:style w:type="paragraph" w:customStyle="1" w:styleId="texto">
    <w:name w:val="texto"/>
    <w:basedOn w:val="Normal"/>
    <w:rsid w:val="00884041"/>
    <w:pPr>
      <w:spacing w:after="101" w:line="216" w:lineRule="atLeast"/>
      <w:ind w:firstLine="288"/>
      <w:jc w:val="both"/>
    </w:pPr>
    <w:rPr>
      <w:rFonts w:cs="Arial"/>
      <w:sz w:val="18"/>
      <w:lang w:val="es-ES_tradnl" w:eastAsia="es-MX"/>
    </w:rPr>
  </w:style>
  <w:style w:type="paragraph" w:styleId="Prrafodelista">
    <w:name w:val="List Paragraph"/>
    <w:basedOn w:val="Normal"/>
    <w:link w:val="PrrafodelistaCar"/>
    <w:uiPriority w:val="34"/>
    <w:qFormat/>
    <w:rsid w:val="00017AF6"/>
    <w:pPr>
      <w:ind w:left="708"/>
    </w:pPr>
  </w:style>
  <w:style w:type="character" w:customStyle="1" w:styleId="TextoindependienteCar">
    <w:name w:val="Texto independiente Car"/>
    <w:link w:val="Textoindependiente"/>
    <w:rsid w:val="007B5A89"/>
    <w:rPr>
      <w:rFonts w:ascii="Arial" w:hAnsi="Arial"/>
      <w:sz w:val="24"/>
      <w:lang w:val="es-MX"/>
    </w:rPr>
  </w:style>
  <w:style w:type="character" w:styleId="Refdecomentario">
    <w:name w:val="annotation reference"/>
    <w:basedOn w:val="Fuentedeprrafopredeter"/>
    <w:semiHidden/>
    <w:unhideWhenUsed/>
    <w:rsid w:val="00650806"/>
    <w:rPr>
      <w:sz w:val="16"/>
      <w:szCs w:val="16"/>
    </w:rPr>
  </w:style>
  <w:style w:type="paragraph" w:styleId="Textocomentario">
    <w:name w:val="annotation text"/>
    <w:basedOn w:val="Normal"/>
    <w:link w:val="TextocomentarioCar"/>
    <w:semiHidden/>
    <w:unhideWhenUsed/>
    <w:rsid w:val="00650806"/>
    <w:rPr>
      <w:sz w:val="20"/>
    </w:rPr>
  </w:style>
  <w:style w:type="character" w:customStyle="1" w:styleId="TextocomentarioCar">
    <w:name w:val="Texto comentario Car"/>
    <w:basedOn w:val="Fuentedeprrafopredeter"/>
    <w:link w:val="Textocomentario"/>
    <w:semiHidden/>
    <w:rsid w:val="00650806"/>
    <w:rPr>
      <w:rFonts w:ascii="Arial" w:hAnsi="Arial"/>
      <w:lang w:val="es-MX"/>
    </w:rPr>
  </w:style>
  <w:style w:type="paragraph" w:styleId="Asuntodelcomentario">
    <w:name w:val="annotation subject"/>
    <w:basedOn w:val="Textocomentario"/>
    <w:next w:val="Textocomentario"/>
    <w:link w:val="AsuntodelcomentarioCar"/>
    <w:semiHidden/>
    <w:unhideWhenUsed/>
    <w:rsid w:val="00650806"/>
    <w:rPr>
      <w:b/>
      <w:bCs/>
    </w:rPr>
  </w:style>
  <w:style w:type="character" w:customStyle="1" w:styleId="AsuntodelcomentarioCar">
    <w:name w:val="Asunto del comentario Car"/>
    <w:basedOn w:val="TextocomentarioCar"/>
    <w:link w:val="Asuntodelcomentario"/>
    <w:semiHidden/>
    <w:rsid w:val="00650806"/>
    <w:rPr>
      <w:rFonts w:ascii="Arial" w:hAnsi="Arial"/>
      <w:b/>
      <w:bCs/>
      <w:lang w:val="es-MX"/>
    </w:rPr>
  </w:style>
  <w:style w:type="paragraph" w:styleId="Textodebloque">
    <w:name w:val="Block Text"/>
    <w:basedOn w:val="Normal"/>
    <w:rsid w:val="001241F5"/>
    <w:pPr>
      <w:tabs>
        <w:tab w:val="left" w:pos="8910"/>
      </w:tabs>
      <w:ind w:left="720" w:right="720"/>
      <w:jc w:val="both"/>
    </w:pPr>
    <w:rPr>
      <w:lang w:eastAsia="en-US"/>
    </w:rPr>
  </w:style>
  <w:style w:type="character" w:customStyle="1" w:styleId="EncabezadoCar">
    <w:name w:val="Encabezado Car"/>
    <w:basedOn w:val="Fuentedeprrafopredeter"/>
    <w:link w:val="Encabezado"/>
    <w:uiPriority w:val="99"/>
    <w:rsid w:val="005D5A8D"/>
    <w:rPr>
      <w:rFonts w:ascii="Arial" w:hAnsi="Arial"/>
      <w:sz w:val="24"/>
      <w:lang w:val="es-MX"/>
    </w:rPr>
  </w:style>
  <w:style w:type="paragraph" w:styleId="Revisin">
    <w:name w:val="Revision"/>
    <w:hidden/>
    <w:uiPriority w:val="99"/>
    <w:semiHidden/>
    <w:rsid w:val="00731E83"/>
    <w:rPr>
      <w:rFonts w:ascii="Arial" w:hAnsi="Arial"/>
      <w:sz w:val="24"/>
      <w:lang w:val="es-MX"/>
    </w:rPr>
  </w:style>
  <w:style w:type="paragraph" w:styleId="Listaconvietas">
    <w:name w:val="List Bullet"/>
    <w:basedOn w:val="Normal"/>
    <w:unhideWhenUsed/>
    <w:rsid w:val="00907CAC"/>
    <w:pPr>
      <w:numPr>
        <w:numId w:val="31"/>
      </w:numPr>
      <w:contextualSpacing/>
    </w:pPr>
  </w:style>
  <w:style w:type="character" w:customStyle="1" w:styleId="PrrafodelistaCar">
    <w:name w:val="Párrafo de lista Car"/>
    <w:link w:val="Prrafodelista"/>
    <w:uiPriority w:val="34"/>
    <w:locked/>
    <w:rsid w:val="0067316F"/>
    <w:rPr>
      <w:rFonts w:ascii="Arial" w:hAnsi="Arial"/>
      <w:sz w:val="24"/>
      <w:lang w:val="es-MX"/>
    </w:rPr>
  </w:style>
  <w:style w:type="paragraph" w:styleId="Textonotapie">
    <w:name w:val="footnote text"/>
    <w:basedOn w:val="Normal"/>
    <w:link w:val="TextonotapieCar"/>
    <w:uiPriority w:val="99"/>
    <w:semiHidden/>
    <w:unhideWhenUsed/>
    <w:rsid w:val="00E60EFE"/>
    <w:rPr>
      <w:rFonts w:asciiTheme="minorHAnsi" w:eastAsiaTheme="minorHAnsi" w:hAnsiTheme="minorHAnsi" w:cstheme="minorBidi"/>
      <w:sz w:val="20"/>
      <w:lang w:eastAsia="en-US"/>
    </w:rPr>
  </w:style>
  <w:style w:type="character" w:customStyle="1" w:styleId="TextonotapieCar">
    <w:name w:val="Texto nota pie Car"/>
    <w:basedOn w:val="Fuentedeprrafopredeter"/>
    <w:link w:val="Textonotapie"/>
    <w:uiPriority w:val="99"/>
    <w:semiHidden/>
    <w:rsid w:val="00E60EFE"/>
    <w:rPr>
      <w:rFonts w:asciiTheme="minorHAnsi" w:eastAsiaTheme="minorHAnsi" w:hAnsiTheme="minorHAnsi" w:cstheme="minorBidi"/>
      <w:lang w:val="es-MX" w:eastAsia="en-US"/>
    </w:rPr>
  </w:style>
  <w:style w:type="character" w:styleId="Refdenotaalpie">
    <w:name w:val="footnote reference"/>
    <w:basedOn w:val="Fuentedeprrafopredeter"/>
    <w:uiPriority w:val="99"/>
    <w:semiHidden/>
    <w:unhideWhenUsed/>
    <w:rsid w:val="00E60EFE"/>
    <w:rPr>
      <w:vertAlign w:val="superscript"/>
    </w:rPr>
  </w:style>
  <w:style w:type="paragraph" w:customStyle="1" w:styleId="estilo30">
    <w:name w:val="estilo30"/>
    <w:basedOn w:val="Normal"/>
    <w:rsid w:val="0034462B"/>
    <w:pPr>
      <w:spacing w:before="100" w:beforeAutospacing="1" w:after="100" w:afterAutospacing="1"/>
    </w:pPr>
    <w:rPr>
      <w:rFonts w:ascii="Times New Roman" w:hAnsi="Times New Roman"/>
      <w:szCs w:val="24"/>
      <w:lang w:eastAsia="es-MX"/>
    </w:rPr>
  </w:style>
  <w:style w:type="character" w:customStyle="1" w:styleId="PiedepginaCar">
    <w:name w:val="Pie de página Car"/>
    <w:basedOn w:val="Fuentedeprrafopredeter"/>
    <w:link w:val="Piedepgina"/>
    <w:uiPriority w:val="99"/>
    <w:rsid w:val="00D2656D"/>
    <w:rPr>
      <w:rFonts w:ascii="Arial" w:hAnsi="Arial"/>
      <w:sz w:val="24"/>
      <w:lang w:val="es-MX"/>
    </w:rPr>
  </w:style>
  <w:style w:type="character" w:customStyle="1" w:styleId="Ttulo1Car">
    <w:name w:val="Título 1 Car"/>
    <w:basedOn w:val="Fuentedeprrafopredeter"/>
    <w:link w:val="Ttulo1"/>
    <w:rsid w:val="005902FA"/>
    <w:rPr>
      <w:rFonts w:asciiTheme="majorHAnsi" w:eastAsiaTheme="majorEastAsia" w:hAnsiTheme="majorHAnsi" w:cstheme="majorBidi"/>
      <w:color w:val="365F91" w:themeColor="accent1" w:themeShade="BF"/>
      <w:sz w:val="32"/>
      <w:szCs w:val="32"/>
      <w:lang w:val="es-MX"/>
    </w:rPr>
  </w:style>
  <w:style w:type="table" w:styleId="Tablanormal3">
    <w:name w:val="Plain Table 3"/>
    <w:basedOn w:val="Tablanormal"/>
    <w:uiPriority w:val="43"/>
    <w:rsid w:val="00705A0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705A0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2Car">
    <w:name w:val="Título 2 Car"/>
    <w:basedOn w:val="Fuentedeprrafopredeter"/>
    <w:link w:val="Ttulo2"/>
    <w:rsid w:val="00EF3EB1"/>
    <w:rPr>
      <w:rFonts w:asciiTheme="majorHAnsi" w:eastAsiaTheme="majorEastAsia" w:hAnsiTheme="majorHAnsi" w:cstheme="majorBidi"/>
      <w:color w:val="365F91" w:themeColor="accent1" w:themeShade="BF"/>
      <w:sz w:val="26"/>
      <w:szCs w:val="2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95064">
      <w:bodyDiv w:val="1"/>
      <w:marLeft w:val="0"/>
      <w:marRight w:val="0"/>
      <w:marTop w:val="0"/>
      <w:marBottom w:val="0"/>
      <w:divBdr>
        <w:top w:val="none" w:sz="0" w:space="0" w:color="auto"/>
        <w:left w:val="none" w:sz="0" w:space="0" w:color="auto"/>
        <w:bottom w:val="none" w:sz="0" w:space="0" w:color="auto"/>
        <w:right w:val="none" w:sz="0" w:space="0" w:color="auto"/>
      </w:divBdr>
    </w:div>
    <w:div w:id="87510840">
      <w:bodyDiv w:val="1"/>
      <w:marLeft w:val="0"/>
      <w:marRight w:val="0"/>
      <w:marTop w:val="0"/>
      <w:marBottom w:val="0"/>
      <w:divBdr>
        <w:top w:val="none" w:sz="0" w:space="0" w:color="auto"/>
        <w:left w:val="none" w:sz="0" w:space="0" w:color="auto"/>
        <w:bottom w:val="none" w:sz="0" w:space="0" w:color="auto"/>
        <w:right w:val="none" w:sz="0" w:space="0" w:color="auto"/>
      </w:divBdr>
    </w:div>
    <w:div w:id="175661303">
      <w:bodyDiv w:val="1"/>
      <w:marLeft w:val="0"/>
      <w:marRight w:val="0"/>
      <w:marTop w:val="0"/>
      <w:marBottom w:val="0"/>
      <w:divBdr>
        <w:top w:val="none" w:sz="0" w:space="0" w:color="auto"/>
        <w:left w:val="none" w:sz="0" w:space="0" w:color="auto"/>
        <w:bottom w:val="none" w:sz="0" w:space="0" w:color="auto"/>
        <w:right w:val="none" w:sz="0" w:space="0" w:color="auto"/>
      </w:divBdr>
    </w:div>
    <w:div w:id="193423008">
      <w:bodyDiv w:val="1"/>
      <w:marLeft w:val="0"/>
      <w:marRight w:val="0"/>
      <w:marTop w:val="0"/>
      <w:marBottom w:val="0"/>
      <w:divBdr>
        <w:top w:val="none" w:sz="0" w:space="0" w:color="auto"/>
        <w:left w:val="none" w:sz="0" w:space="0" w:color="auto"/>
        <w:bottom w:val="none" w:sz="0" w:space="0" w:color="auto"/>
        <w:right w:val="none" w:sz="0" w:space="0" w:color="auto"/>
      </w:divBdr>
    </w:div>
    <w:div w:id="273174041">
      <w:bodyDiv w:val="1"/>
      <w:marLeft w:val="0"/>
      <w:marRight w:val="0"/>
      <w:marTop w:val="0"/>
      <w:marBottom w:val="0"/>
      <w:divBdr>
        <w:top w:val="none" w:sz="0" w:space="0" w:color="auto"/>
        <w:left w:val="none" w:sz="0" w:space="0" w:color="auto"/>
        <w:bottom w:val="none" w:sz="0" w:space="0" w:color="auto"/>
        <w:right w:val="none" w:sz="0" w:space="0" w:color="auto"/>
      </w:divBdr>
    </w:div>
    <w:div w:id="289944832">
      <w:bodyDiv w:val="1"/>
      <w:marLeft w:val="0"/>
      <w:marRight w:val="0"/>
      <w:marTop w:val="0"/>
      <w:marBottom w:val="0"/>
      <w:divBdr>
        <w:top w:val="none" w:sz="0" w:space="0" w:color="auto"/>
        <w:left w:val="none" w:sz="0" w:space="0" w:color="auto"/>
        <w:bottom w:val="none" w:sz="0" w:space="0" w:color="auto"/>
        <w:right w:val="none" w:sz="0" w:space="0" w:color="auto"/>
      </w:divBdr>
    </w:div>
    <w:div w:id="305746280">
      <w:bodyDiv w:val="1"/>
      <w:marLeft w:val="0"/>
      <w:marRight w:val="0"/>
      <w:marTop w:val="0"/>
      <w:marBottom w:val="0"/>
      <w:divBdr>
        <w:top w:val="none" w:sz="0" w:space="0" w:color="auto"/>
        <w:left w:val="none" w:sz="0" w:space="0" w:color="auto"/>
        <w:bottom w:val="none" w:sz="0" w:space="0" w:color="auto"/>
        <w:right w:val="none" w:sz="0" w:space="0" w:color="auto"/>
      </w:divBdr>
    </w:div>
    <w:div w:id="313920304">
      <w:bodyDiv w:val="1"/>
      <w:marLeft w:val="0"/>
      <w:marRight w:val="0"/>
      <w:marTop w:val="0"/>
      <w:marBottom w:val="0"/>
      <w:divBdr>
        <w:top w:val="none" w:sz="0" w:space="0" w:color="auto"/>
        <w:left w:val="none" w:sz="0" w:space="0" w:color="auto"/>
        <w:bottom w:val="none" w:sz="0" w:space="0" w:color="auto"/>
        <w:right w:val="none" w:sz="0" w:space="0" w:color="auto"/>
      </w:divBdr>
    </w:div>
    <w:div w:id="328288964">
      <w:bodyDiv w:val="1"/>
      <w:marLeft w:val="0"/>
      <w:marRight w:val="0"/>
      <w:marTop w:val="0"/>
      <w:marBottom w:val="0"/>
      <w:divBdr>
        <w:top w:val="none" w:sz="0" w:space="0" w:color="auto"/>
        <w:left w:val="none" w:sz="0" w:space="0" w:color="auto"/>
        <w:bottom w:val="none" w:sz="0" w:space="0" w:color="auto"/>
        <w:right w:val="none" w:sz="0" w:space="0" w:color="auto"/>
      </w:divBdr>
    </w:div>
    <w:div w:id="387414083">
      <w:bodyDiv w:val="1"/>
      <w:marLeft w:val="0"/>
      <w:marRight w:val="0"/>
      <w:marTop w:val="0"/>
      <w:marBottom w:val="0"/>
      <w:divBdr>
        <w:top w:val="none" w:sz="0" w:space="0" w:color="auto"/>
        <w:left w:val="none" w:sz="0" w:space="0" w:color="auto"/>
        <w:bottom w:val="none" w:sz="0" w:space="0" w:color="auto"/>
        <w:right w:val="none" w:sz="0" w:space="0" w:color="auto"/>
      </w:divBdr>
    </w:div>
    <w:div w:id="408962801">
      <w:bodyDiv w:val="1"/>
      <w:marLeft w:val="0"/>
      <w:marRight w:val="0"/>
      <w:marTop w:val="0"/>
      <w:marBottom w:val="0"/>
      <w:divBdr>
        <w:top w:val="none" w:sz="0" w:space="0" w:color="auto"/>
        <w:left w:val="none" w:sz="0" w:space="0" w:color="auto"/>
        <w:bottom w:val="none" w:sz="0" w:space="0" w:color="auto"/>
        <w:right w:val="none" w:sz="0" w:space="0" w:color="auto"/>
      </w:divBdr>
    </w:div>
    <w:div w:id="439835057">
      <w:bodyDiv w:val="1"/>
      <w:marLeft w:val="0"/>
      <w:marRight w:val="0"/>
      <w:marTop w:val="0"/>
      <w:marBottom w:val="0"/>
      <w:divBdr>
        <w:top w:val="none" w:sz="0" w:space="0" w:color="auto"/>
        <w:left w:val="none" w:sz="0" w:space="0" w:color="auto"/>
        <w:bottom w:val="none" w:sz="0" w:space="0" w:color="auto"/>
        <w:right w:val="none" w:sz="0" w:space="0" w:color="auto"/>
      </w:divBdr>
    </w:div>
    <w:div w:id="568274242">
      <w:bodyDiv w:val="1"/>
      <w:marLeft w:val="0"/>
      <w:marRight w:val="0"/>
      <w:marTop w:val="0"/>
      <w:marBottom w:val="0"/>
      <w:divBdr>
        <w:top w:val="none" w:sz="0" w:space="0" w:color="auto"/>
        <w:left w:val="none" w:sz="0" w:space="0" w:color="auto"/>
        <w:bottom w:val="none" w:sz="0" w:space="0" w:color="auto"/>
        <w:right w:val="none" w:sz="0" w:space="0" w:color="auto"/>
      </w:divBdr>
    </w:div>
    <w:div w:id="590116303">
      <w:bodyDiv w:val="1"/>
      <w:marLeft w:val="0"/>
      <w:marRight w:val="0"/>
      <w:marTop w:val="0"/>
      <w:marBottom w:val="0"/>
      <w:divBdr>
        <w:top w:val="none" w:sz="0" w:space="0" w:color="auto"/>
        <w:left w:val="none" w:sz="0" w:space="0" w:color="auto"/>
        <w:bottom w:val="none" w:sz="0" w:space="0" w:color="auto"/>
        <w:right w:val="none" w:sz="0" w:space="0" w:color="auto"/>
      </w:divBdr>
    </w:div>
    <w:div w:id="591353246">
      <w:bodyDiv w:val="1"/>
      <w:marLeft w:val="0"/>
      <w:marRight w:val="0"/>
      <w:marTop w:val="0"/>
      <w:marBottom w:val="0"/>
      <w:divBdr>
        <w:top w:val="none" w:sz="0" w:space="0" w:color="auto"/>
        <w:left w:val="none" w:sz="0" w:space="0" w:color="auto"/>
        <w:bottom w:val="none" w:sz="0" w:space="0" w:color="auto"/>
        <w:right w:val="none" w:sz="0" w:space="0" w:color="auto"/>
      </w:divBdr>
    </w:div>
    <w:div w:id="650140603">
      <w:bodyDiv w:val="1"/>
      <w:marLeft w:val="0"/>
      <w:marRight w:val="0"/>
      <w:marTop w:val="0"/>
      <w:marBottom w:val="0"/>
      <w:divBdr>
        <w:top w:val="none" w:sz="0" w:space="0" w:color="auto"/>
        <w:left w:val="none" w:sz="0" w:space="0" w:color="auto"/>
        <w:bottom w:val="none" w:sz="0" w:space="0" w:color="auto"/>
        <w:right w:val="none" w:sz="0" w:space="0" w:color="auto"/>
      </w:divBdr>
    </w:div>
    <w:div w:id="709841884">
      <w:bodyDiv w:val="1"/>
      <w:marLeft w:val="0"/>
      <w:marRight w:val="0"/>
      <w:marTop w:val="0"/>
      <w:marBottom w:val="0"/>
      <w:divBdr>
        <w:top w:val="none" w:sz="0" w:space="0" w:color="auto"/>
        <w:left w:val="none" w:sz="0" w:space="0" w:color="auto"/>
        <w:bottom w:val="none" w:sz="0" w:space="0" w:color="auto"/>
        <w:right w:val="none" w:sz="0" w:space="0" w:color="auto"/>
      </w:divBdr>
    </w:div>
    <w:div w:id="738747778">
      <w:bodyDiv w:val="1"/>
      <w:marLeft w:val="0"/>
      <w:marRight w:val="0"/>
      <w:marTop w:val="0"/>
      <w:marBottom w:val="0"/>
      <w:divBdr>
        <w:top w:val="none" w:sz="0" w:space="0" w:color="auto"/>
        <w:left w:val="none" w:sz="0" w:space="0" w:color="auto"/>
        <w:bottom w:val="none" w:sz="0" w:space="0" w:color="auto"/>
        <w:right w:val="none" w:sz="0" w:space="0" w:color="auto"/>
      </w:divBdr>
    </w:div>
    <w:div w:id="756706967">
      <w:bodyDiv w:val="1"/>
      <w:marLeft w:val="0"/>
      <w:marRight w:val="0"/>
      <w:marTop w:val="0"/>
      <w:marBottom w:val="0"/>
      <w:divBdr>
        <w:top w:val="none" w:sz="0" w:space="0" w:color="auto"/>
        <w:left w:val="none" w:sz="0" w:space="0" w:color="auto"/>
        <w:bottom w:val="none" w:sz="0" w:space="0" w:color="auto"/>
        <w:right w:val="none" w:sz="0" w:space="0" w:color="auto"/>
      </w:divBdr>
    </w:div>
    <w:div w:id="908419801">
      <w:bodyDiv w:val="1"/>
      <w:marLeft w:val="0"/>
      <w:marRight w:val="0"/>
      <w:marTop w:val="0"/>
      <w:marBottom w:val="0"/>
      <w:divBdr>
        <w:top w:val="none" w:sz="0" w:space="0" w:color="auto"/>
        <w:left w:val="none" w:sz="0" w:space="0" w:color="auto"/>
        <w:bottom w:val="none" w:sz="0" w:space="0" w:color="auto"/>
        <w:right w:val="none" w:sz="0" w:space="0" w:color="auto"/>
      </w:divBdr>
    </w:div>
    <w:div w:id="933588397">
      <w:bodyDiv w:val="1"/>
      <w:marLeft w:val="0"/>
      <w:marRight w:val="0"/>
      <w:marTop w:val="0"/>
      <w:marBottom w:val="0"/>
      <w:divBdr>
        <w:top w:val="none" w:sz="0" w:space="0" w:color="auto"/>
        <w:left w:val="none" w:sz="0" w:space="0" w:color="auto"/>
        <w:bottom w:val="none" w:sz="0" w:space="0" w:color="auto"/>
        <w:right w:val="none" w:sz="0" w:space="0" w:color="auto"/>
      </w:divBdr>
    </w:div>
    <w:div w:id="1103721250">
      <w:bodyDiv w:val="1"/>
      <w:marLeft w:val="0"/>
      <w:marRight w:val="0"/>
      <w:marTop w:val="0"/>
      <w:marBottom w:val="0"/>
      <w:divBdr>
        <w:top w:val="none" w:sz="0" w:space="0" w:color="auto"/>
        <w:left w:val="none" w:sz="0" w:space="0" w:color="auto"/>
        <w:bottom w:val="none" w:sz="0" w:space="0" w:color="auto"/>
        <w:right w:val="none" w:sz="0" w:space="0" w:color="auto"/>
      </w:divBdr>
    </w:div>
    <w:div w:id="1135679482">
      <w:bodyDiv w:val="1"/>
      <w:marLeft w:val="0"/>
      <w:marRight w:val="0"/>
      <w:marTop w:val="0"/>
      <w:marBottom w:val="0"/>
      <w:divBdr>
        <w:top w:val="none" w:sz="0" w:space="0" w:color="auto"/>
        <w:left w:val="none" w:sz="0" w:space="0" w:color="auto"/>
        <w:bottom w:val="none" w:sz="0" w:space="0" w:color="auto"/>
        <w:right w:val="none" w:sz="0" w:space="0" w:color="auto"/>
      </w:divBdr>
    </w:div>
    <w:div w:id="1143693453">
      <w:bodyDiv w:val="1"/>
      <w:marLeft w:val="0"/>
      <w:marRight w:val="0"/>
      <w:marTop w:val="0"/>
      <w:marBottom w:val="0"/>
      <w:divBdr>
        <w:top w:val="none" w:sz="0" w:space="0" w:color="auto"/>
        <w:left w:val="none" w:sz="0" w:space="0" w:color="auto"/>
        <w:bottom w:val="none" w:sz="0" w:space="0" w:color="auto"/>
        <w:right w:val="none" w:sz="0" w:space="0" w:color="auto"/>
      </w:divBdr>
    </w:div>
    <w:div w:id="1203666807">
      <w:bodyDiv w:val="1"/>
      <w:marLeft w:val="0"/>
      <w:marRight w:val="0"/>
      <w:marTop w:val="0"/>
      <w:marBottom w:val="0"/>
      <w:divBdr>
        <w:top w:val="none" w:sz="0" w:space="0" w:color="auto"/>
        <w:left w:val="none" w:sz="0" w:space="0" w:color="auto"/>
        <w:bottom w:val="none" w:sz="0" w:space="0" w:color="auto"/>
        <w:right w:val="none" w:sz="0" w:space="0" w:color="auto"/>
      </w:divBdr>
    </w:div>
    <w:div w:id="1265456220">
      <w:bodyDiv w:val="1"/>
      <w:marLeft w:val="0"/>
      <w:marRight w:val="0"/>
      <w:marTop w:val="0"/>
      <w:marBottom w:val="0"/>
      <w:divBdr>
        <w:top w:val="none" w:sz="0" w:space="0" w:color="auto"/>
        <w:left w:val="none" w:sz="0" w:space="0" w:color="auto"/>
        <w:bottom w:val="none" w:sz="0" w:space="0" w:color="auto"/>
        <w:right w:val="none" w:sz="0" w:space="0" w:color="auto"/>
      </w:divBdr>
    </w:div>
    <w:div w:id="1269119520">
      <w:bodyDiv w:val="1"/>
      <w:marLeft w:val="0"/>
      <w:marRight w:val="0"/>
      <w:marTop w:val="0"/>
      <w:marBottom w:val="0"/>
      <w:divBdr>
        <w:top w:val="none" w:sz="0" w:space="0" w:color="auto"/>
        <w:left w:val="none" w:sz="0" w:space="0" w:color="auto"/>
        <w:bottom w:val="none" w:sz="0" w:space="0" w:color="auto"/>
        <w:right w:val="none" w:sz="0" w:space="0" w:color="auto"/>
      </w:divBdr>
    </w:div>
    <w:div w:id="1351253429">
      <w:bodyDiv w:val="1"/>
      <w:marLeft w:val="0"/>
      <w:marRight w:val="0"/>
      <w:marTop w:val="0"/>
      <w:marBottom w:val="0"/>
      <w:divBdr>
        <w:top w:val="none" w:sz="0" w:space="0" w:color="auto"/>
        <w:left w:val="none" w:sz="0" w:space="0" w:color="auto"/>
        <w:bottom w:val="none" w:sz="0" w:space="0" w:color="auto"/>
        <w:right w:val="none" w:sz="0" w:space="0" w:color="auto"/>
      </w:divBdr>
    </w:div>
    <w:div w:id="1415512368">
      <w:bodyDiv w:val="1"/>
      <w:marLeft w:val="0"/>
      <w:marRight w:val="0"/>
      <w:marTop w:val="0"/>
      <w:marBottom w:val="0"/>
      <w:divBdr>
        <w:top w:val="none" w:sz="0" w:space="0" w:color="auto"/>
        <w:left w:val="none" w:sz="0" w:space="0" w:color="auto"/>
        <w:bottom w:val="none" w:sz="0" w:space="0" w:color="auto"/>
        <w:right w:val="none" w:sz="0" w:space="0" w:color="auto"/>
      </w:divBdr>
    </w:div>
    <w:div w:id="1488667812">
      <w:bodyDiv w:val="1"/>
      <w:marLeft w:val="0"/>
      <w:marRight w:val="0"/>
      <w:marTop w:val="0"/>
      <w:marBottom w:val="0"/>
      <w:divBdr>
        <w:top w:val="none" w:sz="0" w:space="0" w:color="auto"/>
        <w:left w:val="none" w:sz="0" w:space="0" w:color="auto"/>
        <w:bottom w:val="none" w:sz="0" w:space="0" w:color="auto"/>
        <w:right w:val="none" w:sz="0" w:space="0" w:color="auto"/>
      </w:divBdr>
    </w:div>
    <w:div w:id="1522627947">
      <w:bodyDiv w:val="1"/>
      <w:marLeft w:val="0"/>
      <w:marRight w:val="0"/>
      <w:marTop w:val="0"/>
      <w:marBottom w:val="0"/>
      <w:divBdr>
        <w:top w:val="none" w:sz="0" w:space="0" w:color="auto"/>
        <w:left w:val="none" w:sz="0" w:space="0" w:color="auto"/>
        <w:bottom w:val="none" w:sz="0" w:space="0" w:color="auto"/>
        <w:right w:val="none" w:sz="0" w:space="0" w:color="auto"/>
      </w:divBdr>
    </w:div>
    <w:div w:id="1549687849">
      <w:bodyDiv w:val="1"/>
      <w:marLeft w:val="0"/>
      <w:marRight w:val="0"/>
      <w:marTop w:val="0"/>
      <w:marBottom w:val="0"/>
      <w:divBdr>
        <w:top w:val="none" w:sz="0" w:space="0" w:color="auto"/>
        <w:left w:val="none" w:sz="0" w:space="0" w:color="auto"/>
        <w:bottom w:val="none" w:sz="0" w:space="0" w:color="auto"/>
        <w:right w:val="none" w:sz="0" w:space="0" w:color="auto"/>
      </w:divBdr>
    </w:div>
    <w:div w:id="1782332162">
      <w:bodyDiv w:val="1"/>
      <w:marLeft w:val="0"/>
      <w:marRight w:val="0"/>
      <w:marTop w:val="0"/>
      <w:marBottom w:val="0"/>
      <w:divBdr>
        <w:top w:val="none" w:sz="0" w:space="0" w:color="auto"/>
        <w:left w:val="none" w:sz="0" w:space="0" w:color="auto"/>
        <w:bottom w:val="none" w:sz="0" w:space="0" w:color="auto"/>
        <w:right w:val="none" w:sz="0" w:space="0" w:color="auto"/>
      </w:divBdr>
    </w:div>
    <w:div w:id="1807966531">
      <w:bodyDiv w:val="1"/>
      <w:marLeft w:val="0"/>
      <w:marRight w:val="0"/>
      <w:marTop w:val="0"/>
      <w:marBottom w:val="0"/>
      <w:divBdr>
        <w:top w:val="none" w:sz="0" w:space="0" w:color="auto"/>
        <w:left w:val="none" w:sz="0" w:space="0" w:color="auto"/>
        <w:bottom w:val="none" w:sz="0" w:space="0" w:color="auto"/>
        <w:right w:val="none" w:sz="0" w:space="0" w:color="auto"/>
      </w:divBdr>
    </w:div>
    <w:div w:id="1833717310">
      <w:bodyDiv w:val="1"/>
      <w:marLeft w:val="0"/>
      <w:marRight w:val="0"/>
      <w:marTop w:val="0"/>
      <w:marBottom w:val="0"/>
      <w:divBdr>
        <w:top w:val="none" w:sz="0" w:space="0" w:color="auto"/>
        <w:left w:val="none" w:sz="0" w:space="0" w:color="auto"/>
        <w:bottom w:val="none" w:sz="0" w:space="0" w:color="auto"/>
        <w:right w:val="none" w:sz="0" w:space="0" w:color="auto"/>
      </w:divBdr>
    </w:div>
    <w:div w:id="1897161115">
      <w:bodyDiv w:val="1"/>
      <w:marLeft w:val="0"/>
      <w:marRight w:val="0"/>
      <w:marTop w:val="0"/>
      <w:marBottom w:val="0"/>
      <w:divBdr>
        <w:top w:val="none" w:sz="0" w:space="0" w:color="auto"/>
        <w:left w:val="none" w:sz="0" w:space="0" w:color="auto"/>
        <w:bottom w:val="none" w:sz="0" w:space="0" w:color="auto"/>
        <w:right w:val="none" w:sz="0" w:space="0" w:color="auto"/>
      </w:divBdr>
    </w:div>
    <w:div w:id="1957829155">
      <w:bodyDiv w:val="1"/>
      <w:marLeft w:val="0"/>
      <w:marRight w:val="0"/>
      <w:marTop w:val="0"/>
      <w:marBottom w:val="0"/>
      <w:divBdr>
        <w:top w:val="none" w:sz="0" w:space="0" w:color="auto"/>
        <w:left w:val="none" w:sz="0" w:space="0" w:color="auto"/>
        <w:bottom w:val="none" w:sz="0" w:space="0" w:color="auto"/>
        <w:right w:val="none" w:sz="0" w:space="0" w:color="auto"/>
      </w:divBdr>
    </w:div>
    <w:div w:id="1972975619">
      <w:bodyDiv w:val="1"/>
      <w:marLeft w:val="0"/>
      <w:marRight w:val="0"/>
      <w:marTop w:val="0"/>
      <w:marBottom w:val="0"/>
      <w:divBdr>
        <w:top w:val="none" w:sz="0" w:space="0" w:color="auto"/>
        <w:left w:val="none" w:sz="0" w:space="0" w:color="auto"/>
        <w:bottom w:val="none" w:sz="0" w:space="0" w:color="auto"/>
        <w:right w:val="none" w:sz="0" w:space="0" w:color="auto"/>
      </w:divBdr>
    </w:div>
    <w:div w:id="213420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237A0-611D-488E-8D8E-E0B85D445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22</Pages>
  <Words>10209</Words>
  <Characters>55651</Characters>
  <Application>Microsoft Office Word</Application>
  <DocSecurity>0</DocSecurity>
  <Lines>463</Lines>
  <Paragraphs>131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México, D</vt:lpstr>
      <vt:lpstr>México, D</vt:lpstr>
    </vt:vector>
  </TitlesOfParts>
  <Company>COFETEL</Company>
  <LinksUpToDate>false</LinksUpToDate>
  <CharactersWithSpaces>65729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México, D</dc:title>
  <dc:creator>Jose Roberto Flores Navarrete</dc:creator>
  <cp:lastModifiedBy>Cynthia Fabiola Dominguez Jacobo</cp:lastModifiedBy>
  <cp:revision>9</cp:revision>
  <cp:lastPrinted>2014-11-14T23:38:00Z</cp:lastPrinted>
  <dcterms:created xsi:type="dcterms:W3CDTF">2016-02-03T02:10:00Z</dcterms:created>
  <dcterms:modified xsi:type="dcterms:W3CDTF">2016-02-24T19:15:00Z</dcterms:modified>
</cp:coreProperties>
</file>