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1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2025-2026)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I-II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5590615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 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 classroom structure to engage learners, individually or in groups, in meaningful exploration, discovery and hands-on activities within a range of physical learning environments (2.3.2)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 learner behavior constructively by applying positive and non-violent discipline to ensure learning-focused environments (2.6.2)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differentiated, developmentally appropriate learning experiences to address learners’ gender, needs, strengths, interests and experiences (3.1.2)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Plan, manage and implement developmentally sequenced teaching and learning process to meet curriculum requirements and varied teaching contexts (4.1.2)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Select, develop, organize and use appropriate teaching and learning resources, including ICT, to address learning goals (4.5.2)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Design, select, organize and use diagnostic, formative and summative assessment strategies consistent with curriculum requirements (5.1.2)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4.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18"/>
          <w:szCs w:val="18"/>
        </w:rPr>
        <w:sectPr>
          <w:headerReference r:id="rId8" w:type="default"/>
          <w:pgSz w:h="16838" w:w="11906" w:orient="portrait"/>
          <w:pgMar w:bottom="720" w:top="284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97166</wp:posOffset>
                </wp:positionV>
                <wp:extent cx="7575550" cy="617830"/>
                <wp:effectExtent b="0" l="0" r="0" t="0"/>
                <wp:wrapNone/>
                <wp:docPr id="1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2025-2026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Highly Proficient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 – MT 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13" name="Shape 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97166</wp:posOffset>
                </wp:positionV>
                <wp:extent cx="7575550" cy="617830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2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77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2026-2027)</w:t>
      </w:r>
    </w:p>
    <w:p w:rsidR="00000000" w:rsidDel="00000000" w:rsidP="00000000" w:rsidRDefault="00000000" w:rsidRPr="00000000" w14:paraId="00000078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I-II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82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138415973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Display proficient use of Mother Tongue, Filipino and English to facilitate teaching and learning (1.6.2)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Establish safe and secure learning environments to enhance learning through the consistent implementation of policies, guidelines and procedures (2.1.2)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 learning environments that promote fairness, respect and care to encourage learning (2.2.2)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Establish a learner-centered culture by using teaching strategies that respond to learners’ linguistic, cultural, socio-economic and religious backgrounds (3.2.2)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Adapt and use culturally appropriate teaching strategies to address the needs of learners from indigenous groups (3.5.2)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strategies for providing timely, accurate and constructive feedback to improve learner performance (5.3.2)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4.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18"/>
          <w:szCs w:val="18"/>
        </w:rPr>
        <w:sectPr>
          <w:headerReference r:id="rId12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D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DE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F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203200</wp:posOffset>
                </wp:positionV>
                <wp:extent cx="7575550" cy="617830"/>
                <wp:effectExtent b="0" l="0" r="0" t="0"/>
                <wp:wrapNone/>
                <wp:docPr id="1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2026-2027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Highly Proficient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 – MT 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203200</wp:posOffset>
                </wp:positionV>
                <wp:extent cx="7575550" cy="61783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0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E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E6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2027-2028)</w:t>
      </w:r>
    </w:p>
    <w:p w:rsidR="00000000" w:rsidDel="00000000" w:rsidP="00000000" w:rsidRDefault="00000000" w:rsidRPr="00000000" w14:paraId="000000E7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I-II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E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F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F1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13281352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 the positive use of ICT to facilitate the teaching and learning process (1.3.2)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effective verbal and non-verbal classroom communication strategies to support learner understanding, participation, engagement and achievement (1.7.2)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 supportive learning environments that nurture and inspire learners to participate, cooperate and collaborate in continued learning (2.4.2)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successful strategies that maintain learning environments that motivate learners to work productively by assuming responsibility for their own learning (2.5.2)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Design, adapt and implement teaching strategies that are responsive to learners with disabilities, giftedness and talents (3.3.2)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ind w:left="5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 and deliver teaching strategies that are responsive to the special educational needs of learners in difficult circumstances, including: geographic isolation; chronic illness; displacement due to armed conflict, urban resettlement or disasters; child abuse and child labor practices (3.4.2)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4.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sz w:val="18"/>
          <w:szCs w:val="18"/>
        </w:rPr>
        <w:sectPr>
          <w:headerReference r:id="rId13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5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146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7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17830"/>
                <wp:effectExtent b="0" l="0" r="0" t="0"/>
                <wp:wrapNone/>
                <wp:docPr id="10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2027-2028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Highly Proficient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 – MT II)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20" name="Shape 2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23" name="Shape 2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228600</wp:posOffset>
                </wp:positionV>
                <wp:extent cx="7575550" cy="617830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E21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F734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2511"/>
  </w:style>
  <w:style w:type="paragraph" w:styleId="Footer">
    <w:name w:val="footer"/>
    <w:basedOn w:val="Normal"/>
    <w:link w:val="Foot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25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F/pAiSf2S7e62m9Ju52HPpXHw==">CgMxLjAaMAoBMBIrCikIB0IlChFRdWF0dHJvY2VudG8gU2FucxIQQXJpYWwgVW5pY29kZSBNUxowCgExEisKKQgHQiUKEVF1YXR0cm9jZW50byBTYW5zEhBBcmlhbCBVbmljb2RlIE1TGjAKATISKwopCAdCJQoRUXVhdHRyb2NlbnRvIFNhbnMSEEFyaWFsIFVuaWNvZGUgTVM4AHIhMXNzdUlqOHVvdkc2NXNmbDN6T3ZMOE80bllxaE1fLXB3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2022-05-24T06:25:00Z</dcterms:created>
  <dc:creator>Mikkey Mari Tuazon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0x010100547F28B70C8A594C95587C8F13B3CCB3</vt:lpwstr>
  </property>
  <property fmtid="{D5CDD505-2E9C-101B-9397-08002B2CF9AE}" pid="3" name="MediaServiceImageTags">
    <vt:lpwstr/>
  </property>
</Properties>
</file>