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785C60" w14:textId="77777777" w:rsidR="009F5601" w:rsidRDefault="00D655FD" w:rsidP="00F63962">
      <w:pPr>
        <w:spacing w:after="6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PROYECTO INTEGRADOR 2</w:t>
      </w:r>
    </w:p>
    <w:p w14:paraId="5E785C61" w14:textId="77777777" w:rsidR="009F5601" w:rsidRDefault="00D655FD" w:rsidP="00225D4C">
      <w:pPr>
        <w:spacing w:after="40"/>
        <w:jc w:val="center"/>
      </w:pPr>
      <w:r>
        <w:rPr>
          <w:rFonts w:ascii="Calibri" w:eastAsia="Calibri" w:hAnsi="Calibri" w:cs="Calibri"/>
          <w:sz w:val="24"/>
          <w:szCs w:val="24"/>
        </w:rPr>
        <w:t xml:space="preserve">Grafos, </w:t>
      </w:r>
      <w:proofErr w:type="spellStart"/>
      <w:r>
        <w:rPr>
          <w:rFonts w:ascii="Calibri" w:eastAsia="Calibri" w:hAnsi="Calibri" w:cs="Calibri"/>
          <w:sz w:val="24"/>
          <w:szCs w:val="24"/>
        </w:rPr>
        <w:t>Clustering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 Aprendizaje de Representación sobre Contrataciones Públicas del Perú</w:t>
      </w:r>
    </w:p>
    <w:p w14:paraId="5E785C62" w14:textId="033BA926" w:rsidR="009F5601" w:rsidRDefault="00D655FD" w:rsidP="00225D4C">
      <w:pPr>
        <w:spacing w:after="60"/>
        <w:jc w:val="center"/>
      </w:pPr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>Prof. Heider Sanchez</w:t>
      </w:r>
    </w:p>
    <w:p w14:paraId="5E785C64" w14:textId="77777777" w:rsidR="009F5601" w:rsidRDefault="00D655FD">
      <w:pPr>
        <w:pBdr>
          <w:bottom w:val="single" w:sz="6" w:space="4" w:color="1F3864"/>
        </w:pBdr>
        <w:spacing w:before="320" w:after="1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OBJETIVO</w:t>
      </w:r>
    </w:p>
    <w:p w14:paraId="5E785C65" w14:textId="77777777" w:rsidR="009F5601" w:rsidRDefault="00D655FD">
      <w:pPr>
        <w:spacing w:after="14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Este segundo proyecto integrador busca que cada equipo aplique, de manera articulada, las técnicas de </w:t>
      </w:r>
      <w:proofErr w:type="spellStart"/>
      <w:r>
        <w:rPr>
          <w:rFonts w:ascii="Calibri" w:eastAsia="Calibri" w:hAnsi="Calibri" w:cs="Calibri"/>
          <w:sz w:val="22"/>
          <w:szCs w:val="22"/>
        </w:rPr>
        <w:t>clustering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sistemas de recomendación, análisis de enlaces, detección de comunidades y aprendizaje de representación en grafos, sobre los datos abiertos de contrataciones públicas del Perú (estándar OCDS). Se espera que el equipo plantee sus propias preguntas de inte</w:t>
      </w:r>
      <w:r>
        <w:rPr>
          <w:rFonts w:ascii="Calibri" w:eastAsia="Calibri" w:hAnsi="Calibri" w:cs="Calibri"/>
          <w:sz w:val="22"/>
          <w:szCs w:val="22"/>
        </w:rPr>
        <w:t xml:space="preserve">rés y diseñe una estrategia técnica propia, </w:t>
      </w:r>
      <w:r w:rsidRPr="00900025">
        <w:rPr>
          <w:rFonts w:ascii="Calibri" w:eastAsia="Calibri" w:hAnsi="Calibri" w:cs="Calibri"/>
          <w:b/>
          <w:sz w:val="22"/>
          <w:szCs w:val="22"/>
        </w:rPr>
        <w:t>argumentando cada decisión metodológica para extraer conocimiento,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Pr="00900025">
        <w:rPr>
          <w:rFonts w:ascii="Calibri" w:eastAsia="Calibri" w:hAnsi="Calibri" w:cs="Calibri"/>
          <w:b/>
          <w:sz w:val="22"/>
          <w:szCs w:val="22"/>
        </w:rPr>
        <w:t>no solo ejecutar algoritmos.</w:t>
      </w:r>
    </w:p>
    <w:p w14:paraId="5E785C66" w14:textId="77777777" w:rsidR="009F5601" w:rsidRDefault="00D655FD">
      <w:pPr>
        <w:spacing w:after="140"/>
        <w:jc w:val="both"/>
      </w:pPr>
      <w:r>
        <w:rPr>
          <w:rFonts w:ascii="Calibri" w:eastAsia="Calibri" w:hAnsi="Calibri" w:cs="Calibri"/>
          <w:i/>
          <w:iCs/>
          <w:sz w:val="22"/>
          <w:szCs w:val="22"/>
        </w:rPr>
        <w:t>Este enunciado plantea objetivos, mínimos exigibles y criterios de evaluación — no una receta paso a paso. No es obl</w:t>
      </w:r>
      <w:r>
        <w:rPr>
          <w:rFonts w:ascii="Calibri" w:eastAsia="Calibri" w:hAnsi="Calibri" w:cs="Calibri"/>
          <w:i/>
          <w:iCs/>
          <w:sz w:val="22"/>
          <w:szCs w:val="22"/>
        </w:rPr>
        <w:t xml:space="preserve">igatorio aplicar todas las variantes de cada familia de técnicas, pero cada familia debe quedar cubierta y analizada hasta obtener conclusiones. Una decisión bien justificada, aunque difiera del camino más obvio, suma. </w:t>
      </w:r>
      <w:r w:rsidRPr="00900025">
        <w:rPr>
          <w:rFonts w:ascii="Calibri" w:eastAsia="Calibri" w:hAnsi="Calibri" w:cs="Calibri"/>
          <w:b/>
          <w:i/>
          <w:iCs/>
          <w:sz w:val="22"/>
          <w:szCs w:val="22"/>
        </w:rPr>
        <w:t>Para cada técnica, el equipo debe pro</w:t>
      </w:r>
      <w:r w:rsidRPr="00900025">
        <w:rPr>
          <w:rFonts w:ascii="Calibri" w:eastAsia="Calibri" w:hAnsi="Calibri" w:cs="Calibri"/>
          <w:b/>
          <w:i/>
          <w:iCs/>
          <w:sz w:val="22"/>
          <w:szCs w:val="22"/>
        </w:rPr>
        <w:t>poner qué patrón o pregunta busca responder y por qué es relevante.</w:t>
      </w:r>
    </w:p>
    <w:p w14:paraId="5E785C67" w14:textId="77777777" w:rsidR="009F5601" w:rsidRDefault="00D655FD">
      <w:pPr>
        <w:spacing w:after="140"/>
        <w:jc w:val="both"/>
      </w:pPr>
      <w:r w:rsidRPr="00900025">
        <w:rPr>
          <w:rFonts w:ascii="Calibri" w:eastAsia="Calibri" w:hAnsi="Calibri" w:cs="Calibri"/>
          <w:i/>
          <w:iCs/>
          <w:color w:val="FF0000"/>
          <w:szCs w:val="22"/>
        </w:rPr>
        <w:t>En un contexto donde las herramientas de IA facilitan generar código y texto, la evaluación pondrá especial énfasis en lo que realmente distingue a un buen trabajo: la profundidad del anál</w:t>
      </w:r>
      <w:r w:rsidRPr="00900025">
        <w:rPr>
          <w:rFonts w:ascii="Calibri" w:eastAsia="Calibri" w:hAnsi="Calibri" w:cs="Calibri"/>
          <w:i/>
          <w:iCs/>
          <w:color w:val="FF0000"/>
          <w:szCs w:val="22"/>
        </w:rPr>
        <w:t>isis, la interpretación de los resultados en el contexto peruano y la claridad con que se comunican. Entregar salidas o código sin comprenderlos ni saber explicarlos recibirá bajo puntaje, aunque “funcionen”.</w:t>
      </w:r>
    </w:p>
    <w:p w14:paraId="5E785C68" w14:textId="44257F33" w:rsidR="009F5601" w:rsidRDefault="00D655FD">
      <w:pPr>
        <w:spacing w:after="140"/>
        <w:jc w:val="both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Dado que el proyecto se desarrolla en </w:t>
      </w:r>
      <w:r w:rsidR="00853461">
        <w:rPr>
          <w:rFonts w:ascii="Calibri" w:eastAsia="Calibri" w:hAnsi="Calibri" w:cs="Calibri"/>
          <w:i/>
          <w:iCs/>
          <w:sz w:val="22"/>
          <w:szCs w:val="22"/>
        </w:rPr>
        <w:t>5</w:t>
      </w:r>
      <w:r>
        <w:rPr>
          <w:rFonts w:ascii="Calibri" w:eastAsia="Calibri" w:hAnsi="Calibri" w:cs="Calibri"/>
          <w:i/>
          <w:iCs/>
          <w:sz w:val="22"/>
          <w:szCs w:val="22"/>
        </w:rPr>
        <w:t xml:space="preserve"> semanas</w:t>
      </w:r>
      <w:r>
        <w:rPr>
          <w:rFonts w:ascii="Calibri" w:eastAsia="Calibri" w:hAnsi="Calibri" w:cs="Calibri"/>
          <w:i/>
          <w:iCs/>
          <w:sz w:val="22"/>
          <w:szCs w:val="22"/>
        </w:rPr>
        <w:t>, prioricen la profundidad sobre la exhaustividad. Pueden reutilizar la base de datos ya limpia del primer proyecto: el mismo grano entidad–proveedor–ítem es justo lo que estas técnicas necesitan.</w:t>
      </w:r>
    </w:p>
    <w:p w14:paraId="5E785C69" w14:textId="77777777" w:rsidR="009F5601" w:rsidRDefault="00D655FD">
      <w:pPr>
        <w:spacing w:after="140"/>
        <w:jc w:val="both"/>
      </w:pPr>
      <w:r>
        <w:rPr>
          <w:rFonts w:ascii="Calibri" w:eastAsia="Calibri" w:hAnsi="Calibri" w:cs="Calibri"/>
          <w:sz w:val="22"/>
          <w:szCs w:val="22"/>
        </w:rPr>
        <w:t>Al concluir el proyecto, el estudiante habrá:</w:t>
      </w:r>
    </w:p>
    <w:p w14:paraId="5E785C6A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Transformado </w:t>
      </w:r>
      <w:r>
        <w:rPr>
          <w:rFonts w:ascii="Calibri" w:eastAsia="Calibri" w:hAnsi="Calibri" w:cs="Calibri"/>
          <w:sz w:val="22"/>
          <w:szCs w:val="22"/>
        </w:rPr>
        <w:t xml:space="preserve">los datos, sobre Spark, en una base relacional: vectores de características, una matriz de interacción y un grafo (por </w:t>
      </w:r>
      <w:proofErr w:type="spellStart"/>
      <w:r>
        <w:rPr>
          <w:rFonts w:ascii="Calibri" w:eastAsia="Calibri" w:hAnsi="Calibri" w:cs="Calibri"/>
          <w:sz w:val="22"/>
          <w:szCs w:val="22"/>
        </w:rPr>
        <w:t>co-participación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o, de forma sencilla, un grafo KNN).</w:t>
      </w:r>
    </w:p>
    <w:p w14:paraId="5E785C6B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Descubierto tipologías y anomalías mediante </w:t>
      </w:r>
      <w:proofErr w:type="spellStart"/>
      <w:r>
        <w:rPr>
          <w:rFonts w:ascii="Calibri" w:eastAsia="Calibri" w:hAnsi="Calibri" w:cs="Calibri"/>
          <w:sz w:val="22"/>
          <w:szCs w:val="22"/>
        </w:rPr>
        <w:t>clustering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KMeans</w:t>
      </w:r>
      <w:proofErr w:type="spellEnd"/>
      <w:r>
        <w:rPr>
          <w:rFonts w:ascii="Calibri" w:eastAsia="Calibri" w:hAnsi="Calibri" w:cs="Calibri"/>
          <w:sz w:val="22"/>
          <w:szCs w:val="22"/>
        </w:rPr>
        <w:t>++, jerárquico, DBSCA</w:t>
      </w:r>
      <w:r>
        <w:rPr>
          <w:rFonts w:ascii="Calibri" w:eastAsia="Calibri" w:hAnsi="Calibri" w:cs="Calibri"/>
          <w:sz w:val="22"/>
          <w:szCs w:val="22"/>
        </w:rPr>
        <w:t>N/HDBSCAN).</w:t>
      </w:r>
    </w:p>
    <w:p w14:paraId="5E785C6C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Modelado la relación entidad–proveedor con sistemas de recomendación (vecindario, contenido y factores latentes).</w:t>
      </w:r>
    </w:p>
    <w:p w14:paraId="5E785C6D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proofErr w:type="gramStart"/>
      <w:r>
        <w:rPr>
          <w:rFonts w:ascii="Calibri" w:eastAsia="Calibri" w:hAnsi="Calibri" w:cs="Calibri"/>
          <w:sz w:val="22"/>
          <w:szCs w:val="22"/>
        </w:rPr>
        <w:t>Identificado actores centrales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con análisis de enlaces (PageRank </w:t>
      </w:r>
      <w:proofErr w:type="spellStart"/>
      <w:r>
        <w:rPr>
          <w:rFonts w:ascii="Calibri" w:eastAsia="Calibri" w:hAnsi="Calibri" w:cs="Calibri"/>
          <w:sz w:val="22"/>
          <w:szCs w:val="22"/>
        </w:rPr>
        <w:t>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HITS).</w:t>
      </w:r>
    </w:p>
    <w:p w14:paraId="5E785C6E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Segmentado el mercado con detección de comunidades (</w:t>
      </w:r>
      <w:proofErr w:type="spellStart"/>
      <w:r>
        <w:rPr>
          <w:rFonts w:ascii="Calibri" w:eastAsia="Calibri" w:hAnsi="Calibri" w:cs="Calibri"/>
          <w:sz w:val="22"/>
          <w:szCs w:val="22"/>
        </w:rPr>
        <w:t>Girv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>-Newman, modularidad, espectral, AGM/</w:t>
      </w:r>
      <w:proofErr w:type="spellStart"/>
      <w:r>
        <w:rPr>
          <w:rFonts w:ascii="Calibri" w:eastAsia="Calibri" w:hAnsi="Calibri" w:cs="Calibri"/>
          <w:sz w:val="22"/>
          <w:szCs w:val="22"/>
        </w:rPr>
        <w:t>BigCLAM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5E785C6F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Obtenido representaciones de nodos (SVD, Node2Vec o GNN) y las habrá usado en una tarea analítica.</w:t>
      </w:r>
    </w:p>
    <w:p w14:paraId="5E785C70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Analizado, interpretado y comunicado los hallazgos —mediante un reporte web interactivo— con encuadre ético.</w:t>
      </w:r>
    </w:p>
    <w:p w14:paraId="5E785C71" w14:textId="77777777" w:rsidR="009F5601" w:rsidRDefault="00D655FD">
      <w:pPr>
        <w:pBdr>
          <w:bottom w:val="single" w:sz="6" w:space="4" w:color="1F3864"/>
        </w:pBdr>
        <w:spacing w:before="320" w:after="1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CONTEXTO Y DATASET</w:t>
      </w:r>
    </w:p>
    <w:p w14:paraId="5E785C72" w14:textId="77777777" w:rsidR="009F5601" w:rsidRDefault="00D655FD">
      <w:pPr>
        <w:spacing w:after="140"/>
        <w:jc w:val="both"/>
      </w:pPr>
      <w:r>
        <w:rPr>
          <w:rFonts w:ascii="Calibri" w:eastAsia="Calibri" w:hAnsi="Calibri" w:cs="Calibri"/>
          <w:sz w:val="22"/>
          <w:szCs w:val="22"/>
        </w:rPr>
        <w:t>Los datos abiertos de contrataciones públicas del Perú (OECE/OSCE, estándar OCDS) reúnen, para cada proceso, a la entidad compradora, los oferentes y proveedores, los ítems de bienes y servicios, los montos, las fechas y la ubicación. E</w:t>
      </w:r>
      <w:r>
        <w:rPr>
          <w:rFonts w:ascii="Calibri" w:eastAsia="Calibri" w:hAnsi="Calibri" w:cs="Calibri"/>
          <w:sz w:val="22"/>
          <w:szCs w:val="22"/>
        </w:rPr>
        <w:t>sa estructura entidad–proveedor–ítem es intrínsecamente relacional, por lo que permite construir de forma natural los tres objetos que requiere este proyecto:</w:t>
      </w:r>
    </w:p>
    <w:p w14:paraId="5E785C73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Vectores de características por entidad o proveedor (para </w:t>
      </w:r>
      <w:proofErr w:type="spellStart"/>
      <w:r>
        <w:rPr>
          <w:rFonts w:ascii="Calibri" w:eastAsia="Calibri" w:hAnsi="Calibri" w:cs="Calibri"/>
          <w:sz w:val="22"/>
          <w:szCs w:val="22"/>
        </w:rPr>
        <w:t>clustering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5E785C74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Una matriz de interacción </w:t>
      </w:r>
      <w:r>
        <w:rPr>
          <w:rFonts w:ascii="Calibri" w:eastAsia="Calibri" w:hAnsi="Calibri" w:cs="Calibri"/>
          <w:sz w:val="22"/>
          <w:szCs w:val="22"/>
        </w:rPr>
        <w:t>entidad × proveedor o entidad × categoría (para recomendación y para SVD).</w:t>
      </w:r>
    </w:p>
    <w:p w14:paraId="5E785C75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Un grafo entre nodos: de </w:t>
      </w:r>
      <w:proofErr w:type="spellStart"/>
      <w:r>
        <w:rPr>
          <w:rFonts w:ascii="Calibri" w:eastAsia="Calibri" w:hAnsi="Calibri" w:cs="Calibri"/>
          <w:sz w:val="22"/>
          <w:szCs w:val="22"/>
        </w:rPr>
        <w:t>co-participación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(proveedores/entidades) o, de forma sencilla, un grafo KNN sobre los vectores (para enlaces, comunidades y representación).</w:t>
      </w:r>
    </w:p>
    <w:p w14:paraId="5E785C76" w14:textId="77777777" w:rsidR="009F5601" w:rsidRDefault="00D655FD">
      <w:pPr>
        <w:spacing w:after="140"/>
        <w:jc w:val="both"/>
      </w:pPr>
      <w:r>
        <w:rPr>
          <w:rFonts w:ascii="Calibri" w:eastAsia="Calibri" w:hAnsi="Calibri" w:cs="Calibri"/>
          <w:sz w:val="22"/>
          <w:szCs w:val="22"/>
        </w:rPr>
        <w:t>Todos los equip</w:t>
      </w:r>
      <w:r>
        <w:rPr>
          <w:rFonts w:ascii="Calibri" w:eastAsia="Calibri" w:hAnsi="Calibri" w:cs="Calibri"/>
          <w:sz w:val="22"/>
          <w:szCs w:val="22"/>
        </w:rPr>
        <w:t xml:space="preserve">os parten de este </w:t>
      </w:r>
      <w:proofErr w:type="spellStart"/>
      <w:r>
        <w:rPr>
          <w:rFonts w:ascii="Calibri" w:eastAsia="Calibri" w:hAnsi="Calibri" w:cs="Calibri"/>
          <w:sz w:val="22"/>
          <w:szCs w:val="22"/>
        </w:rPr>
        <w:t>dataset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(uso libre bajo licencia CC BY 4.0; debe citarse la fuente). Un equipo puede, en su lugar, proponer otro </w:t>
      </w:r>
      <w:proofErr w:type="spellStart"/>
      <w:r>
        <w:rPr>
          <w:rFonts w:ascii="Calibri" w:eastAsia="Calibri" w:hAnsi="Calibri" w:cs="Calibri"/>
          <w:sz w:val="22"/>
          <w:szCs w:val="22"/>
        </w:rPr>
        <w:t>dataset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datos públicos siempre que permita aplicar todas las técnicas solicitadas: es decir, construir los tres objetos an</w:t>
      </w:r>
      <w:r>
        <w:rPr>
          <w:rFonts w:ascii="Calibri" w:eastAsia="Calibri" w:hAnsi="Calibri" w:cs="Calibri"/>
          <w:sz w:val="22"/>
          <w:szCs w:val="22"/>
        </w:rPr>
        <w:t xml:space="preserve">teriores, teniendo presente que el grafo puede generarse directamente con un grafo KNN sobre los vectores cuando no exista una relación de </w:t>
      </w:r>
      <w:proofErr w:type="spellStart"/>
      <w:r>
        <w:rPr>
          <w:rFonts w:ascii="Calibri" w:eastAsia="Calibri" w:hAnsi="Calibri" w:cs="Calibri"/>
          <w:sz w:val="22"/>
          <w:szCs w:val="22"/>
        </w:rPr>
        <w:t>co-participación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evidente. En cualquier caso, cada equipo debe formular dos o tres preguntas de interés propias —no m</w:t>
      </w:r>
      <w:r>
        <w:rPr>
          <w:rFonts w:ascii="Calibri" w:eastAsia="Calibri" w:hAnsi="Calibri" w:cs="Calibri"/>
          <w:sz w:val="22"/>
          <w:szCs w:val="22"/>
        </w:rPr>
        <w:t>eramente descriptivas— y explicar su relevancia (concentración de mercado, segmentos de proveedores, actores centrales, patrones regionales, u otras).</w:t>
      </w:r>
    </w:p>
    <w:p w14:paraId="5E785C77" w14:textId="77777777" w:rsidR="009F5601" w:rsidRDefault="00D655FD">
      <w:pPr>
        <w:spacing w:before="2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Fuentes de datos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0"/>
        <w:gridCol w:w="3921"/>
        <w:gridCol w:w="2919"/>
      </w:tblGrid>
      <w:tr w:rsidR="009F5601" w14:paraId="5E785C7B" w14:textId="77777777">
        <w:tc>
          <w:tcPr>
            <w:tcW w:w="2550" w:type="dxa"/>
            <w:shd w:val="clear" w:color="auto" w:fill="1F3864"/>
            <w:vAlign w:val="center"/>
          </w:tcPr>
          <w:p w14:paraId="5E785C78" w14:textId="77777777" w:rsidR="009F5601" w:rsidRDefault="00D655FD">
            <w:r>
              <w:rPr>
                <w:rFonts w:ascii="Calibri" w:eastAsia="Calibri" w:hAnsi="Calibri" w:cs="Calibri"/>
                <w:b/>
                <w:bCs/>
                <w:color w:val="FFFFFF"/>
              </w:rPr>
              <w:t>Fuente</w:t>
            </w:r>
          </w:p>
        </w:tc>
        <w:tc>
          <w:tcPr>
            <w:tcW w:w="4000" w:type="dxa"/>
            <w:shd w:val="clear" w:color="auto" w:fill="1F3864"/>
            <w:vAlign w:val="center"/>
          </w:tcPr>
          <w:p w14:paraId="5E785C79" w14:textId="77777777" w:rsidR="009F5601" w:rsidRDefault="00D655FD">
            <w:r>
              <w:rPr>
                <w:rFonts w:ascii="Calibri" w:eastAsia="Calibri" w:hAnsi="Calibri" w:cs="Calibri"/>
                <w:b/>
                <w:bCs/>
                <w:color w:val="FFFFFF"/>
              </w:rPr>
              <w:t>Qué contiene / por qué sirve</w:t>
            </w:r>
          </w:p>
        </w:tc>
        <w:tc>
          <w:tcPr>
            <w:tcW w:w="2800" w:type="dxa"/>
            <w:shd w:val="clear" w:color="auto" w:fill="1F3864"/>
            <w:vAlign w:val="center"/>
          </w:tcPr>
          <w:p w14:paraId="5E785C7A" w14:textId="77777777" w:rsidR="009F5601" w:rsidRDefault="00D655FD">
            <w:r>
              <w:rPr>
                <w:rFonts w:ascii="Calibri" w:eastAsia="Calibri" w:hAnsi="Calibri" w:cs="Calibri"/>
                <w:b/>
                <w:bCs/>
                <w:color w:val="FFFFFF"/>
              </w:rPr>
              <w:t>Enlace</w:t>
            </w:r>
          </w:p>
        </w:tc>
      </w:tr>
      <w:tr w:rsidR="009F5601" w14:paraId="5E785C7F" w14:textId="77777777">
        <w:tc>
          <w:tcPr>
            <w:tcW w:w="2550" w:type="dxa"/>
            <w:vAlign w:val="center"/>
          </w:tcPr>
          <w:p w14:paraId="5E785C7C" w14:textId="77777777" w:rsidR="009F5601" w:rsidRDefault="00D655FD">
            <w:r>
              <w:rPr>
                <w:rFonts w:ascii="Calibri" w:eastAsia="Calibri" w:hAnsi="Calibri" w:cs="Calibri"/>
                <w:b/>
                <w:bCs/>
                <w:color w:val="000000"/>
              </w:rPr>
              <w:t>Registro OCDS – Perú (OECE/OSCE)</w:t>
            </w:r>
          </w:p>
        </w:tc>
        <w:tc>
          <w:tcPr>
            <w:tcW w:w="4000" w:type="dxa"/>
            <w:vAlign w:val="center"/>
          </w:tcPr>
          <w:p w14:paraId="5E785C7D" w14:textId="77777777" w:rsidR="009F5601" w:rsidRDefault="00D655FD">
            <w:proofErr w:type="spellStart"/>
            <w:r>
              <w:rPr>
                <w:rFonts w:ascii="Calibri" w:eastAsia="Calibri" w:hAnsi="Calibri" w:cs="Calibri"/>
                <w:color w:val="000000"/>
              </w:rPr>
              <w:t>Dataset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base del proyecto: procesos de contratación (entidades, proveedores, ítems, montos, fechas) en JSON/Excel/CSV, por año o histórico.</w:t>
            </w:r>
          </w:p>
        </w:tc>
        <w:tc>
          <w:tcPr>
            <w:tcW w:w="2800" w:type="dxa"/>
            <w:vAlign w:val="center"/>
          </w:tcPr>
          <w:p w14:paraId="5E785C7E" w14:textId="77777777" w:rsidR="009F5601" w:rsidRDefault="00D655FD">
            <w:hyperlink r:id="rId5" w:history="1">
              <w:r>
                <w:rPr>
                  <w:rFonts w:ascii="Calibri" w:eastAsia="Calibri" w:hAnsi="Calibri" w:cs="Calibri"/>
                  <w:color w:val="1155CC"/>
                  <w:sz w:val="16"/>
                  <w:szCs w:val="16"/>
                  <w:u w:val="single"/>
                </w:rPr>
                <w:t>https://data.open-contracting.org/es/publication/135</w:t>
              </w:r>
            </w:hyperlink>
          </w:p>
        </w:tc>
      </w:tr>
      <w:tr w:rsidR="009F5601" w14:paraId="5E785C83" w14:textId="77777777">
        <w:tc>
          <w:tcPr>
            <w:tcW w:w="2550" w:type="dxa"/>
            <w:vAlign w:val="center"/>
          </w:tcPr>
          <w:p w14:paraId="5E785C80" w14:textId="77777777" w:rsidR="009F5601" w:rsidRDefault="00D655FD">
            <w:r>
              <w:rPr>
                <w:rFonts w:ascii="Calibri" w:eastAsia="Calibri" w:hAnsi="Calibri" w:cs="Calibri"/>
                <w:b/>
                <w:bCs/>
                <w:color w:val="000000"/>
              </w:rPr>
              <w:t>Contrataciones Abiertas (OECE)</w:t>
            </w:r>
          </w:p>
        </w:tc>
        <w:tc>
          <w:tcPr>
            <w:tcW w:w="4000" w:type="dxa"/>
            <w:vAlign w:val="center"/>
          </w:tcPr>
          <w:p w14:paraId="5E785C81" w14:textId="77777777" w:rsidR="009F5601" w:rsidRDefault="00D655FD">
            <w:r>
              <w:rPr>
                <w:rFonts w:ascii="Calibri" w:eastAsia="Calibri" w:hAnsi="Calibri" w:cs="Calibri"/>
                <w:color w:val="000000"/>
              </w:rPr>
              <w:t>Portal con buscador, tableros y API sobre los mismos datos del SEACE en estándar OCDS.</w:t>
            </w:r>
          </w:p>
        </w:tc>
        <w:tc>
          <w:tcPr>
            <w:tcW w:w="2800" w:type="dxa"/>
            <w:vAlign w:val="center"/>
          </w:tcPr>
          <w:p w14:paraId="5E785C82" w14:textId="77777777" w:rsidR="009F5601" w:rsidRDefault="00D655FD">
            <w:hyperlink r:id="rId6" w:history="1">
              <w:r>
                <w:rPr>
                  <w:rFonts w:ascii="Calibri" w:eastAsia="Calibri" w:hAnsi="Calibri" w:cs="Calibri"/>
                  <w:color w:val="1155CC"/>
                  <w:sz w:val="16"/>
                  <w:szCs w:val="16"/>
                  <w:u w:val="single"/>
                </w:rPr>
                <w:t>https://contratacionesabiertas.oece.gob.pe/</w:t>
              </w:r>
            </w:hyperlink>
          </w:p>
        </w:tc>
      </w:tr>
      <w:tr w:rsidR="009F5601" w14:paraId="5E785C87" w14:textId="77777777">
        <w:tc>
          <w:tcPr>
            <w:tcW w:w="2550" w:type="dxa"/>
            <w:vAlign w:val="center"/>
          </w:tcPr>
          <w:p w14:paraId="5E785C84" w14:textId="77777777" w:rsidR="009F5601" w:rsidRDefault="00D655FD">
            <w:r>
              <w:rPr>
                <w:rFonts w:ascii="Calibri" w:eastAsia="Calibri" w:hAnsi="Calibri" w:cs="Calibri"/>
                <w:b/>
                <w:bCs/>
                <w:color w:val="000000"/>
              </w:rPr>
              <w:t>Plataforma Nacional de Datos Abie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>rtos</w:t>
            </w:r>
          </w:p>
        </w:tc>
        <w:tc>
          <w:tcPr>
            <w:tcW w:w="4000" w:type="dxa"/>
            <w:vAlign w:val="center"/>
          </w:tcPr>
          <w:p w14:paraId="5E785C85" w14:textId="77777777" w:rsidR="009F5601" w:rsidRDefault="00D655FD">
            <w:r>
              <w:rPr>
                <w:rFonts w:ascii="Calibri" w:eastAsia="Calibri" w:hAnsi="Calibri" w:cs="Calibri"/>
                <w:color w:val="000000"/>
              </w:rPr>
              <w:t>Catálogo central del Estado, por si un equipo desea enriquecer con otra fuente.</w:t>
            </w:r>
          </w:p>
        </w:tc>
        <w:tc>
          <w:tcPr>
            <w:tcW w:w="2800" w:type="dxa"/>
            <w:vAlign w:val="center"/>
          </w:tcPr>
          <w:p w14:paraId="5E785C86" w14:textId="77777777" w:rsidR="009F5601" w:rsidRDefault="00D655FD">
            <w:hyperlink r:id="rId7" w:history="1">
              <w:r>
                <w:rPr>
                  <w:rFonts w:ascii="Calibri" w:eastAsia="Calibri" w:hAnsi="Calibri" w:cs="Calibri"/>
                  <w:color w:val="1155CC"/>
                  <w:sz w:val="16"/>
                  <w:szCs w:val="16"/>
                  <w:u w:val="single"/>
                </w:rPr>
                <w:t>https://www.datosabiertos.gob.pe/</w:t>
              </w:r>
            </w:hyperlink>
          </w:p>
        </w:tc>
      </w:tr>
      <w:tr w:rsidR="009F5601" w14:paraId="5E785C8B" w14:textId="77777777">
        <w:tc>
          <w:tcPr>
            <w:tcW w:w="2550" w:type="dxa"/>
            <w:vAlign w:val="center"/>
          </w:tcPr>
          <w:p w14:paraId="5E785C88" w14:textId="77777777" w:rsidR="009F5601" w:rsidRDefault="00D655FD">
            <w:r>
              <w:rPr>
                <w:rFonts w:ascii="Calibri" w:eastAsia="Calibri" w:hAnsi="Calibri" w:cs="Calibri"/>
                <w:b/>
                <w:bCs/>
                <w:color w:val="000000"/>
              </w:rPr>
              <w:t>INEI – Sistema de Microdatos</w:t>
            </w:r>
          </w:p>
        </w:tc>
        <w:tc>
          <w:tcPr>
            <w:tcW w:w="4000" w:type="dxa"/>
            <w:vAlign w:val="center"/>
          </w:tcPr>
          <w:p w14:paraId="5E785C89" w14:textId="77777777" w:rsidR="009F5601" w:rsidRDefault="00D655FD">
            <w:r>
              <w:rPr>
                <w:rFonts w:ascii="Calibri" w:eastAsia="Calibri" w:hAnsi="Calibri" w:cs="Calibri"/>
                <w:color w:val="000000"/>
              </w:rPr>
              <w:t>Encuestas nacionales para cruces socioeconómicos o geográ</w:t>
            </w:r>
            <w:r>
              <w:rPr>
                <w:rFonts w:ascii="Calibri" w:eastAsia="Calibri" w:hAnsi="Calibri" w:cs="Calibri"/>
                <w:color w:val="000000"/>
              </w:rPr>
              <w:t>ficos complementarios.</w:t>
            </w:r>
          </w:p>
        </w:tc>
        <w:tc>
          <w:tcPr>
            <w:tcW w:w="2800" w:type="dxa"/>
            <w:vAlign w:val="center"/>
          </w:tcPr>
          <w:p w14:paraId="5E785C8A" w14:textId="77777777" w:rsidR="009F5601" w:rsidRDefault="00D655FD">
            <w:hyperlink r:id="rId8" w:history="1">
              <w:r>
                <w:rPr>
                  <w:rFonts w:ascii="Calibri" w:eastAsia="Calibri" w:hAnsi="Calibri" w:cs="Calibri"/>
                  <w:color w:val="1155CC"/>
                  <w:sz w:val="16"/>
                  <w:szCs w:val="16"/>
                  <w:u w:val="single"/>
                </w:rPr>
                <w:t>https://proyectos.inei.gob.pe/microdatos/</w:t>
              </w:r>
            </w:hyperlink>
          </w:p>
        </w:tc>
      </w:tr>
      <w:tr w:rsidR="009F5601" w14:paraId="5E785C8F" w14:textId="77777777">
        <w:tc>
          <w:tcPr>
            <w:tcW w:w="2550" w:type="dxa"/>
            <w:vAlign w:val="center"/>
          </w:tcPr>
          <w:p w14:paraId="5E785C8C" w14:textId="77777777" w:rsidR="009F5601" w:rsidRDefault="00D655FD">
            <w:r>
              <w:rPr>
                <w:rFonts w:ascii="Calibri" w:eastAsia="Calibri" w:hAnsi="Calibri" w:cs="Calibri"/>
                <w:b/>
                <w:bCs/>
                <w:color w:val="000000"/>
              </w:rPr>
              <w:t>MEF – Transparencia Económica</w:t>
            </w:r>
          </w:p>
        </w:tc>
        <w:tc>
          <w:tcPr>
            <w:tcW w:w="4000" w:type="dxa"/>
            <w:vAlign w:val="center"/>
          </w:tcPr>
          <w:p w14:paraId="5E785C8D" w14:textId="77777777" w:rsidR="009F5601" w:rsidRDefault="00D655FD">
            <w:r>
              <w:rPr>
                <w:rFonts w:ascii="Calibri" w:eastAsia="Calibri" w:hAnsi="Calibri" w:cs="Calibri"/>
                <w:color w:val="000000"/>
              </w:rPr>
              <w:t>Ejecución presupuestal, útil para contexto de gasto por entidad y jurisdicción.</w:t>
            </w:r>
          </w:p>
        </w:tc>
        <w:tc>
          <w:tcPr>
            <w:tcW w:w="2800" w:type="dxa"/>
            <w:vAlign w:val="center"/>
          </w:tcPr>
          <w:p w14:paraId="5E785C8E" w14:textId="77777777" w:rsidR="009F5601" w:rsidRDefault="00D655FD">
            <w:hyperlink r:id="rId9" w:history="1">
              <w:r>
                <w:rPr>
                  <w:rFonts w:ascii="Calibri" w:eastAsia="Calibri" w:hAnsi="Calibri" w:cs="Calibri"/>
                  <w:color w:val="1155CC"/>
                  <w:sz w:val="16"/>
                  <w:szCs w:val="16"/>
                  <w:u w:val="single"/>
                </w:rPr>
                <w:t>https://www.mef.gob.pe/es/presentacion</w:t>
              </w:r>
            </w:hyperlink>
          </w:p>
        </w:tc>
      </w:tr>
    </w:tbl>
    <w:p w14:paraId="5E785C90" w14:textId="77777777" w:rsidR="009F5601" w:rsidRDefault="00D655FD">
      <w:pPr>
        <w:spacing w:before="100" w:after="200"/>
        <w:jc w:val="both"/>
      </w:pPr>
      <w:r>
        <w:rPr>
          <w:rFonts w:ascii="Calibri" w:eastAsia="Calibri" w:hAnsi="Calibri" w:cs="Calibri"/>
          <w:i/>
          <w:iCs/>
          <w:color w:val="555555"/>
        </w:rPr>
        <w:t>Se debe citar explícitamente la fuente utilizada. Para descargas por año, el histórico completo supera los 1,9 GB comprimidos; se recomienda empezar por uno o pocos años representativ</w:t>
      </w:r>
      <w:r>
        <w:rPr>
          <w:rFonts w:ascii="Calibri" w:eastAsia="Calibri" w:hAnsi="Calibri" w:cs="Calibri"/>
          <w:i/>
          <w:iCs/>
          <w:color w:val="555555"/>
        </w:rPr>
        <w:t>os.</w:t>
      </w:r>
    </w:p>
    <w:p w14:paraId="5E785C91" w14:textId="77777777" w:rsidR="009F5601" w:rsidRDefault="00D655FD">
      <w:pPr>
        <w:pBdr>
          <w:bottom w:val="single" w:sz="6" w:space="4" w:color="1F3864"/>
        </w:pBdr>
        <w:spacing w:before="320" w:after="1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CONSIDERACIONES CLAVE DEL DATASET</w:t>
      </w:r>
    </w:p>
    <w:p w14:paraId="5E785C92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Resolución de entidades: la fuente advierte identificadores de proveedores duplicados; conviene </w:t>
      </w:r>
      <w:proofErr w:type="spellStart"/>
      <w:r>
        <w:rPr>
          <w:rFonts w:ascii="Calibri" w:eastAsia="Calibri" w:hAnsi="Calibri" w:cs="Calibri"/>
          <w:sz w:val="22"/>
          <w:szCs w:val="22"/>
        </w:rPr>
        <w:t>deduplicar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antes de construir los grafos (pueden reutilizar </w:t>
      </w:r>
      <w:proofErr w:type="spellStart"/>
      <w:r>
        <w:rPr>
          <w:rFonts w:ascii="Calibri" w:eastAsia="Calibri" w:hAnsi="Calibri" w:cs="Calibri"/>
          <w:sz w:val="22"/>
          <w:szCs w:val="22"/>
        </w:rPr>
        <w:t>MinHash</w:t>
      </w:r>
      <w:proofErr w:type="spellEnd"/>
      <w:r>
        <w:rPr>
          <w:rFonts w:ascii="Calibri" w:eastAsia="Calibri" w:hAnsi="Calibri" w:cs="Calibri"/>
          <w:sz w:val="22"/>
          <w:szCs w:val="22"/>
        </w:rPr>
        <w:t>/LSH del Proyecto 1), o los nodos se fragmentarán.</w:t>
      </w:r>
    </w:p>
    <w:p w14:paraId="5E785C93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Enlaces incompletos: existen adjudicaciones sin contrato vinculado y viceversa; el equipo debe decidir y justificar cómo construye las aristas.</w:t>
      </w:r>
    </w:p>
    <w:p w14:paraId="5E785C94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Escalabilidad: con millones de nodos, algunos métodos (</w:t>
      </w:r>
      <w:proofErr w:type="spellStart"/>
      <w:r>
        <w:rPr>
          <w:rFonts w:ascii="Calibri" w:eastAsia="Calibri" w:hAnsi="Calibri" w:cs="Calibri"/>
          <w:sz w:val="22"/>
          <w:szCs w:val="22"/>
        </w:rPr>
        <w:t>Girvan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-Newman, </w:t>
      </w:r>
      <w:proofErr w:type="spellStart"/>
      <w:r>
        <w:rPr>
          <w:rFonts w:ascii="Calibri" w:eastAsia="Calibri" w:hAnsi="Calibri" w:cs="Calibri"/>
          <w:sz w:val="22"/>
          <w:szCs w:val="22"/>
        </w:rPr>
        <w:t>clustering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espectral exacto) solo son viab</w:t>
      </w:r>
      <w:r>
        <w:rPr>
          <w:rFonts w:ascii="Calibri" w:eastAsia="Calibri" w:hAnsi="Calibri" w:cs="Calibri"/>
          <w:sz w:val="22"/>
          <w:szCs w:val="22"/>
        </w:rPr>
        <w:t xml:space="preserve">les sobre un subgrafo representativo; variantes escalables (p. ej. </w:t>
      </w:r>
      <w:proofErr w:type="spellStart"/>
      <w:r>
        <w:rPr>
          <w:rFonts w:ascii="Calibri" w:eastAsia="Calibri" w:hAnsi="Calibri" w:cs="Calibri"/>
          <w:sz w:val="22"/>
          <w:szCs w:val="22"/>
        </w:rPr>
        <w:t>GraphFrames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BigCLAM</w:t>
      </w:r>
      <w:proofErr w:type="spellEnd"/>
      <w:r>
        <w:rPr>
          <w:rFonts w:ascii="Calibri" w:eastAsia="Calibri" w:hAnsi="Calibri" w:cs="Calibri"/>
          <w:sz w:val="22"/>
          <w:szCs w:val="22"/>
        </w:rPr>
        <w:t>) permiten mayor tamaño. Comparar ambos es parte del análisis.</w:t>
      </w:r>
    </w:p>
    <w:p w14:paraId="5E785C95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Ética: los hallazgos sobre comunidades o enlaces pueden sugerir colusión; deben presentarse como señales d</w:t>
      </w:r>
      <w:r>
        <w:rPr>
          <w:rFonts w:ascii="Calibri" w:eastAsia="Calibri" w:hAnsi="Calibri" w:cs="Calibri"/>
          <w:sz w:val="22"/>
          <w:szCs w:val="22"/>
        </w:rPr>
        <w:t>escriptivas para posible revisión, nunca como acusaciones.</w:t>
      </w:r>
    </w:p>
    <w:p w14:paraId="5E785C96" w14:textId="77777777" w:rsidR="009F5601" w:rsidRDefault="00D655FD">
      <w:pPr>
        <w:pBdr>
          <w:bottom w:val="single" w:sz="6" w:space="4" w:color="1F3864"/>
        </w:pBdr>
        <w:spacing w:before="320" w:after="1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PARTE I. TRANSFORMACIÓN Y CONSTRUCCIÓN DE GRAFOS Y MATRICES CON SPARK</w:t>
      </w:r>
    </w:p>
    <w:p w14:paraId="5E785C97" w14:textId="77777777" w:rsidR="009F5601" w:rsidRDefault="00D655FD">
      <w:pPr>
        <w:spacing w:after="120"/>
      </w:pPr>
      <w:r>
        <w:rPr>
          <w:rFonts w:ascii="Calibri" w:eastAsia="Calibri" w:hAnsi="Calibri" w:cs="Calibri"/>
          <w:b/>
          <w:bCs/>
          <w:color w:val="C00000"/>
        </w:rPr>
        <w:t xml:space="preserve">Uso de Spark: </w:t>
      </w:r>
      <w:r>
        <w:rPr>
          <w:rFonts w:ascii="Calibri" w:eastAsia="Calibri" w:hAnsi="Calibri" w:cs="Calibri"/>
          <w:color w:val="C00000"/>
        </w:rPr>
        <w:t>obligatorio en toda esta parte.</w:t>
      </w:r>
    </w:p>
    <w:p w14:paraId="5E785C98" w14:textId="77777777" w:rsidR="009F5601" w:rsidRDefault="00D655FD">
      <w:pPr>
        <w:spacing w:after="140"/>
        <w:jc w:val="both"/>
      </w:pPr>
      <w:r>
        <w:rPr>
          <w:rFonts w:ascii="Calibri" w:eastAsia="Calibri" w:hAnsi="Calibri" w:cs="Calibri"/>
          <w:sz w:val="22"/>
          <w:szCs w:val="22"/>
        </w:rPr>
        <w:t>Objetivo: dejar lista, sobre Spark, la base relacional que alimentará a las demás</w:t>
      </w:r>
      <w:r>
        <w:rPr>
          <w:rFonts w:ascii="Calibri" w:eastAsia="Calibri" w:hAnsi="Calibri" w:cs="Calibri"/>
          <w:sz w:val="22"/>
          <w:szCs w:val="22"/>
        </w:rPr>
        <w:t xml:space="preserve"> partes.</w:t>
      </w:r>
    </w:p>
    <w:p w14:paraId="5E785C99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lastRenderedPageBreak/>
        <w:t>Aplanar y transformar los datos (OCDS en JSON o CSV relacional) al grano de análisis elegido. Se asume que la limpieza y el EDA ya fueron resueltos.</w:t>
      </w:r>
    </w:p>
    <w:p w14:paraId="5E785C9A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Abordar la resolución de entidades de proveedores/compradores (identificadores duplicados).</w:t>
      </w:r>
    </w:p>
    <w:p w14:paraId="5E785C9B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Constr</w:t>
      </w:r>
      <w:r>
        <w:rPr>
          <w:rFonts w:ascii="Calibri" w:eastAsia="Calibri" w:hAnsi="Calibri" w:cs="Calibri"/>
          <w:sz w:val="22"/>
          <w:szCs w:val="22"/>
        </w:rPr>
        <w:t xml:space="preserve">uir y exportar los artefactos base: vectores de características, la matriz de interacción y el grafo —por </w:t>
      </w:r>
      <w:proofErr w:type="spellStart"/>
      <w:r>
        <w:rPr>
          <w:rFonts w:ascii="Calibri" w:eastAsia="Calibri" w:hAnsi="Calibri" w:cs="Calibri"/>
          <w:sz w:val="22"/>
          <w:szCs w:val="22"/>
        </w:rPr>
        <w:t>co-participación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o, cuando convenga, un grafo KNN sobre los vectores— documentando el criterio de aristas.</w:t>
      </w:r>
    </w:p>
    <w:p w14:paraId="5E785C9C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Explicar el particionamiento y cómo afecta </w:t>
      </w:r>
      <w:r>
        <w:rPr>
          <w:rFonts w:ascii="Calibri" w:eastAsia="Calibri" w:hAnsi="Calibri" w:cs="Calibri"/>
          <w:sz w:val="22"/>
          <w:szCs w:val="22"/>
        </w:rPr>
        <w:t>al plan de ejecución.</w:t>
      </w:r>
    </w:p>
    <w:p w14:paraId="5E785C9D" w14:textId="77777777" w:rsidR="009F5601" w:rsidRDefault="00D655FD">
      <w:pPr>
        <w:pBdr>
          <w:bottom w:val="single" w:sz="6" w:space="4" w:color="1F3864"/>
        </w:pBdr>
        <w:spacing w:before="320" w:after="1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PARTE II. CLUSTERING Y DETECCIÓN DE ANOMALÍAS</w:t>
      </w:r>
    </w:p>
    <w:p w14:paraId="5E785C9E" w14:textId="742E3628" w:rsidR="009F5601" w:rsidRDefault="00D655FD">
      <w:pPr>
        <w:spacing w:after="120"/>
      </w:pPr>
      <w:r>
        <w:rPr>
          <w:rFonts w:ascii="Calibri" w:eastAsia="Calibri" w:hAnsi="Calibri" w:cs="Calibri"/>
          <w:b/>
          <w:bCs/>
          <w:color w:val="1F3864"/>
        </w:rPr>
        <w:t xml:space="preserve">Uso de </w:t>
      </w:r>
      <w:proofErr w:type="spellStart"/>
      <w:r>
        <w:rPr>
          <w:rFonts w:ascii="Calibri" w:eastAsia="Calibri" w:hAnsi="Calibri" w:cs="Calibri"/>
          <w:b/>
          <w:bCs/>
          <w:color w:val="1F3864"/>
        </w:rPr>
        <w:t>Spark</w:t>
      </w:r>
      <w:proofErr w:type="spellEnd"/>
      <w:r>
        <w:rPr>
          <w:rFonts w:ascii="Calibri" w:eastAsia="Calibri" w:hAnsi="Calibri" w:cs="Calibri"/>
          <w:b/>
          <w:bCs/>
          <w:color w:val="1F3864"/>
        </w:rPr>
        <w:t xml:space="preserve">: </w:t>
      </w:r>
      <w:r>
        <w:rPr>
          <w:rFonts w:ascii="Calibri" w:eastAsia="Calibri" w:hAnsi="Calibri" w:cs="Calibri"/>
          <w:color w:val="1F3864"/>
        </w:rPr>
        <w:t>opcional (</w:t>
      </w:r>
      <w:proofErr w:type="spellStart"/>
      <w:r>
        <w:rPr>
          <w:rFonts w:ascii="Calibri" w:eastAsia="Calibri" w:hAnsi="Calibri" w:cs="Calibri"/>
          <w:color w:val="1F3864"/>
        </w:rPr>
        <w:t>K</w:t>
      </w:r>
      <w:r w:rsidR="00853461">
        <w:rPr>
          <w:rFonts w:ascii="Calibri" w:eastAsia="Calibri" w:hAnsi="Calibri" w:cs="Calibri"/>
          <w:color w:val="1F3864"/>
        </w:rPr>
        <w:t>m</w:t>
      </w:r>
      <w:r>
        <w:rPr>
          <w:rFonts w:ascii="Calibri" w:eastAsia="Calibri" w:hAnsi="Calibri" w:cs="Calibri"/>
          <w:color w:val="1F3864"/>
        </w:rPr>
        <w:t>eans</w:t>
      </w:r>
      <w:proofErr w:type="spellEnd"/>
      <w:r>
        <w:rPr>
          <w:rFonts w:ascii="Calibri" w:eastAsia="Calibri" w:hAnsi="Calibri" w:cs="Calibri"/>
          <w:color w:val="1F3864"/>
        </w:rPr>
        <w:t xml:space="preserve"> de </w:t>
      </w:r>
      <w:proofErr w:type="spellStart"/>
      <w:r>
        <w:rPr>
          <w:rFonts w:ascii="Calibri" w:eastAsia="Calibri" w:hAnsi="Calibri" w:cs="Calibri"/>
          <w:color w:val="1F3864"/>
        </w:rPr>
        <w:t>Spark</w:t>
      </w:r>
      <w:proofErr w:type="spellEnd"/>
      <w:r>
        <w:rPr>
          <w:rFonts w:ascii="Calibri" w:eastAsia="Calibri" w:hAnsi="Calibri" w:cs="Calibri"/>
          <w:color w:val="1F3864"/>
        </w:rPr>
        <w:t xml:space="preserve"> </w:t>
      </w:r>
      <w:proofErr w:type="spellStart"/>
      <w:r>
        <w:rPr>
          <w:rFonts w:ascii="Calibri" w:eastAsia="Calibri" w:hAnsi="Calibri" w:cs="Calibri"/>
          <w:color w:val="1F3864"/>
        </w:rPr>
        <w:t>M</w:t>
      </w:r>
      <w:r w:rsidR="00853461">
        <w:rPr>
          <w:rFonts w:ascii="Calibri" w:eastAsia="Calibri" w:hAnsi="Calibri" w:cs="Calibri"/>
          <w:color w:val="1F3864"/>
        </w:rPr>
        <w:t>l</w:t>
      </w:r>
      <w:r>
        <w:rPr>
          <w:rFonts w:ascii="Calibri" w:eastAsia="Calibri" w:hAnsi="Calibri" w:cs="Calibri"/>
          <w:color w:val="1F3864"/>
        </w:rPr>
        <w:t>lib</w:t>
      </w:r>
      <w:proofErr w:type="spellEnd"/>
      <w:r>
        <w:rPr>
          <w:rFonts w:ascii="Calibri" w:eastAsia="Calibri" w:hAnsi="Calibri" w:cs="Calibri"/>
          <w:color w:val="1F3864"/>
        </w:rPr>
        <w:t>; densidad puede ir en local sobre una muestra).</w:t>
      </w:r>
    </w:p>
    <w:p w14:paraId="5E785C9F" w14:textId="77777777" w:rsidR="009F5601" w:rsidRDefault="00D655FD">
      <w:pPr>
        <w:spacing w:after="14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Objetivo: descubrir tipologías de proveedores o entidades y </w:t>
      </w:r>
      <w:proofErr w:type="spellStart"/>
      <w:r>
        <w:rPr>
          <w:rFonts w:ascii="Calibri" w:eastAsia="Calibri" w:hAnsi="Calibri" w:cs="Calibri"/>
          <w:sz w:val="22"/>
          <w:szCs w:val="22"/>
        </w:rPr>
        <w:t>outliers</w:t>
      </w:r>
      <w:proofErr w:type="spellEnd"/>
      <w:r>
        <w:rPr>
          <w:rFonts w:ascii="Calibri" w:eastAsia="Calibri" w:hAnsi="Calibri" w:cs="Calibri"/>
          <w:sz w:val="22"/>
          <w:szCs w:val="22"/>
        </w:rPr>
        <w:t>; el equipo define qué pat</w:t>
      </w:r>
      <w:r>
        <w:rPr>
          <w:rFonts w:ascii="Calibri" w:eastAsia="Calibri" w:hAnsi="Calibri" w:cs="Calibri"/>
          <w:sz w:val="22"/>
          <w:szCs w:val="22"/>
        </w:rPr>
        <w:t>rón busca.</w:t>
      </w:r>
    </w:p>
    <w:p w14:paraId="5E785CA0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Definir y justificar las características, su estandarización y —de ser útil— una reducción de dimensión previa (PCA o SVD).</w:t>
      </w:r>
    </w:p>
    <w:p w14:paraId="5E785CA1" w14:textId="626E0F8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Aplicar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 w:rsidR="00853461"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eans</w:t>
      </w:r>
      <w:proofErr w:type="spellEnd"/>
      <w:r>
        <w:rPr>
          <w:rFonts w:ascii="Calibri" w:eastAsia="Calibri" w:hAnsi="Calibri" w:cs="Calibri"/>
          <w:sz w:val="22"/>
          <w:szCs w:val="22"/>
        </w:rPr>
        <w:t>++ con un criterio para elegir k (codo, silueta u otro) y al menos un método basado en densidad (DBSCAN o H</w:t>
      </w:r>
      <w:r>
        <w:rPr>
          <w:rFonts w:ascii="Calibri" w:eastAsia="Calibri" w:hAnsi="Calibri" w:cs="Calibri"/>
          <w:sz w:val="22"/>
          <w:szCs w:val="22"/>
        </w:rPr>
        <w:t xml:space="preserve">DBSCAN); el jerárquico, al menos sobre una muestra, para obtener un </w:t>
      </w:r>
      <w:proofErr w:type="spellStart"/>
      <w:r>
        <w:rPr>
          <w:rFonts w:ascii="Calibri" w:eastAsia="Calibri" w:hAnsi="Calibri" w:cs="Calibri"/>
          <w:sz w:val="22"/>
          <w:szCs w:val="22"/>
        </w:rPr>
        <w:t>dendrograma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5E785CA2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 w:rsidRPr="00853461">
        <w:rPr>
          <w:rFonts w:ascii="Calibri" w:eastAsia="Calibri" w:hAnsi="Calibri" w:cs="Calibri"/>
          <w:i/>
          <w:sz w:val="22"/>
          <w:szCs w:val="22"/>
        </w:rPr>
        <w:t xml:space="preserve">Interpretar los clústeres y los </w:t>
      </w:r>
      <w:proofErr w:type="spellStart"/>
      <w:r w:rsidRPr="00853461">
        <w:rPr>
          <w:rFonts w:ascii="Calibri" w:eastAsia="Calibri" w:hAnsi="Calibri" w:cs="Calibri"/>
          <w:i/>
          <w:sz w:val="22"/>
          <w:szCs w:val="22"/>
        </w:rPr>
        <w:t>outliers</w:t>
      </w:r>
      <w:proofErr w:type="spellEnd"/>
      <w:r>
        <w:rPr>
          <w:rFonts w:ascii="Calibri" w:eastAsia="Calibri" w:hAnsi="Calibri" w:cs="Calibri"/>
          <w:sz w:val="22"/>
          <w:szCs w:val="22"/>
        </w:rPr>
        <w:t>: qué perfil de comportamiento o gasto representan.</w:t>
      </w:r>
    </w:p>
    <w:p w14:paraId="5E785CA3" w14:textId="77777777" w:rsidR="009F5601" w:rsidRDefault="00D655FD">
      <w:pPr>
        <w:pBdr>
          <w:bottom w:val="single" w:sz="6" w:space="4" w:color="1F3864"/>
        </w:pBdr>
        <w:spacing w:before="320" w:after="1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PARTE III. SISTEMAS DE RECOMENDACIÓN</w:t>
      </w:r>
    </w:p>
    <w:p w14:paraId="5E785CA4" w14:textId="1D25B28E" w:rsidR="009F5601" w:rsidRDefault="00D655FD">
      <w:pPr>
        <w:spacing w:after="120"/>
      </w:pPr>
      <w:r>
        <w:rPr>
          <w:rFonts w:ascii="Calibri" w:eastAsia="Calibri" w:hAnsi="Calibri" w:cs="Calibri"/>
          <w:b/>
          <w:bCs/>
          <w:color w:val="1F3864"/>
        </w:rPr>
        <w:t xml:space="preserve">Uso de Spark: </w:t>
      </w:r>
      <w:r>
        <w:rPr>
          <w:rFonts w:ascii="Calibri" w:eastAsia="Calibri" w:hAnsi="Calibri" w:cs="Calibri"/>
          <w:color w:val="1F3864"/>
        </w:rPr>
        <w:t>opcional (ALS está disponible en</w:t>
      </w:r>
      <w:r>
        <w:rPr>
          <w:rFonts w:ascii="Calibri" w:eastAsia="Calibri" w:hAnsi="Calibri" w:cs="Calibri"/>
          <w:color w:val="1F3864"/>
        </w:rPr>
        <w:t xml:space="preserve"> </w:t>
      </w:r>
      <w:proofErr w:type="spellStart"/>
      <w:r>
        <w:rPr>
          <w:rFonts w:ascii="Calibri" w:eastAsia="Calibri" w:hAnsi="Calibri" w:cs="Calibri"/>
          <w:color w:val="1F3864"/>
        </w:rPr>
        <w:t>Spark</w:t>
      </w:r>
      <w:proofErr w:type="spellEnd"/>
      <w:r>
        <w:rPr>
          <w:rFonts w:ascii="Calibri" w:eastAsia="Calibri" w:hAnsi="Calibri" w:cs="Calibri"/>
          <w:color w:val="1F3864"/>
        </w:rPr>
        <w:t xml:space="preserve"> </w:t>
      </w:r>
      <w:proofErr w:type="spellStart"/>
      <w:r>
        <w:rPr>
          <w:rFonts w:ascii="Calibri" w:eastAsia="Calibri" w:hAnsi="Calibri" w:cs="Calibri"/>
          <w:color w:val="1F3864"/>
        </w:rPr>
        <w:t>M</w:t>
      </w:r>
      <w:r w:rsidR="00853461">
        <w:rPr>
          <w:rFonts w:ascii="Calibri" w:eastAsia="Calibri" w:hAnsi="Calibri" w:cs="Calibri"/>
          <w:color w:val="1F3864"/>
        </w:rPr>
        <w:t>l</w:t>
      </w:r>
      <w:r>
        <w:rPr>
          <w:rFonts w:ascii="Calibri" w:eastAsia="Calibri" w:hAnsi="Calibri" w:cs="Calibri"/>
          <w:color w:val="1F3864"/>
        </w:rPr>
        <w:t>lib</w:t>
      </w:r>
      <w:proofErr w:type="spellEnd"/>
      <w:r>
        <w:rPr>
          <w:rFonts w:ascii="Calibri" w:eastAsia="Calibri" w:hAnsi="Calibri" w:cs="Calibri"/>
          <w:color w:val="1F3864"/>
        </w:rPr>
        <w:t>).</w:t>
      </w:r>
    </w:p>
    <w:p w14:paraId="5E785CA5" w14:textId="77777777" w:rsidR="009F5601" w:rsidRDefault="00D655FD">
      <w:pPr>
        <w:spacing w:after="140"/>
        <w:jc w:val="both"/>
      </w:pPr>
      <w:r>
        <w:rPr>
          <w:rFonts w:ascii="Calibri" w:eastAsia="Calibri" w:hAnsi="Calibri" w:cs="Calibri"/>
          <w:sz w:val="22"/>
          <w:szCs w:val="22"/>
        </w:rPr>
        <w:t>Objetivo: modelar la relación entidad–proveedor/categoría y analizar la estructura del mercado.</w:t>
      </w:r>
    </w:p>
    <w:p w14:paraId="5E785CA6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Construir la matriz de interacción implícita (señal, p. ej., número de contratos o monto).</w:t>
      </w:r>
    </w:p>
    <w:p w14:paraId="5E785CA7" w14:textId="0A01E214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Implementar al menos dos enfoques entre: filtrado cola</w:t>
      </w:r>
      <w:r>
        <w:rPr>
          <w:rFonts w:ascii="Calibri" w:eastAsia="Calibri" w:hAnsi="Calibri" w:cs="Calibri"/>
          <w:sz w:val="22"/>
          <w:szCs w:val="22"/>
        </w:rPr>
        <w:t>borativo de vecindario (</w:t>
      </w:r>
      <w:proofErr w:type="spellStart"/>
      <w:r>
        <w:rPr>
          <w:rFonts w:ascii="Calibri" w:eastAsia="Calibri" w:hAnsi="Calibri" w:cs="Calibri"/>
          <w:sz w:val="22"/>
          <w:szCs w:val="22"/>
        </w:rPr>
        <w:t>user-user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/ </w:t>
      </w:r>
      <w:r w:rsidR="00853461">
        <w:rPr>
          <w:rFonts w:ascii="Calibri" w:eastAsia="Calibri" w:hAnsi="Calibri" w:cs="Calibri"/>
          <w:sz w:val="22"/>
          <w:szCs w:val="22"/>
        </w:rPr>
        <w:pgNum/>
        <w:t>imp</w:t>
      </w:r>
      <w:r>
        <w:rPr>
          <w:rFonts w:ascii="Calibri" w:eastAsia="Calibri" w:hAnsi="Calibri" w:cs="Calibri"/>
          <w:sz w:val="22"/>
          <w:szCs w:val="22"/>
        </w:rPr>
        <w:t>-</w:t>
      </w:r>
      <w:proofErr w:type="spellStart"/>
      <w:r>
        <w:rPr>
          <w:rFonts w:ascii="Calibri" w:eastAsia="Calibri" w:hAnsi="Calibri" w:cs="Calibri"/>
          <w:sz w:val="22"/>
          <w:szCs w:val="22"/>
        </w:rPr>
        <w:t>item</w:t>
      </w:r>
      <w:proofErr w:type="spellEnd"/>
      <w:r>
        <w:rPr>
          <w:rFonts w:ascii="Calibri" w:eastAsia="Calibri" w:hAnsi="Calibri" w:cs="Calibri"/>
          <w:sz w:val="22"/>
          <w:szCs w:val="22"/>
        </w:rPr>
        <w:t>), basado en contenido (TF-IDF de descripciones o clasificación de ítems) y factores latentes (factorización de matrices / ALS).</w:t>
      </w:r>
    </w:p>
    <w:p w14:paraId="5E785CA8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Para el filtrado por contenido a gran escala pueden usar búsqueda aproximada de ve</w:t>
      </w:r>
      <w:r>
        <w:rPr>
          <w:rFonts w:ascii="Calibri" w:eastAsia="Calibri" w:hAnsi="Calibri" w:cs="Calibri"/>
          <w:sz w:val="22"/>
          <w:szCs w:val="22"/>
        </w:rPr>
        <w:t xml:space="preserve">cinos (IVF o HNSW) sobre los vectores de ítems; se valora ensamblar filtrado colaborativo y por contenido en un </w:t>
      </w:r>
      <w:proofErr w:type="spellStart"/>
      <w:r>
        <w:rPr>
          <w:rFonts w:ascii="Calibri" w:eastAsia="Calibri" w:hAnsi="Calibri" w:cs="Calibri"/>
          <w:sz w:val="22"/>
          <w:szCs w:val="22"/>
        </w:rPr>
        <w:t>recomendador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híbrido.</w:t>
      </w:r>
    </w:p>
    <w:p w14:paraId="5E785CA9" w14:textId="22190123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Evaluar (p. ej. </w:t>
      </w:r>
      <w:proofErr w:type="spellStart"/>
      <w:r w:rsidR="00853461"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old-out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métricas de ranking) e interpretar: proveedores sustitutos por categoría, afinidades inusuales. </w:t>
      </w:r>
      <w:r>
        <w:rPr>
          <w:rFonts w:ascii="Calibri" w:eastAsia="Calibri" w:hAnsi="Calibri" w:cs="Calibri"/>
          <w:sz w:val="22"/>
          <w:szCs w:val="22"/>
        </w:rPr>
        <w:t>Mantener el encuadre analítico, no prescriptivo sobre a quién contratar.</w:t>
      </w:r>
    </w:p>
    <w:p w14:paraId="5E785CAA" w14:textId="77777777" w:rsidR="009F5601" w:rsidRDefault="00D655FD">
      <w:pPr>
        <w:pBdr>
          <w:bottom w:val="single" w:sz="6" w:space="4" w:color="1F3864"/>
        </w:pBdr>
        <w:spacing w:before="320" w:after="1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PARTE IV. ANÁLISIS DE ENLACES: PAGERANK Y HITS</w:t>
      </w:r>
    </w:p>
    <w:p w14:paraId="5E785CAB" w14:textId="77777777" w:rsidR="009F5601" w:rsidRDefault="00D655FD">
      <w:pPr>
        <w:spacing w:after="120"/>
      </w:pPr>
      <w:r>
        <w:rPr>
          <w:rFonts w:ascii="Calibri" w:eastAsia="Calibri" w:hAnsi="Calibri" w:cs="Calibri"/>
          <w:b/>
          <w:bCs/>
          <w:color w:val="1F3864"/>
        </w:rPr>
        <w:t xml:space="preserve">Uso de </w:t>
      </w:r>
      <w:proofErr w:type="spellStart"/>
      <w:r>
        <w:rPr>
          <w:rFonts w:ascii="Calibri" w:eastAsia="Calibri" w:hAnsi="Calibri" w:cs="Calibri"/>
          <w:b/>
          <w:bCs/>
          <w:color w:val="1F3864"/>
        </w:rPr>
        <w:t>Spark</w:t>
      </w:r>
      <w:proofErr w:type="spellEnd"/>
      <w:r>
        <w:rPr>
          <w:rFonts w:ascii="Calibri" w:eastAsia="Calibri" w:hAnsi="Calibri" w:cs="Calibri"/>
          <w:b/>
          <w:bCs/>
          <w:color w:val="1F3864"/>
        </w:rPr>
        <w:t xml:space="preserve">: </w:t>
      </w:r>
      <w:r>
        <w:rPr>
          <w:rFonts w:ascii="Calibri" w:eastAsia="Calibri" w:hAnsi="Calibri" w:cs="Calibri"/>
          <w:color w:val="1F3864"/>
        </w:rPr>
        <w:t>recomendado (</w:t>
      </w:r>
      <w:proofErr w:type="spellStart"/>
      <w:r>
        <w:rPr>
          <w:rFonts w:ascii="Calibri" w:eastAsia="Calibri" w:hAnsi="Calibri" w:cs="Calibri"/>
          <w:color w:val="1F3864"/>
        </w:rPr>
        <w:t>GraphFrames</w:t>
      </w:r>
      <w:proofErr w:type="spellEnd"/>
      <w:r>
        <w:rPr>
          <w:rFonts w:ascii="Calibri" w:eastAsia="Calibri" w:hAnsi="Calibri" w:cs="Calibri"/>
          <w:color w:val="1F3864"/>
        </w:rPr>
        <w:t xml:space="preserve"> escala PageRank; subgrafos en local para HITS).</w:t>
      </w:r>
    </w:p>
    <w:p w14:paraId="5E785CAC" w14:textId="77777777" w:rsidR="009F5601" w:rsidRDefault="00D655FD">
      <w:pPr>
        <w:spacing w:after="14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Objetivo: identificar los actores más centrales </w:t>
      </w:r>
      <w:r>
        <w:rPr>
          <w:rFonts w:ascii="Calibri" w:eastAsia="Calibri" w:hAnsi="Calibri" w:cs="Calibri"/>
          <w:sz w:val="22"/>
          <w:szCs w:val="22"/>
        </w:rPr>
        <w:t>de la red de contrataciones.</w:t>
      </w:r>
    </w:p>
    <w:p w14:paraId="5E785CAD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Construir y justificar el grafo (definición de nodos y aristas).</w:t>
      </w:r>
    </w:p>
    <w:p w14:paraId="5E785CAE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Calcular PageRank (Google </w:t>
      </w:r>
      <w:proofErr w:type="spellStart"/>
      <w:r>
        <w:rPr>
          <w:rFonts w:ascii="Calibri" w:eastAsia="Calibri" w:hAnsi="Calibri" w:cs="Calibri"/>
          <w:sz w:val="22"/>
          <w:szCs w:val="22"/>
        </w:rPr>
        <w:t>matrix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 teletransporte) e interpretar a los proveedores o entidades de mayor rango; analizar la sensibilidad al factor de amortiguami</w:t>
      </w:r>
      <w:r>
        <w:rPr>
          <w:rFonts w:ascii="Calibri" w:eastAsia="Calibri" w:hAnsi="Calibri" w:cs="Calibri"/>
          <w:sz w:val="22"/>
          <w:szCs w:val="22"/>
        </w:rPr>
        <w:t>ento.</w:t>
      </w:r>
    </w:p>
    <w:p w14:paraId="5E785CAF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Aplicar HITS sobre el bipartito e interpretar </w:t>
      </w:r>
      <w:proofErr w:type="spellStart"/>
      <w:r>
        <w:rPr>
          <w:rFonts w:ascii="Calibri" w:eastAsia="Calibri" w:hAnsi="Calibri" w:cs="Calibri"/>
          <w:sz w:val="22"/>
          <w:szCs w:val="22"/>
        </w:rPr>
        <w:t>hubs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(compradores) y </w:t>
      </w:r>
      <w:proofErr w:type="spellStart"/>
      <w:r>
        <w:rPr>
          <w:rFonts w:ascii="Calibri" w:eastAsia="Calibri" w:hAnsi="Calibri" w:cs="Calibri"/>
          <w:sz w:val="22"/>
          <w:szCs w:val="22"/>
        </w:rPr>
        <w:t>authorities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(proveedores).</w:t>
      </w:r>
    </w:p>
    <w:p w14:paraId="5E785CB0" w14:textId="77777777" w:rsidR="009F5601" w:rsidRDefault="00D655FD">
      <w:pPr>
        <w:pBdr>
          <w:bottom w:val="single" w:sz="6" w:space="4" w:color="1F3864"/>
        </w:pBdr>
        <w:spacing w:before="320" w:after="1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PARTE V. GRAFOS Y DETECCIÓN DE COMUNIDADES</w:t>
      </w:r>
    </w:p>
    <w:p w14:paraId="5E785CB1" w14:textId="77777777" w:rsidR="009F5601" w:rsidRDefault="00D655FD">
      <w:pPr>
        <w:spacing w:after="120"/>
      </w:pPr>
      <w:r>
        <w:rPr>
          <w:rFonts w:ascii="Calibri" w:eastAsia="Calibri" w:hAnsi="Calibri" w:cs="Calibri"/>
          <w:b/>
          <w:bCs/>
          <w:color w:val="1F3864"/>
        </w:rPr>
        <w:lastRenderedPageBreak/>
        <w:t xml:space="preserve">Uso de Spark: </w:t>
      </w:r>
      <w:r>
        <w:rPr>
          <w:rFonts w:ascii="Calibri" w:eastAsia="Calibri" w:hAnsi="Calibri" w:cs="Calibri"/>
          <w:color w:val="1F3864"/>
        </w:rPr>
        <w:t>opcional (métodos exactos sobre subgrafo; variantes escalables sobre el grafo completo).</w:t>
      </w:r>
    </w:p>
    <w:p w14:paraId="5E785CB2" w14:textId="77777777" w:rsidR="009F5601" w:rsidRDefault="00D655FD">
      <w:pPr>
        <w:spacing w:after="14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Objetivo: </w:t>
      </w:r>
      <w:r>
        <w:rPr>
          <w:rFonts w:ascii="Calibri" w:eastAsia="Calibri" w:hAnsi="Calibri" w:cs="Calibri"/>
          <w:sz w:val="22"/>
          <w:szCs w:val="22"/>
        </w:rPr>
        <w:t>segmentar el mercado en comunidades y evaluar su calidad.</w:t>
      </w:r>
    </w:p>
    <w:p w14:paraId="5E785CB3" w14:textId="17032408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Aplicar al menos un método de partición (</w:t>
      </w:r>
      <w:proofErr w:type="spellStart"/>
      <w:r>
        <w:rPr>
          <w:rFonts w:ascii="Calibri" w:eastAsia="Calibri" w:hAnsi="Calibri" w:cs="Calibri"/>
          <w:sz w:val="22"/>
          <w:szCs w:val="22"/>
        </w:rPr>
        <w:t>Girvan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-Newman / </w:t>
      </w:r>
      <w:r w:rsidR="00853461">
        <w:rPr>
          <w:rFonts w:ascii="Calibri" w:eastAsia="Calibri" w:hAnsi="Calibri" w:cs="Calibri"/>
          <w:sz w:val="22"/>
          <w:szCs w:val="22"/>
        </w:rPr>
        <w:pgNum/>
        <w:t>imp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betweenness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 </w:t>
      </w:r>
      <w:proofErr w:type="spellStart"/>
      <w:r>
        <w:rPr>
          <w:rFonts w:ascii="Calibri" w:eastAsia="Calibri" w:hAnsi="Calibri" w:cs="Calibri"/>
          <w:sz w:val="22"/>
          <w:szCs w:val="22"/>
        </w:rPr>
        <w:t>clustering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espectral) sobre un subgrafo manejable, evaluando con modularidad Q.</w:t>
      </w:r>
    </w:p>
    <w:p w14:paraId="5E785CB4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Abordar comunidades solapadas con AGM o </w:t>
      </w:r>
      <w:proofErr w:type="spellStart"/>
      <w:r>
        <w:rPr>
          <w:rFonts w:ascii="Calibri" w:eastAsia="Calibri" w:hAnsi="Calibri" w:cs="Calibri"/>
          <w:sz w:val="22"/>
          <w:szCs w:val="22"/>
        </w:rPr>
        <w:t>Bi</w:t>
      </w:r>
      <w:r>
        <w:rPr>
          <w:rFonts w:ascii="Calibri" w:eastAsia="Calibri" w:hAnsi="Calibri" w:cs="Calibri"/>
          <w:sz w:val="22"/>
          <w:szCs w:val="22"/>
        </w:rPr>
        <w:t>gCLAM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(al menos sobre un subgrafo), dado que un proveedor suele participar en varios mercados o consorcios.</w:t>
      </w:r>
    </w:p>
    <w:p w14:paraId="5E785CB5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Discutir la escalabilidad: por qué los métodos exactos exigen submuestra y qué variantes permiten mayor escala.</w:t>
      </w:r>
    </w:p>
    <w:p w14:paraId="5E785CB6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Interpretar las comunidades (mercado</w:t>
      </w:r>
      <w:r>
        <w:rPr>
          <w:rFonts w:ascii="Calibri" w:eastAsia="Calibri" w:hAnsi="Calibri" w:cs="Calibri"/>
          <w:sz w:val="22"/>
          <w:szCs w:val="22"/>
        </w:rPr>
        <w:t>s, regiones, agrupaciones a revisar), con encuadre ético.</w:t>
      </w:r>
    </w:p>
    <w:p w14:paraId="5E785CB7" w14:textId="77777777" w:rsidR="009F5601" w:rsidRDefault="00D655FD">
      <w:pPr>
        <w:pBdr>
          <w:bottom w:val="single" w:sz="6" w:space="4" w:color="1F3864"/>
        </w:pBdr>
        <w:spacing w:before="320" w:after="1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PARTE VI. APRENDIZAJE DE REPRESENTACIÓN EN GRAFOS</w:t>
      </w:r>
    </w:p>
    <w:p w14:paraId="5E785CB8" w14:textId="77777777" w:rsidR="009F5601" w:rsidRDefault="00D655FD">
      <w:pPr>
        <w:spacing w:after="120"/>
      </w:pPr>
      <w:r>
        <w:rPr>
          <w:rFonts w:ascii="Calibri" w:eastAsia="Calibri" w:hAnsi="Calibri" w:cs="Calibri"/>
          <w:b/>
          <w:bCs/>
          <w:color w:val="1F3864"/>
        </w:rPr>
        <w:t xml:space="preserve">Uso de Spark: </w:t>
      </w:r>
      <w:r>
        <w:rPr>
          <w:rFonts w:ascii="Calibri" w:eastAsia="Calibri" w:hAnsi="Calibri" w:cs="Calibri"/>
          <w:color w:val="1F3864"/>
        </w:rPr>
        <w:t>opcional.</w:t>
      </w:r>
    </w:p>
    <w:p w14:paraId="5E785CB9" w14:textId="77777777" w:rsidR="009F5601" w:rsidRDefault="00D655FD">
      <w:pPr>
        <w:spacing w:after="140"/>
        <w:jc w:val="both"/>
      </w:pPr>
      <w:r>
        <w:rPr>
          <w:rFonts w:ascii="Calibri" w:eastAsia="Calibri" w:hAnsi="Calibri" w:cs="Calibri"/>
          <w:sz w:val="22"/>
          <w:szCs w:val="22"/>
        </w:rPr>
        <w:t>Objetivo: obtener representaciones vectoriales de los nodos y usarlas en una tarea analítica.</w:t>
      </w:r>
    </w:p>
    <w:p w14:paraId="5E785CBA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Construir </w:t>
      </w:r>
      <w:proofErr w:type="spellStart"/>
      <w:r>
        <w:rPr>
          <w:rFonts w:ascii="Calibri" w:eastAsia="Calibri" w:hAnsi="Calibri" w:cs="Calibri"/>
          <w:sz w:val="22"/>
          <w:szCs w:val="22"/>
        </w:rPr>
        <w:t>embeddings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nodos </w:t>
      </w:r>
      <w:r>
        <w:rPr>
          <w:rFonts w:ascii="Calibri" w:eastAsia="Calibri" w:hAnsi="Calibri" w:cs="Calibri"/>
          <w:sz w:val="22"/>
          <w:szCs w:val="22"/>
        </w:rPr>
        <w:t xml:space="preserve">con al menos una técnica: SVD como </w:t>
      </w:r>
      <w:proofErr w:type="spellStart"/>
      <w:r>
        <w:rPr>
          <w:rFonts w:ascii="Calibri" w:eastAsia="Calibri" w:hAnsi="Calibri" w:cs="Calibri"/>
          <w:sz w:val="22"/>
          <w:szCs w:val="22"/>
        </w:rPr>
        <w:t>embedder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Node2Vec o una GNN sobre el grafo (de </w:t>
      </w:r>
      <w:proofErr w:type="spellStart"/>
      <w:r>
        <w:rPr>
          <w:rFonts w:ascii="Calibri" w:eastAsia="Calibri" w:hAnsi="Calibri" w:cs="Calibri"/>
          <w:sz w:val="22"/>
          <w:szCs w:val="22"/>
        </w:rPr>
        <w:t>co-participación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 KNN).</w:t>
      </w:r>
    </w:p>
    <w:p w14:paraId="5E785CBB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Usar los </w:t>
      </w:r>
      <w:proofErr w:type="spellStart"/>
      <w:r>
        <w:rPr>
          <w:rFonts w:ascii="Calibri" w:eastAsia="Calibri" w:hAnsi="Calibri" w:cs="Calibri"/>
          <w:sz w:val="22"/>
          <w:szCs w:val="22"/>
        </w:rPr>
        <w:t>embeddings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 una tarea concreta: </w:t>
      </w:r>
      <w:proofErr w:type="spellStart"/>
      <w:r>
        <w:rPr>
          <w:rFonts w:ascii="Calibri" w:eastAsia="Calibri" w:hAnsi="Calibri" w:cs="Calibri"/>
          <w:sz w:val="22"/>
          <w:szCs w:val="22"/>
        </w:rPr>
        <w:t>clustering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 visualización (t-SNE/UMAP) de nodos, o predicción de enlaces.</w:t>
      </w:r>
    </w:p>
    <w:p w14:paraId="5E785CBC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Interpretar qué estructura cap</w:t>
      </w:r>
      <w:r>
        <w:rPr>
          <w:rFonts w:ascii="Calibri" w:eastAsia="Calibri" w:hAnsi="Calibri" w:cs="Calibri"/>
          <w:sz w:val="22"/>
          <w:szCs w:val="22"/>
        </w:rPr>
        <w:t xml:space="preserve">turan los </w:t>
      </w:r>
      <w:proofErr w:type="spellStart"/>
      <w:r>
        <w:rPr>
          <w:rFonts w:ascii="Calibri" w:eastAsia="Calibri" w:hAnsi="Calibri" w:cs="Calibri"/>
          <w:sz w:val="22"/>
          <w:szCs w:val="22"/>
        </w:rPr>
        <w:t>embeddings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cómo se relacionan con los clústeres o comunidades hallados en las partes anteriores.</w:t>
      </w:r>
    </w:p>
    <w:p w14:paraId="5E785CBD" w14:textId="77777777" w:rsidR="009F5601" w:rsidRDefault="00D655FD">
      <w:pPr>
        <w:pBdr>
          <w:bottom w:val="single" w:sz="6" w:space="4" w:color="1F3864"/>
        </w:pBdr>
        <w:spacing w:before="320" w:after="1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PARTE VII. ANÁLISIS, DISCUSIÓN Y COMUNICACIÓN</w:t>
      </w:r>
    </w:p>
    <w:p w14:paraId="5E785CBE" w14:textId="77777777" w:rsidR="009F5601" w:rsidRDefault="00D655FD">
      <w:pPr>
        <w:spacing w:after="140"/>
        <w:jc w:val="both"/>
      </w:pPr>
      <w:r>
        <w:rPr>
          <w:rFonts w:ascii="Calibri" w:eastAsia="Calibri" w:hAnsi="Calibri" w:cs="Calibri"/>
          <w:sz w:val="22"/>
          <w:szCs w:val="22"/>
        </w:rPr>
        <w:t>Objetivo: demostrar comprensión, no solo ejecución. Esta parte se evalúa con peso propio.</w:t>
      </w:r>
    </w:p>
    <w:p w14:paraId="5E785CBF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¿Qué técnic</w:t>
      </w:r>
      <w:r>
        <w:rPr>
          <w:rFonts w:ascii="Calibri" w:eastAsia="Calibri" w:hAnsi="Calibri" w:cs="Calibri"/>
          <w:sz w:val="22"/>
          <w:szCs w:val="22"/>
        </w:rPr>
        <w:t>as aportaron más conocimiento para responder sus preguntas, y cuáles aportaron poco?</w:t>
      </w:r>
    </w:p>
    <w:p w14:paraId="5E785CC0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¿Convergen los resultados? Por ejemplo, ¿coinciden los clústeres, las comunidades del grafo y los grupos que emergen de los </w:t>
      </w:r>
      <w:proofErr w:type="spellStart"/>
      <w:r>
        <w:rPr>
          <w:rFonts w:ascii="Calibri" w:eastAsia="Calibri" w:hAnsi="Calibri" w:cs="Calibri"/>
          <w:sz w:val="22"/>
          <w:szCs w:val="22"/>
        </w:rPr>
        <w:t>embeddings</w:t>
      </w:r>
      <w:proofErr w:type="spellEnd"/>
      <w:r>
        <w:rPr>
          <w:rFonts w:ascii="Calibri" w:eastAsia="Calibri" w:hAnsi="Calibri" w:cs="Calibri"/>
          <w:sz w:val="22"/>
          <w:szCs w:val="22"/>
        </w:rPr>
        <w:t>?</w:t>
      </w:r>
    </w:p>
    <w:p w14:paraId="5E785CC1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¿Qué métodos escalaron y cuáles exi</w:t>
      </w:r>
      <w:r>
        <w:rPr>
          <w:rFonts w:ascii="Calibri" w:eastAsia="Calibri" w:hAnsi="Calibri" w:cs="Calibri"/>
          <w:sz w:val="22"/>
          <w:szCs w:val="22"/>
        </w:rPr>
        <w:t>gieron submuestra? ¿Qué se gana y se pierde en cada caso?</w:t>
      </w:r>
    </w:p>
    <w:p w14:paraId="5E785CC2" w14:textId="424845E1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¿Qué implicancias éticas tiene este análisis sobre compras públicas (señales vs. </w:t>
      </w:r>
      <w:r w:rsidR="00853461"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cusaciones, transparencia, uso responsable)?</w:t>
      </w:r>
    </w:p>
    <w:p w14:paraId="5E785CC3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¿Cómo cambiarían las decisiones técnicas si el volumen o la cobertura f</w:t>
      </w:r>
      <w:r>
        <w:rPr>
          <w:rFonts w:ascii="Calibri" w:eastAsia="Calibri" w:hAnsi="Calibri" w:cs="Calibri"/>
          <w:sz w:val="22"/>
          <w:szCs w:val="22"/>
        </w:rPr>
        <w:t>ueran mucho mayores?</w:t>
      </w:r>
    </w:p>
    <w:p w14:paraId="5E785CC4" w14:textId="77777777" w:rsidR="009F5601" w:rsidRDefault="00D655FD">
      <w:pPr>
        <w:spacing w:after="140"/>
        <w:jc w:val="both"/>
      </w:pPr>
      <w:r>
        <w:rPr>
          <w:rFonts w:ascii="Calibri" w:eastAsia="Calibri" w:hAnsi="Calibri" w:cs="Calibri"/>
          <w:sz w:val="22"/>
          <w:szCs w:val="22"/>
        </w:rPr>
        <w:t>La comunicación cuenta: el reporte interactivo y la presentación deben priorizar la claridad y una narrativa que conecte los hallazgos con las preguntas planteadas.</w:t>
      </w:r>
    </w:p>
    <w:p w14:paraId="5E785CC5" w14:textId="77777777" w:rsidR="009F5601" w:rsidRDefault="00D655FD">
      <w:pPr>
        <w:pBdr>
          <w:bottom w:val="single" w:sz="6" w:space="4" w:color="1F3864"/>
        </w:pBdr>
        <w:spacing w:before="320" w:after="1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REPORTE TÉCNICO INTERACTIVO (PÁGINA WEB)</w:t>
      </w:r>
    </w:p>
    <w:p w14:paraId="5E785CC6" w14:textId="77777777" w:rsidR="009F5601" w:rsidRDefault="00D655FD">
      <w:pPr>
        <w:spacing w:after="14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Al igual que en el primer </w:t>
      </w:r>
      <w:r>
        <w:rPr>
          <w:rFonts w:ascii="Calibri" w:eastAsia="Calibri" w:hAnsi="Calibri" w:cs="Calibri"/>
          <w:sz w:val="22"/>
          <w:szCs w:val="22"/>
        </w:rPr>
        <w:t>proyecto, el reporte técnico se entrega como una página web interactiva donde cada hallazgo pueda verse y explorarse. El texto de análisis (metodología, interpretación y discusión) va embebido en la propia página.</w:t>
      </w:r>
    </w:p>
    <w:p w14:paraId="5E785CC7" w14:textId="77777777" w:rsidR="009F5601" w:rsidRDefault="00D655FD">
      <w:pPr>
        <w:spacing w:before="2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Estructura por hallazgo</w:t>
      </w:r>
    </w:p>
    <w:p w14:paraId="5E785CC8" w14:textId="77777777" w:rsidR="009F5601" w:rsidRDefault="00D655FD">
      <w:pPr>
        <w:spacing w:after="140"/>
        <w:jc w:val="both"/>
      </w:pPr>
      <w:r>
        <w:rPr>
          <w:rFonts w:ascii="Calibri" w:eastAsia="Calibri" w:hAnsi="Calibri" w:cs="Calibri"/>
          <w:sz w:val="22"/>
          <w:szCs w:val="22"/>
        </w:rPr>
        <w:t>Cada hallazgo se p</w:t>
      </w:r>
      <w:r>
        <w:rPr>
          <w:rFonts w:ascii="Calibri" w:eastAsia="Calibri" w:hAnsi="Calibri" w:cs="Calibri"/>
          <w:sz w:val="22"/>
          <w:szCs w:val="22"/>
        </w:rPr>
        <w:t>resenta como un módulo: pregunta de interés → visualización → controles interactivos (donde apliquen) → interpretación escrita.</w:t>
      </w:r>
    </w:p>
    <w:p w14:paraId="5E785CC9" w14:textId="77777777" w:rsidR="009F5601" w:rsidRDefault="00D655FD">
      <w:pPr>
        <w:spacing w:before="2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Arquitectura recomendada: “calcular una vez, explorar muchas”</w:t>
      </w:r>
    </w:p>
    <w:p w14:paraId="5E785CCA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lastRenderedPageBreak/>
        <w:t>Lo pesado (</w:t>
      </w:r>
      <w:proofErr w:type="spellStart"/>
      <w:r>
        <w:rPr>
          <w:rFonts w:ascii="Calibri" w:eastAsia="Calibri" w:hAnsi="Calibri" w:cs="Calibri"/>
          <w:sz w:val="22"/>
          <w:szCs w:val="22"/>
        </w:rPr>
        <w:t>Spark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grafos, </w:t>
      </w:r>
      <w:proofErr w:type="spellStart"/>
      <w:r>
        <w:rPr>
          <w:rFonts w:ascii="Calibri" w:eastAsia="Calibri" w:hAnsi="Calibri" w:cs="Calibri"/>
          <w:sz w:val="22"/>
          <w:szCs w:val="22"/>
        </w:rPr>
        <w:t>embeddings</w:t>
      </w:r>
      <w:proofErr w:type="spellEnd"/>
      <w:r>
        <w:rPr>
          <w:rFonts w:ascii="Calibri" w:eastAsia="Calibri" w:hAnsi="Calibri" w:cs="Calibri"/>
          <w:sz w:val="22"/>
          <w:szCs w:val="22"/>
        </w:rPr>
        <w:t>) se calcula offline y se expo</w:t>
      </w:r>
      <w:r>
        <w:rPr>
          <w:rFonts w:ascii="Calibri" w:eastAsia="Calibri" w:hAnsi="Calibri" w:cs="Calibri"/>
          <w:sz w:val="22"/>
          <w:szCs w:val="22"/>
        </w:rPr>
        <w:t>rta como artefactos ligeros (Parquet/CSV/JSON); la página los lee y responde al instante.</w:t>
      </w:r>
    </w:p>
    <w:p w14:paraId="5E785CCB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La </w:t>
      </w:r>
      <w:proofErr w:type="spellStart"/>
      <w:r>
        <w:rPr>
          <w:rFonts w:ascii="Calibri" w:eastAsia="Calibri" w:hAnsi="Calibri" w:cs="Calibri"/>
          <w:sz w:val="22"/>
          <w:szCs w:val="22"/>
        </w:rPr>
        <w:t>recomputación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 vivo se reserva para lo barato: reasignar puntos a clústeres, filtrar comunidades, recalcular un ranking con otro parámetro.</w:t>
      </w:r>
    </w:p>
    <w:p w14:paraId="5E785CCC" w14:textId="46E6868E" w:rsidR="009F5601" w:rsidRDefault="00D655FD">
      <w:pPr>
        <w:spacing w:after="140"/>
        <w:jc w:val="both"/>
      </w:pPr>
      <w:r>
        <w:rPr>
          <w:rFonts w:ascii="Calibri" w:eastAsia="Calibri" w:hAnsi="Calibri" w:cs="Calibri"/>
          <w:sz w:val="22"/>
          <w:szCs w:val="22"/>
        </w:rPr>
        <w:t>Conviene dejar intera</w:t>
      </w:r>
      <w:r>
        <w:rPr>
          <w:rFonts w:ascii="Calibri" w:eastAsia="Calibri" w:hAnsi="Calibri" w:cs="Calibri"/>
          <w:sz w:val="22"/>
          <w:szCs w:val="22"/>
        </w:rPr>
        <w:t xml:space="preserve">ctivos los parámetros clave: k en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 w:rsidR="00853461"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eans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; </w:t>
      </w:r>
      <w:proofErr w:type="spellStart"/>
      <w:r>
        <w:rPr>
          <w:rFonts w:ascii="Calibri" w:eastAsia="Calibri" w:hAnsi="Calibri" w:cs="Calibri"/>
          <w:sz w:val="22"/>
          <w:szCs w:val="22"/>
        </w:rPr>
        <w:t>eps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r>
        <w:rPr>
          <w:rFonts w:ascii="Calibri" w:eastAsia="Calibri" w:hAnsi="Calibri" w:cs="Calibri"/>
          <w:sz w:val="22"/>
          <w:szCs w:val="22"/>
        </w:rPr>
        <w:t>min_samples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 DBSCAN/HDBSCAN; número de factores o de recomendaciones; factor de amortiguamiento de PageRank; resolución o número de comunidades; y los parámetros p y q de Node2Vec.</w:t>
      </w:r>
    </w:p>
    <w:p w14:paraId="5E785CCD" w14:textId="77777777" w:rsidR="009F5601" w:rsidRDefault="00D655FD">
      <w:pPr>
        <w:spacing w:before="2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Requisitos mínimos</w:t>
      </w:r>
    </w:p>
    <w:p w14:paraId="5E785CCE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Al men</w:t>
      </w:r>
      <w:r>
        <w:rPr>
          <w:rFonts w:ascii="Calibri" w:eastAsia="Calibri" w:hAnsi="Calibri" w:cs="Calibri"/>
          <w:sz w:val="22"/>
          <w:szCs w:val="22"/>
        </w:rPr>
        <w:t>os tres hallazgos con parámetros ajustables en vivo; el resto, como visualizaciones estáticas exportadas.</w:t>
      </w:r>
    </w:p>
    <w:p w14:paraId="5E785CCF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Texto embebido de metodología, interpretación por hallazgo y discusión crítica.</w:t>
      </w:r>
    </w:p>
    <w:p w14:paraId="5E785CD0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Enlace publicado o video corto de demostración, además del código.</w:t>
      </w:r>
    </w:p>
    <w:p w14:paraId="5E785CD1" w14:textId="77777777" w:rsidR="009F5601" w:rsidRPr="006E5E29" w:rsidRDefault="00D655FD">
      <w:pPr>
        <w:spacing w:before="100" w:after="200"/>
        <w:jc w:val="both"/>
        <w:rPr>
          <w:lang w:val="en-US"/>
        </w:rPr>
      </w:pPr>
      <w:r>
        <w:rPr>
          <w:rFonts w:ascii="Calibri" w:eastAsia="Calibri" w:hAnsi="Calibri" w:cs="Calibri"/>
          <w:i/>
          <w:iCs/>
          <w:color w:val="555555"/>
        </w:rPr>
        <w:t>Herramientas de libre elección (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Streamlit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Voilà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+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ipywidgets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Panel,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Dash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>/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Plotly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Gradio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o HTML+JS con datos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precalculados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). </w:t>
      </w:r>
      <w:proofErr w:type="spellStart"/>
      <w:r w:rsidRPr="006E5E29">
        <w:rPr>
          <w:rFonts w:ascii="Calibri" w:eastAsia="Calibri" w:hAnsi="Calibri" w:cs="Calibri"/>
          <w:i/>
          <w:iCs/>
          <w:color w:val="555555"/>
          <w:lang w:val="en-US"/>
        </w:rPr>
        <w:t>Publicación</w:t>
      </w:r>
      <w:proofErr w:type="spellEnd"/>
      <w:r w:rsidRPr="006E5E29">
        <w:rPr>
          <w:rFonts w:ascii="Calibri" w:eastAsia="Calibri" w:hAnsi="Calibri" w:cs="Calibri"/>
          <w:i/>
          <w:iCs/>
          <w:color w:val="555555"/>
          <w:lang w:val="en-US"/>
        </w:rPr>
        <w:t xml:space="preserve"> </w:t>
      </w:r>
      <w:proofErr w:type="spellStart"/>
      <w:r w:rsidRPr="006E5E29">
        <w:rPr>
          <w:rFonts w:ascii="Calibri" w:eastAsia="Calibri" w:hAnsi="Calibri" w:cs="Calibri"/>
          <w:i/>
          <w:iCs/>
          <w:color w:val="555555"/>
          <w:lang w:val="en-US"/>
        </w:rPr>
        <w:t>opcional</w:t>
      </w:r>
      <w:proofErr w:type="spellEnd"/>
      <w:r w:rsidRPr="006E5E29">
        <w:rPr>
          <w:rFonts w:ascii="Calibri" w:eastAsia="Calibri" w:hAnsi="Calibri" w:cs="Calibri"/>
          <w:i/>
          <w:iCs/>
          <w:color w:val="555555"/>
          <w:lang w:val="en-US"/>
        </w:rPr>
        <w:t xml:space="preserve"> </w:t>
      </w:r>
      <w:proofErr w:type="spellStart"/>
      <w:r w:rsidRPr="006E5E29">
        <w:rPr>
          <w:rFonts w:ascii="Calibri" w:eastAsia="Calibri" w:hAnsi="Calibri" w:cs="Calibri"/>
          <w:i/>
          <w:iCs/>
          <w:color w:val="555555"/>
          <w:lang w:val="en-US"/>
        </w:rPr>
        <w:t>en</w:t>
      </w:r>
      <w:proofErr w:type="spellEnd"/>
      <w:r w:rsidRPr="006E5E29">
        <w:rPr>
          <w:rFonts w:ascii="Calibri" w:eastAsia="Calibri" w:hAnsi="Calibri" w:cs="Calibri"/>
          <w:i/>
          <w:iCs/>
          <w:color w:val="555555"/>
          <w:lang w:val="en-US"/>
        </w:rPr>
        <w:t xml:space="preserve"> </w:t>
      </w:r>
      <w:proofErr w:type="spellStart"/>
      <w:r w:rsidRPr="006E5E29">
        <w:rPr>
          <w:rFonts w:ascii="Calibri" w:eastAsia="Calibri" w:hAnsi="Calibri" w:cs="Calibri"/>
          <w:i/>
          <w:iCs/>
          <w:color w:val="555555"/>
          <w:lang w:val="en-US"/>
        </w:rPr>
        <w:t>Streamlit</w:t>
      </w:r>
      <w:proofErr w:type="spellEnd"/>
      <w:r w:rsidRPr="006E5E29">
        <w:rPr>
          <w:rFonts w:ascii="Calibri" w:eastAsia="Calibri" w:hAnsi="Calibri" w:cs="Calibri"/>
          <w:i/>
          <w:iCs/>
          <w:color w:val="555555"/>
          <w:lang w:val="en-US"/>
        </w:rPr>
        <w:t xml:space="preserve"> Community Cloud, Hugging Face Spaces, Binder o GitHub Pages.</w:t>
      </w:r>
    </w:p>
    <w:p w14:paraId="5E785CD2" w14:textId="77777777" w:rsidR="009F5601" w:rsidRDefault="00D655FD">
      <w:pPr>
        <w:pBdr>
          <w:bottom w:val="single" w:sz="6" w:space="4" w:color="1F3864"/>
        </w:pBdr>
        <w:spacing w:before="320" w:after="1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CRONOGRAMA SUGERIDO (4 SEMANAS)</w:t>
      </w:r>
    </w:p>
    <w:p w14:paraId="5E785CD3" w14:textId="77777777" w:rsidR="009F5601" w:rsidRDefault="00D655FD">
      <w:pPr>
        <w:spacing w:after="140"/>
        <w:jc w:val="both"/>
      </w:pP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z w:val="22"/>
          <w:szCs w:val="22"/>
        </w:rPr>
        <w:t>ferencial. Conviene cerrar la Parte I en la primera semana, pues construye la base que alimenta a todas las demás.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5200"/>
        <w:gridCol w:w="2900"/>
      </w:tblGrid>
      <w:tr w:rsidR="009F5601" w14:paraId="5E785CD7" w14:textId="77777777">
        <w:tc>
          <w:tcPr>
            <w:tcW w:w="1250" w:type="dxa"/>
            <w:shd w:val="clear" w:color="auto" w:fill="1F3864"/>
            <w:vAlign w:val="center"/>
          </w:tcPr>
          <w:p w14:paraId="5E785CD4" w14:textId="77777777" w:rsidR="009F5601" w:rsidRDefault="00D655F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Semana</w:t>
            </w:r>
          </w:p>
        </w:tc>
        <w:tc>
          <w:tcPr>
            <w:tcW w:w="5200" w:type="dxa"/>
            <w:shd w:val="clear" w:color="auto" w:fill="1F3864"/>
            <w:vAlign w:val="center"/>
          </w:tcPr>
          <w:p w14:paraId="5E785CD5" w14:textId="77777777" w:rsidR="009F5601" w:rsidRDefault="00D655FD">
            <w:r>
              <w:rPr>
                <w:rFonts w:ascii="Calibri" w:eastAsia="Calibri" w:hAnsi="Calibri" w:cs="Calibri"/>
                <w:b/>
                <w:bCs/>
                <w:color w:val="FFFFFF"/>
              </w:rPr>
              <w:t>Enfoque</w:t>
            </w:r>
          </w:p>
        </w:tc>
        <w:tc>
          <w:tcPr>
            <w:tcW w:w="2900" w:type="dxa"/>
            <w:shd w:val="clear" w:color="auto" w:fill="1F3864"/>
            <w:vAlign w:val="center"/>
          </w:tcPr>
          <w:p w14:paraId="5E785CD6" w14:textId="77777777" w:rsidR="009F5601" w:rsidRDefault="00D655FD">
            <w:r>
              <w:rPr>
                <w:rFonts w:ascii="Calibri" w:eastAsia="Calibri" w:hAnsi="Calibri" w:cs="Calibri"/>
                <w:b/>
                <w:bCs/>
                <w:color w:val="FFFFFF"/>
              </w:rPr>
              <w:t>Entregable parcial sugerido</w:t>
            </w:r>
          </w:p>
        </w:tc>
      </w:tr>
      <w:tr w:rsidR="009F5601" w14:paraId="5E785CDB" w14:textId="77777777">
        <w:tc>
          <w:tcPr>
            <w:tcW w:w="1250" w:type="dxa"/>
            <w:vAlign w:val="center"/>
          </w:tcPr>
          <w:p w14:paraId="5E785CD8" w14:textId="114FA937" w:rsidR="009F5601" w:rsidRDefault="00D655F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Semana 1</w:t>
            </w:r>
            <w:r w:rsidR="00853461">
              <w:rPr>
                <w:rFonts w:ascii="Calibri" w:eastAsia="Calibri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5200" w:type="dxa"/>
            <w:vAlign w:val="center"/>
          </w:tcPr>
          <w:p w14:paraId="4DC7D6D0" w14:textId="77777777" w:rsidR="009F5601" w:rsidRDefault="00D655FD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Parte I: transformación, resolución de entidades y construcción de la base relacional en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Spark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features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, matriz de interacción y grafo —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co-participación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o KNN).</w:t>
            </w:r>
          </w:p>
          <w:p w14:paraId="5E785CD9" w14:textId="52F98D3E" w:rsidR="00853461" w:rsidRDefault="00853461">
            <w:r>
              <w:rPr>
                <w:rFonts w:ascii="Calibri" w:eastAsia="Calibri" w:hAnsi="Calibri" w:cs="Calibri"/>
                <w:color w:val="000000"/>
              </w:rPr>
              <w:t>Partes II</w:t>
            </w:r>
            <w:r>
              <w:rPr>
                <w:rFonts w:ascii="Calibri" w:eastAsia="Calibri" w:hAnsi="Calibri" w:cs="Calibri"/>
                <w:color w:val="000000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clustering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</w:rPr>
              <w:t>y detección de anomalías</w:t>
            </w:r>
          </w:p>
        </w:tc>
        <w:tc>
          <w:tcPr>
            <w:tcW w:w="2900" w:type="dxa"/>
            <w:vAlign w:val="center"/>
          </w:tcPr>
          <w:p w14:paraId="530C5EF9" w14:textId="77777777" w:rsidR="009F5601" w:rsidRDefault="00D655FD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Grafo y matriz de interacción exportados.</w:t>
            </w:r>
          </w:p>
          <w:p w14:paraId="5E785CDA" w14:textId="1CA46607" w:rsidR="00D655FD" w:rsidRDefault="00D655FD">
            <w:r>
              <w:rPr>
                <w:rFonts w:ascii="Calibri" w:eastAsia="Calibri" w:hAnsi="Calibri" w:cs="Calibri"/>
                <w:color w:val="000000"/>
              </w:rPr>
              <w:t>Clústeres interpretados</w:t>
            </w:r>
          </w:p>
        </w:tc>
      </w:tr>
      <w:tr w:rsidR="009F5601" w14:paraId="5E785CDF" w14:textId="77777777">
        <w:tc>
          <w:tcPr>
            <w:tcW w:w="1250" w:type="dxa"/>
            <w:vAlign w:val="center"/>
          </w:tcPr>
          <w:p w14:paraId="5E785CDC" w14:textId="55DC57CC" w:rsidR="009F5601" w:rsidRDefault="00D655F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Semana </w:t>
            </w:r>
            <w:r w:rsidR="00853461">
              <w:rPr>
                <w:rFonts w:ascii="Calibri" w:eastAsia="Calibri" w:hAnsi="Calibri" w:cs="Calibri"/>
                <w:b/>
                <w:bCs/>
                <w:color w:val="000000"/>
              </w:rPr>
              <w:t>12</w:t>
            </w:r>
          </w:p>
        </w:tc>
        <w:tc>
          <w:tcPr>
            <w:tcW w:w="5200" w:type="dxa"/>
            <w:vAlign w:val="center"/>
          </w:tcPr>
          <w:p w14:paraId="5E785CDD" w14:textId="543E2B29" w:rsidR="009F5601" w:rsidRDefault="00D655FD">
            <w:r>
              <w:rPr>
                <w:rFonts w:ascii="Calibri" w:eastAsia="Calibri" w:hAnsi="Calibri" w:cs="Calibri"/>
                <w:color w:val="000000"/>
              </w:rPr>
              <w:t xml:space="preserve">Partes </w:t>
            </w:r>
            <w:r>
              <w:rPr>
                <w:rFonts w:ascii="Calibri" w:eastAsia="Calibri" w:hAnsi="Calibri" w:cs="Calibri"/>
                <w:color w:val="000000"/>
              </w:rPr>
              <w:t>III:</w:t>
            </w:r>
            <w:r>
              <w:rPr>
                <w:rFonts w:ascii="Calibri" w:eastAsia="Calibri" w:hAnsi="Calibri" w:cs="Calibri"/>
                <w:color w:val="000000"/>
              </w:rPr>
              <w:t xml:space="preserve"> sistemas de recomendación sobre la matriz de interacción.</w:t>
            </w:r>
          </w:p>
        </w:tc>
        <w:tc>
          <w:tcPr>
            <w:tcW w:w="2900" w:type="dxa"/>
            <w:vAlign w:val="center"/>
          </w:tcPr>
          <w:p w14:paraId="5E785CDE" w14:textId="707C69E7" w:rsidR="009F5601" w:rsidRDefault="00D655FD">
            <w:proofErr w:type="spellStart"/>
            <w:r>
              <w:rPr>
                <w:rFonts w:ascii="Calibri" w:eastAsia="Calibri" w:hAnsi="Calibri" w:cs="Calibri"/>
                <w:color w:val="000000"/>
              </w:rPr>
              <w:t>R</w:t>
            </w:r>
            <w:r>
              <w:rPr>
                <w:rFonts w:ascii="Calibri" w:eastAsia="Calibri" w:hAnsi="Calibri" w:cs="Calibri"/>
                <w:color w:val="000000"/>
              </w:rPr>
              <w:t>ecomendador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evaluado.</w:t>
            </w:r>
          </w:p>
        </w:tc>
      </w:tr>
      <w:tr w:rsidR="009F5601" w14:paraId="5E785CE3" w14:textId="77777777">
        <w:tc>
          <w:tcPr>
            <w:tcW w:w="1250" w:type="dxa"/>
            <w:vAlign w:val="center"/>
          </w:tcPr>
          <w:p w14:paraId="5E785CE0" w14:textId="7D4B9BDB" w:rsidR="009F5601" w:rsidRDefault="00D655F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Semana </w:t>
            </w:r>
            <w:r w:rsidR="00853461">
              <w:rPr>
                <w:rFonts w:ascii="Calibri" w:eastAsia="Calibri" w:hAnsi="Calibri" w:cs="Calibri"/>
                <w:b/>
                <w:bCs/>
                <w:color w:val="000000"/>
              </w:rPr>
              <w:t>13</w:t>
            </w:r>
          </w:p>
        </w:tc>
        <w:tc>
          <w:tcPr>
            <w:tcW w:w="5200" w:type="dxa"/>
            <w:vAlign w:val="center"/>
          </w:tcPr>
          <w:p w14:paraId="5E785CE1" w14:textId="052A1C6E" w:rsidR="009F5601" w:rsidRDefault="00D655FD">
            <w:r>
              <w:rPr>
                <w:rFonts w:ascii="Calibri" w:eastAsia="Calibri" w:hAnsi="Calibri" w:cs="Calibri"/>
                <w:color w:val="000000"/>
              </w:rPr>
              <w:t>Partes IV</w:t>
            </w:r>
            <w:r>
              <w:rPr>
                <w:rFonts w:ascii="Calibri" w:eastAsia="Calibri" w:hAnsi="Calibri" w:cs="Calibri"/>
                <w:color w:val="000000"/>
              </w:rPr>
              <w:t>: análisis de enlaces (PageRank, HITS)</w:t>
            </w:r>
          </w:p>
        </w:tc>
        <w:tc>
          <w:tcPr>
            <w:tcW w:w="2900" w:type="dxa"/>
            <w:vAlign w:val="center"/>
          </w:tcPr>
          <w:p w14:paraId="5E785CE2" w14:textId="1FEF5530" w:rsidR="009F5601" w:rsidRDefault="00D655FD">
            <w:r>
              <w:rPr>
                <w:rFonts w:ascii="Calibri" w:eastAsia="Calibri" w:hAnsi="Calibri" w:cs="Calibri"/>
                <w:color w:val="000000"/>
              </w:rPr>
              <w:t>Ranking PageRank/HITS</w:t>
            </w:r>
            <w:r>
              <w:rPr>
                <w:rFonts w:ascii="Calibri" w:eastAsia="Calibri" w:hAnsi="Calibri" w:cs="Calibri"/>
                <w:color w:val="000000"/>
              </w:rPr>
              <w:t>.</w:t>
            </w:r>
          </w:p>
        </w:tc>
      </w:tr>
      <w:tr w:rsidR="009F5601" w14:paraId="5E785CE7" w14:textId="77777777">
        <w:tc>
          <w:tcPr>
            <w:tcW w:w="1250" w:type="dxa"/>
            <w:vAlign w:val="center"/>
          </w:tcPr>
          <w:p w14:paraId="5E785CE4" w14:textId="4C6C54C7" w:rsidR="009F5601" w:rsidRDefault="00D655F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Semana </w:t>
            </w:r>
            <w:r w:rsidR="00853461">
              <w:rPr>
                <w:rFonts w:ascii="Calibri" w:eastAsia="Calibri" w:hAnsi="Calibri" w:cs="Calibri"/>
                <w:b/>
                <w:bCs/>
                <w:color w:val="000000"/>
              </w:rPr>
              <w:t>14</w:t>
            </w:r>
          </w:p>
        </w:tc>
        <w:tc>
          <w:tcPr>
            <w:tcW w:w="5200" w:type="dxa"/>
            <w:vAlign w:val="center"/>
          </w:tcPr>
          <w:p w14:paraId="5E785CE5" w14:textId="67AADB44" w:rsidR="009F5601" w:rsidRDefault="00853461">
            <w:r>
              <w:t xml:space="preserve">Parte V: </w:t>
            </w:r>
            <w:r>
              <w:rPr>
                <w:rFonts w:ascii="Calibri" w:eastAsia="Calibri" w:hAnsi="Calibri" w:cs="Calibri"/>
                <w:color w:val="000000"/>
              </w:rPr>
              <w:t>detección de comunidades sobre el grafo</w:t>
            </w:r>
          </w:p>
        </w:tc>
        <w:tc>
          <w:tcPr>
            <w:tcW w:w="2900" w:type="dxa"/>
            <w:vAlign w:val="center"/>
          </w:tcPr>
          <w:p w14:paraId="5E785CE6" w14:textId="781EEBBF" w:rsidR="009F5601" w:rsidRDefault="00D655FD">
            <w:r>
              <w:rPr>
                <w:rFonts w:ascii="Calibri" w:eastAsia="Calibri" w:hAnsi="Calibri" w:cs="Calibri"/>
                <w:color w:val="000000"/>
              </w:rPr>
              <w:t>comunidades con modularidad</w:t>
            </w:r>
          </w:p>
        </w:tc>
      </w:tr>
      <w:tr w:rsidR="00853461" w14:paraId="7AC11772" w14:textId="77777777">
        <w:tc>
          <w:tcPr>
            <w:tcW w:w="1250" w:type="dxa"/>
            <w:vAlign w:val="center"/>
          </w:tcPr>
          <w:p w14:paraId="09EE3ABC" w14:textId="65AB0438" w:rsidR="00853461" w:rsidRDefault="00853461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Semana 15</w:t>
            </w:r>
          </w:p>
        </w:tc>
        <w:tc>
          <w:tcPr>
            <w:tcW w:w="5200" w:type="dxa"/>
            <w:vAlign w:val="center"/>
          </w:tcPr>
          <w:p w14:paraId="134FFB4B" w14:textId="0D29A29A" w:rsidR="00853461" w:rsidRDefault="00853461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Parte VI (representación en grafos) y Parte VII (análisis y discusión). Reporte web interactivo y presentación.</w:t>
            </w:r>
          </w:p>
        </w:tc>
        <w:tc>
          <w:tcPr>
            <w:tcW w:w="2900" w:type="dxa"/>
            <w:vAlign w:val="center"/>
          </w:tcPr>
          <w:p w14:paraId="7E681A2C" w14:textId="280B8C1C" w:rsidR="00853461" w:rsidRDefault="00D655FD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Reporte web + presentación + código y registro de contribuciones.</w:t>
            </w:r>
          </w:p>
        </w:tc>
      </w:tr>
    </w:tbl>
    <w:p w14:paraId="5E785CE8" w14:textId="77777777" w:rsidR="009F5601" w:rsidRDefault="00D655FD">
      <w:pPr>
        <w:spacing w:before="100" w:after="200"/>
        <w:jc w:val="both"/>
      </w:pPr>
      <w:r>
        <w:rPr>
          <w:rFonts w:ascii="Calibri" w:eastAsia="Calibri" w:hAnsi="Calibri" w:cs="Calibri"/>
          <w:i/>
          <w:iCs/>
          <w:color w:val="555555"/>
        </w:rPr>
        <w:t xml:space="preserve">Consejo: exporten los artefactos (grafo, matriz,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embeddings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>, rankings) a medida que avanzan, en lugar de dejar el ar</w:t>
      </w:r>
      <w:r>
        <w:rPr>
          <w:rFonts w:ascii="Calibri" w:eastAsia="Calibri" w:hAnsi="Calibri" w:cs="Calibri"/>
          <w:i/>
          <w:iCs/>
          <w:color w:val="555555"/>
        </w:rPr>
        <w:t>mado del reporte para la Semana 4.</w:t>
      </w:r>
      <w:bookmarkStart w:id="0" w:name="_GoBack"/>
      <w:bookmarkEnd w:id="0"/>
    </w:p>
    <w:p w14:paraId="5E785CE9" w14:textId="77777777" w:rsidR="009F5601" w:rsidRDefault="00D655FD">
      <w:pPr>
        <w:pBdr>
          <w:bottom w:val="single" w:sz="6" w:space="4" w:color="1F3864"/>
        </w:pBdr>
        <w:spacing w:before="320" w:after="1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ENTREGABLES ESPERADOS</w:t>
      </w:r>
    </w:p>
    <w:p w14:paraId="5E785CEA" w14:textId="77777777" w:rsidR="009F5601" w:rsidRDefault="00D655FD">
      <w:pPr>
        <w:spacing w:before="2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1. Código fuente</w:t>
      </w:r>
    </w:p>
    <w:p w14:paraId="5E785CEB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Implementaciones en Python con </w:t>
      </w:r>
      <w:proofErr w:type="spellStart"/>
      <w:r>
        <w:rPr>
          <w:rFonts w:ascii="Calibri" w:eastAsia="Calibri" w:hAnsi="Calibri" w:cs="Calibri"/>
          <w:sz w:val="22"/>
          <w:szCs w:val="22"/>
        </w:rPr>
        <w:t>PySpark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(y las librerías de grafos/ML que elijan), organizadas por bloque temático.</w:t>
      </w:r>
    </w:p>
    <w:p w14:paraId="5E785CEC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Cada módulo debe indicar si la tarea se ejecuta en Spark o en </w:t>
      </w:r>
      <w:r>
        <w:rPr>
          <w:rFonts w:ascii="Calibri" w:eastAsia="Calibri" w:hAnsi="Calibri" w:cs="Calibri"/>
          <w:sz w:val="22"/>
          <w:szCs w:val="22"/>
        </w:rPr>
        <w:t>local, y por qué.</w:t>
      </w:r>
    </w:p>
    <w:p w14:paraId="5E785CED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README con instrucciones, dependencias y el paso que exporta los artefactos para la web.</w:t>
      </w:r>
    </w:p>
    <w:p w14:paraId="5E785CEE" w14:textId="77777777" w:rsidR="009F5601" w:rsidRDefault="00D655FD">
      <w:pPr>
        <w:spacing w:before="2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2. Reporte técnico interactivo (página web)</w:t>
      </w:r>
    </w:p>
    <w:p w14:paraId="5E785CEF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Cada hallazgo como un módulo (pregunta, visualización, controles, interpretación), con metodología y disc</w:t>
      </w:r>
      <w:r>
        <w:rPr>
          <w:rFonts w:ascii="Calibri" w:eastAsia="Calibri" w:hAnsi="Calibri" w:cs="Calibri"/>
          <w:sz w:val="22"/>
          <w:szCs w:val="22"/>
        </w:rPr>
        <w:t>usión embebidas.</w:t>
      </w:r>
    </w:p>
    <w:p w14:paraId="5E785CF0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Al menos tres hallazgos con parámetros ajustables en vivo; enlace publicado o video de demostración.</w:t>
      </w:r>
    </w:p>
    <w:p w14:paraId="5E785CF1" w14:textId="77777777" w:rsidR="009F5601" w:rsidRDefault="00D655FD">
      <w:pPr>
        <w:spacing w:before="2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3. Presentación de resultados</w:t>
      </w:r>
    </w:p>
    <w:p w14:paraId="5E785CF2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Exposición breve centrada en los hallazgos, su interpretación y una demostración de partes del código.</w:t>
      </w:r>
    </w:p>
    <w:p w14:paraId="5E785CF3" w14:textId="77777777" w:rsidR="009F5601" w:rsidRDefault="00D655FD">
      <w:pPr>
        <w:spacing w:before="2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4. Re</w:t>
      </w:r>
      <w:r>
        <w:rPr>
          <w:rFonts w:ascii="Calibri" w:eastAsia="Calibri" w:hAnsi="Calibri" w:cs="Calibri"/>
          <w:b/>
          <w:bCs/>
          <w:sz w:val="22"/>
          <w:szCs w:val="22"/>
        </w:rPr>
        <w:t>gistro de contribuciones</w:t>
      </w:r>
    </w:p>
    <w:p w14:paraId="5E785CF4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Tabla que indique qué hizo cada integrante, acompañada de una traza verificable (historial de </w:t>
      </w:r>
      <w:proofErr w:type="spellStart"/>
      <w:r>
        <w:rPr>
          <w:rFonts w:ascii="Calibri" w:eastAsia="Calibri" w:hAnsi="Calibri" w:cs="Calibri"/>
          <w:sz w:val="22"/>
          <w:szCs w:val="22"/>
        </w:rPr>
        <w:t>commits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 otra evidencia). Es la base de la evaluación individual.</w:t>
      </w:r>
    </w:p>
    <w:p w14:paraId="5E785CF5" w14:textId="77777777" w:rsidR="009F5601" w:rsidRDefault="00D655FD">
      <w:pPr>
        <w:pBdr>
          <w:bottom w:val="single" w:sz="6" w:space="4" w:color="1F3864"/>
        </w:pBdr>
        <w:spacing w:before="320" w:after="1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 xml:space="preserve">RÚBRICA DE EVALUACIÓN </w:t>
      </w:r>
      <w:proofErr w:type="gramStart"/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GRUPAL  (</w:t>
      </w:r>
      <w:proofErr w:type="gramEnd"/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20 PUNTOS)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150"/>
        <w:gridCol w:w="800"/>
      </w:tblGrid>
      <w:tr w:rsidR="009F5601" w14:paraId="5E785CF9" w14:textId="77777777">
        <w:tc>
          <w:tcPr>
            <w:tcW w:w="3400" w:type="dxa"/>
            <w:shd w:val="clear" w:color="auto" w:fill="1F3864"/>
            <w:vAlign w:val="center"/>
          </w:tcPr>
          <w:p w14:paraId="5E785CF6" w14:textId="77777777" w:rsidR="009F5601" w:rsidRDefault="00D655FD">
            <w:r>
              <w:rPr>
                <w:rFonts w:ascii="Calibri" w:eastAsia="Calibri" w:hAnsi="Calibri" w:cs="Calibri"/>
                <w:b/>
                <w:bCs/>
                <w:color w:val="FFFFFF"/>
              </w:rPr>
              <w:t>Criterio</w:t>
            </w:r>
          </w:p>
        </w:tc>
        <w:tc>
          <w:tcPr>
            <w:tcW w:w="5150" w:type="dxa"/>
            <w:shd w:val="clear" w:color="auto" w:fill="1F3864"/>
            <w:vAlign w:val="center"/>
          </w:tcPr>
          <w:p w14:paraId="5E785CF7" w14:textId="77777777" w:rsidR="009F5601" w:rsidRDefault="00D655FD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</w:t>
            </w:r>
          </w:p>
        </w:tc>
        <w:tc>
          <w:tcPr>
            <w:tcW w:w="800" w:type="dxa"/>
            <w:shd w:val="clear" w:color="auto" w:fill="1F3864"/>
            <w:vAlign w:val="center"/>
          </w:tcPr>
          <w:p w14:paraId="5E785CF8" w14:textId="77777777" w:rsidR="009F5601" w:rsidRDefault="00D655F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Pts.</w:t>
            </w:r>
          </w:p>
        </w:tc>
      </w:tr>
      <w:tr w:rsidR="009F5601" w14:paraId="5E785CFD" w14:textId="77777777">
        <w:tc>
          <w:tcPr>
            <w:tcW w:w="3400" w:type="dxa"/>
            <w:vAlign w:val="center"/>
          </w:tcPr>
          <w:p w14:paraId="5E785CFA" w14:textId="77777777" w:rsidR="009F5601" w:rsidRDefault="00D655FD">
            <w:r>
              <w:rPr>
                <w:rFonts w:ascii="Calibri" w:eastAsia="Calibri" w:hAnsi="Calibri" w:cs="Calibri"/>
                <w:color w:val="000000"/>
              </w:rPr>
              <w:t>Transformación, construcción de grafos/matrices y Spark (Parte I)</w:t>
            </w:r>
          </w:p>
        </w:tc>
        <w:tc>
          <w:tcPr>
            <w:tcW w:w="5150" w:type="dxa"/>
            <w:vAlign w:val="center"/>
          </w:tcPr>
          <w:p w14:paraId="5E785CFB" w14:textId="77777777" w:rsidR="009F5601" w:rsidRDefault="00D655FD">
            <w:r>
              <w:rPr>
                <w:rFonts w:ascii="Calibri" w:eastAsia="Calibri" w:hAnsi="Calibri" w:cs="Calibri"/>
                <w:color w:val="000000"/>
              </w:rPr>
              <w:t>Transformación, resolución de entidades y correcta construcción de la base relacional (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features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, matriz de interacción, grafo).</w:t>
            </w:r>
          </w:p>
        </w:tc>
        <w:tc>
          <w:tcPr>
            <w:tcW w:w="800" w:type="dxa"/>
            <w:vAlign w:val="center"/>
          </w:tcPr>
          <w:p w14:paraId="5E785CFC" w14:textId="77777777" w:rsidR="009F5601" w:rsidRDefault="00D655FD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3</w:t>
            </w:r>
          </w:p>
        </w:tc>
      </w:tr>
      <w:tr w:rsidR="009F5601" w14:paraId="5E785D01" w14:textId="77777777">
        <w:tc>
          <w:tcPr>
            <w:tcW w:w="3400" w:type="dxa"/>
            <w:vAlign w:val="center"/>
          </w:tcPr>
          <w:p w14:paraId="5E785CFE" w14:textId="77777777" w:rsidR="009F5601" w:rsidRDefault="00D655FD">
            <w:proofErr w:type="spellStart"/>
            <w:r>
              <w:rPr>
                <w:rFonts w:ascii="Calibri" w:eastAsia="Calibri" w:hAnsi="Calibri" w:cs="Calibri"/>
                <w:color w:val="000000"/>
              </w:rPr>
              <w:t>Clustering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y detección de anomalías (Parte II)</w:t>
            </w:r>
          </w:p>
        </w:tc>
        <w:tc>
          <w:tcPr>
            <w:tcW w:w="5150" w:type="dxa"/>
            <w:vAlign w:val="center"/>
          </w:tcPr>
          <w:p w14:paraId="5E785CFF" w14:textId="77777777" w:rsidR="009F5601" w:rsidRDefault="00D655FD">
            <w:proofErr w:type="spellStart"/>
            <w:r>
              <w:rPr>
                <w:rFonts w:ascii="Calibri" w:eastAsia="Calibri" w:hAnsi="Calibri" w:cs="Calibri"/>
                <w:color w:val="000000"/>
              </w:rPr>
              <w:t>Features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y reducción de dimensión justificados,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KMeans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++ y un método de densidad, e interpretación de clústeres y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outliers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.</w:t>
            </w:r>
          </w:p>
        </w:tc>
        <w:tc>
          <w:tcPr>
            <w:tcW w:w="800" w:type="dxa"/>
            <w:vAlign w:val="center"/>
          </w:tcPr>
          <w:p w14:paraId="5E785D00" w14:textId="77777777" w:rsidR="009F5601" w:rsidRDefault="00D655FD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3</w:t>
            </w:r>
          </w:p>
        </w:tc>
      </w:tr>
      <w:tr w:rsidR="009F5601" w14:paraId="5E785D05" w14:textId="77777777">
        <w:tc>
          <w:tcPr>
            <w:tcW w:w="3400" w:type="dxa"/>
            <w:vAlign w:val="center"/>
          </w:tcPr>
          <w:p w14:paraId="5E785D02" w14:textId="77777777" w:rsidR="009F5601" w:rsidRDefault="00D655FD">
            <w:r>
              <w:rPr>
                <w:rFonts w:ascii="Calibri" w:eastAsia="Calibri" w:hAnsi="Calibri" w:cs="Calibri"/>
                <w:color w:val="000000"/>
              </w:rPr>
              <w:t>Sistemas de recomendación (Parte III)</w:t>
            </w:r>
          </w:p>
        </w:tc>
        <w:tc>
          <w:tcPr>
            <w:tcW w:w="5150" w:type="dxa"/>
            <w:vAlign w:val="center"/>
          </w:tcPr>
          <w:p w14:paraId="5E785D03" w14:textId="77777777" w:rsidR="009F5601" w:rsidRDefault="00D655FD">
            <w:r>
              <w:rPr>
                <w:rFonts w:ascii="Calibri" w:eastAsia="Calibri" w:hAnsi="Calibri" w:cs="Calibri"/>
                <w:color w:val="000000"/>
              </w:rPr>
              <w:t>Matriz de interacción, al menos dos enfoques (incluida opción híbrida o ANN para contenido), evalua</w:t>
            </w:r>
            <w:r>
              <w:rPr>
                <w:rFonts w:ascii="Calibri" w:eastAsia="Calibri" w:hAnsi="Calibri" w:cs="Calibri"/>
                <w:color w:val="000000"/>
              </w:rPr>
              <w:t>ción e interpretación.</w:t>
            </w:r>
          </w:p>
        </w:tc>
        <w:tc>
          <w:tcPr>
            <w:tcW w:w="800" w:type="dxa"/>
            <w:vAlign w:val="center"/>
          </w:tcPr>
          <w:p w14:paraId="5E785D04" w14:textId="77777777" w:rsidR="009F5601" w:rsidRDefault="00D655FD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3</w:t>
            </w:r>
          </w:p>
        </w:tc>
      </w:tr>
      <w:tr w:rsidR="009F5601" w14:paraId="5E785D09" w14:textId="77777777">
        <w:tc>
          <w:tcPr>
            <w:tcW w:w="3400" w:type="dxa"/>
            <w:vAlign w:val="center"/>
          </w:tcPr>
          <w:p w14:paraId="5E785D06" w14:textId="77777777" w:rsidR="009F5601" w:rsidRDefault="00D655FD">
            <w:r>
              <w:rPr>
                <w:rFonts w:ascii="Calibri" w:eastAsia="Calibri" w:hAnsi="Calibri" w:cs="Calibri"/>
                <w:color w:val="000000"/>
              </w:rPr>
              <w:t xml:space="preserve">Análisis de enlaces: PageRank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y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HITS (Parte IV)</w:t>
            </w:r>
          </w:p>
        </w:tc>
        <w:tc>
          <w:tcPr>
            <w:tcW w:w="5150" w:type="dxa"/>
            <w:vAlign w:val="center"/>
          </w:tcPr>
          <w:p w14:paraId="5E785D07" w14:textId="77777777" w:rsidR="009F5601" w:rsidRDefault="00D655FD">
            <w:r>
              <w:rPr>
                <w:rFonts w:ascii="Calibri" w:eastAsia="Calibri" w:hAnsi="Calibri" w:cs="Calibri"/>
                <w:color w:val="000000"/>
              </w:rPr>
              <w:t xml:space="preserve">Construcción justificada del grafo, PageRank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y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HITS, e interpretación de actores centrales.</w:t>
            </w:r>
          </w:p>
        </w:tc>
        <w:tc>
          <w:tcPr>
            <w:tcW w:w="800" w:type="dxa"/>
            <w:vAlign w:val="center"/>
          </w:tcPr>
          <w:p w14:paraId="5E785D08" w14:textId="77777777" w:rsidR="009F5601" w:rsidRDefault="00D655FD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</w:tr>
      <w:tr w:rsidR="009F5601" w14:paraId="5E785D0D" w14:textId="77777777">
        <w:tc>
          <w:tcPr>
            <w:tcW w:w="3400" w:type="dxa"/>
            <w:vAlign w:val="center"/>
          </w:tcPr>
          <w:p w14:paraId="5E785D0A" w14:textId="77777777" w:rsidR="009F5601" w:rsidRDefault="00D655FD">
            <w:r>
              <w:rPr>
                <w:rFonts w:ascii="Calibri" w:eastAsia="Calibri" w:hAnsi="Calibri" w:cs="Calibri"/>
                <w:color w:val="000000"/>
              </w:rPr>
              <w:t>Grafos y detección de comunidades (Parte V)</w:t>
            </w:r>
          </w:p>
        </w:tc>
        <w:tc>
          <w:tcPr>
            <w:tcW w:w="5150" w:type="dxa"/>
            <w:vAlign w:val="center"/>
          </w:tcPr>
          <w:p w14:paraId="5E785D0B" w14:textId="77777777" w:rsidR="009F5601" w:rsidRDefault="00D655FD">
            <w:r>
              <w:rPr>
                <w:rFonts w:ascii="Calibri" w:eastAsia="Calibri" w:hAnsi="Calibri" w:cs="Calibri"/>
                <w:color w:val="000000"/>
              </w:rPr>
              <w:t>Partición y/o comunidades solapadas, evalua</w:t>
            </w:r>
            <w:r>
              <w:rPr>
                <w:rFonts w:ascii="Calibri" w:eastAsia="Calibri" w:hAnsi="Calibri" w:cs="Calibri"/>
                <w:color w:val="000000"/>
              </w:rPr>
              <w:t>ción con modularidad Q y discusión de escalabilidad.</w:t>
            </w:r>
          </w:p>
        </w:tc>
        <w:tc>
          <w:tcPr>
            <w:tcW w:w="800" w:type="dxa"/>
            <w:vAlign w:val="center"/>
          </w:tcPr>
          <w:p w14:paraId="5E785D0C" w14:textId="77777777" w:rsidR="009F5601" w:rsidRDefault="00D655FD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</w:tr>
      <w:tr w:rsidR="009F5601" w14:paraId="5E785D11" w14:textId="77777777">
        <w:tc>
          <w:tcPr>
            <w:tcW w:w="3400" w:type="dxa"/>
            <w:vAlign w:val="center"/>
          </w:tcPr>
          <w:p w14:paraId="5E785D0E" w14:textId="77777777" w:rsidR="009F5601" w:rsidRDefault="00D655FD">
            <w:r>
              <w:rPr>
                <w:rFonts w:ascii="Calibri" w:eastAsia="Calibri" w:hAnsi="Calibri" w:cs="Calibri"/>
                <w:color w:val="000000"/>
              </w:rPr>
              <w:t>Aprendizaje de representación (Parte VI)</w:t>
            </w:r>
          </w:p>
        </w:tc>
        <w:tc>
          <w:tcPr>
            <w:tcW w:w="5150" w:type="dxa"/>
            <w:vAlign w:val="center"/>
          </w:tcPr>
          <w:p w14:paraId="5E785D0F" w14:textId="77777777" w:rsidR="009F5601" w:rsidRDefault="00D655FD">
            <w:proofErr w:type="spellStart"/>
            <w:r>
              <w:rPr>
                <w:rFonts w:ascii="Calibri" w:eastAsia="Calibri" w:hAnsi="Calibri" w:cs="Calibri"/>
                <w:color w:val="000000"/>
              </w:rPr>
              <w:t>Embeddings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de nodos (SVD, Node2Vec o GNN) usados en una tarea analítica concreta e interpretados.</w:t>
            </w:r>
          </w:p>
        </w:tc>
        <w:tc>
          <w:tcPr>
            <w:tcW w:w="800" w:type="dxa"/>
            <w:vAlign w:val="center"/>
          </w:tcPr>
          <w:p w14:paraId="5E785D10" w14:textId="77777777" w:rsidR="009F5601" w:rsidRDefault="00D655FD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3</w:t>
            </w:r>
          </w:p>
        </w:tc>
      </w:tr>
      <w:tr w:rsidR="009F5601" w14:paraId="5E785D15" w14:textId="77777777">
        <w:tc>
          <w:tcPr>
            <w:tcW w:w="3400" w:type="dxa"/>
            <w:vAlign w:val="center"/>
          </w:tcPr>
          <w:p w14:paraId="5E785D12" w14:textId="77777777" w:rsidR="009F5601" w:rsidRDefault="00D655FD">
            <w:r>
              <w:rPr>
                <w:rFonts w:ascii="Calibri" w:eastAsia="Calibri" w:hAnsi="Calibri" w:cs="Calibri"/>
                <w:color w:val="000000"/>
              </w:rPr>
              <w:t xml:space="preserve">Análisis, discusión crítica (incl. ética) y reporte </w:t>
            </w:r>
            <w:r>
              <w:rPr>
                <w:rFonts w:ascii="Calibri" w:eastAsia="Calibri" w:hAnsi="Calibri" w:cs="Calibri"/>
                <w:color w:val="000000"/>
              </w:rPr>
              <w:t>interactivo</w:t>
            </w:r>
          </w:p>
        </w:tc>
        <w:tc>
          <w:tcPr>
            <w:tcW w:w="5150" w:type="dxa"/>
            <w:vAlign w:val="center"/>
          </w:tcPr>
          <w:p w14:paraId="5E785D13" w14:textId="77777777" w:rsidR="009F5601" w:rsidRDefault="00D655FD">
            <w:r>
              <w:rPr>
                <w:rFonts w:ascii="Calibri" w:eastAsia="Calibri" w:hAnsi="Calibri" w:cs="Calibri"/>
                <w:color w:val="000000"/>
              </w:rPr>
              <w:t>Profundidad de la interpretación, integración de las técnicas, encuadre ético y calidad del reporte web y de la presentación.</w:t>
            </w:r>
          </w:p>
        </w:tc>
        <w:tc>
          <w:tcPr>
            <w:tcW w:w="800" w:type="dxa"/>
            <w:vAlign w:val="center"/>
          </w:tcPr>
          <w:p w14:paraId="5E785D14" w14:textId="77777777" w:rsidR="009F5601" w:rsidRDefault="00D655FD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3</w:t>
            </w:r>
          </w:p>
        </w:tc>
      </w:tr>
      <w:tr w:rsidR="009F5601" w14:paraId="5E785D19" w14:textId="77777777">
        <w:tc>
          <w:tcPr>
            <w:tcW w:w="3400" w:type="dxa"/>
            <w:vAlign w:val="center"/>
          </w:tcPr>
          <w:p w14:paraId="5E785D16" w14:textId="77777777" w:rsidR="009F5601" w:rsidRDefault="00D655FD">
            <w:r>
              <w:rPr>
                <w:rFonts w:ascii="Calibri" w:eastAsia="Calibri" w:hAnsi="Calibri" w:cs="Calibri"/>
                <w:color w:val="000000"/>
              </w:rPr>
              <w:t>Código y reproducibilidad</w:t>
            </w:r>
          </w:p>
        </w:tc>
        <w:tc>
          <w:tcPr>
            <w:tcW w:w="5150" w:type="dxa"/>
            <w:vAlign w:val="center"/>
          </w:tcPr>
          <w:p w14:paraId="5E785D17" w14:textId="77777777" w:rsidR="009F5601" w:rsidRDefault="00D655FD">
            <w:r>
              <w:rPr>
                <w:rFonts w:ascii="Calibri" w:eastAsia="Calibri" w:hAnsi="Calibri" w:cs="Calibri"/>
                <w:color w:val="000000"/>
              </w:rPr>
              <w:t>Organización, comentarios, README y facilidad para reproducir los resultados.</w:t>
            </w:r>
          </w:p>
        </w:tc>
        <w:tc>
          <w:tcPr>
            <w:tcW w:w="800" w:type="dxa"/>
            <w:vAlign w:val="center"/>
          </w:tcPr>
          <w:p w14:paraId="5E785D18" w14:textId="77777777" w:rsidR="009F5601" w:rsidRDefault="00D655FD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</w:tr>
      <w:tr w:rsidR="009F5601" w14:paraId="5E785D1D" w14:textId="77777777">
        <w:tc>
          <w:tcPr>
            <w:tcW w:w="3400" w:type="dxa"/>
            <w:vAlign w:val="center"/>
          </w:tcPr>
          <w:p w14:paraId="5E785D1A" w14:textId="77777777" w:rsidR="009F5601" w:rsidRDefault="00D655FD"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Total 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>(nota grupal)</w:t>
            </w:r>
          </w:p>
        </w:tc>
        <w:tc>
          <w:tcPr>
            <w:tcW w:w="5150" w:type="dxa"/>
            <w:vAlign w:val="center"/>
          </w:tcPr>
          <w:p w14:paraId="5E785D1B" w14:textId="77777777" w:rsidR="009F5601" w:rsidRDefault="009F5601"/>
        </w:tc>
        <w:tc>
          <w:tcPr>
            <w:tcW w:w="800" w:type="dxa"/>
            <w:vAlign w:val="center"/>
          </w:tcPr>
          <w:p w14:paraId="5E785D1C" w14:textId="77777777" w:rsidR="009F5601" w:rsidRDefault="00D655F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20</w:t>
            </w:r>
          </w:p>
        </w:tc>
      </w:tr>
    </w:tbl>
    <w:p w14:paraId="5E785D1E" w14:textId="77777777" w:rsidR="009F5601" w:rsidRDefault="00D655FD">
      <w:pPr>
        <w:spacing w:before="100" w:after="200"/>
        <w:jc w:val="both"/>
      </w:pPr>
      <w:r>
        <w:rPr>
          <w:rFonts w:ascii="Calibri" w:eastAsia="Calibri" w:hAnsi="Calibri" w:cs="Calibri"/>
          <w:i/>
          <w:iCs/>
          <w:color w:val="555555"/>
        </w:rPr>
        <w:t xml:space="preserve">Bono opcional (hasta 1 punto adicional, fuera de los 20): originalidad en las preguntas de interés o en el enfoque técnico (por ejemplo, un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recomendador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híbrido robusto o el descubrimiento de un patrón no trivial), más allá de los mínimo</w:t>
      </w:r>
      <w:r>
        <w:rPr>
          <w:rFonts w:ascii="Calibri" w:eastAsia="Calibri" w:hAnsi="Calibri" w:cs="Calibri"/>
          <w:i/>
          <w:iCs/>
          <w:color w:val="555555"/>
        </w:rPr>
        <w:t>s exigidos.</w:t>
      </w:r>
    </w:p>
    <w:p w14:paraId="5E785D1F" w14:textId="77777777" w:rsidR="009F5601" w:rsidRDefault="00D655FD">
      <w:pPr>
        <w:pBdr>
          <w:bottom w:val="single" w:sz="6" w:space="4" w:color="1F3864"/>
        </w:pBdr>
        <w:spacing w:before="320" w:after="1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EVALUACIÓN INDIVIDUAL</w:t>
      </w:r>
    </w:p>
    <w:p w14:paraId="5E785D20" w14:textId="77777777" w:rsidR="009F5601" w:rsidRDefault="00D655FD">
      <w:pPr>
        <w:spacing w:after="140"/>
        <w:jc w:val="both"/>
      </w:pPr>
      <w:r>
        <w:rPr>
          <w:rFonts w:ascii="Calibri" w:eastAsia="Calibri" w:hAnsi="Calibri" w:cs="Calibri"/>
          <w:sz w:val="22"/>
          <w:szCs w:val="22"/>
        </w:rPr>
        <w:t>La nota de cada integrante no es automáticamente la del grupo. La nota grupal (sobre 20) se ajusta por un factor individual que refleja la contribución real y la capacidad de sustentar el trabajo:</w:t>
      </w:r>
    </w:p>
    <w:p w14:paraId="5E785D21" w14:textId="77777777" w:rsidR="009F5601" w:rsidRDefault="00D655FD">
      <w:pPr>
        <w:spacing w:after="140"/>
        <w:jc w:val="both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Nota individual = Nota grupal × Factor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individual  (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>con un tope de 20).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50"/>
      </w:tblGrid>
      <w:tr w:rsidR="009F5601" w14:paraId="5E785D24" w14:textId="77777777">
        <w:tc>
          <w:tcPr>
            <w:tcW w:w="1600" w:type="dxa"/>
            <w:shd w:val="clear" w:color="auto" w:fill="1F3864"/>
            <w:vAlign w:val="center"/>
          </w:tcPr>
          <w:p w14:paraId="5E785D22" w14:textId="77777777" w:rsidR="009F5601" w:rsidRDefault="00D655F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Factor</w:t>
            </w:r>
          </w:p>
        </w:tc>
        <w:tc>
          <w:tcPr>
            <w:tcW w:w="7750" w:type="dxa"/>
            <w:shd w:val="clear" w:color="auto" w:fill="1F3864"/>
            <w:vAlign w:val="center"/>
          </w:tcPr>
          <w:p w14:paraId="5E785D23" w14:textId="77777777" w:rsidR="009F5601" w:rsidRDefault="00D655FD">
            <w:r>
              <w:rPr>
                <w:rFonts w:ascii="Calibri" w:eastAsia="Calibri" w:hAnsi="Calibri" w:cs="Calibri"/>
                <w:b/>
                <w:bCs/>
                <w:color w:val="FFFFFF"/>
              </w:rPr>
              <w:t>Situación del integrante</w:t>
            </w:r>
          </w:p>
        </w:tc>
      </w:tr>
      <w:tr w:rsidR="009F5601" w14:paraId="5E785D27" w14:textId="77777777">
        <w:tc>
          <w:tcPr>
            <w:tcW w:w="1600" w:type="dxa"/>
            <w:vAlign w:val="center"/>
          </w:tcPr>
          <w:p w14:paraId="5E785D25" w14:textId="77777777" w:rsidR="009F5601" w:rsidRDefault="00D655F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1.0</w:t>
            </w:r>
          </w:p>
        </w:tc>
        <w:tc>
          <w:tcPr>
            <w:tcW w:w="7750" w:type="dxa"/>
            <w:vAlign w:val="center"/>
          </w:tcPr>
          <w:p w14:paraId="5E785D26" w14:textId="77777777" w:rsidR="009F5601" w:rsidRDefault="00D655FD">
            <w:r>
              <w:rPr>
                <w:rFonts w:ascii="Calibri" w:eastAsia="Calibri" w:hAnsi="Calibri" w:cs="Calibri"/>
                <w:color w:val="000000"/>
              </w:rPr>
              <w:t>Contribución equitativa y demostrable; sustenta con solvencia cualquier parte del proyecto.</w:t>
            </w:r>
          </w:p>
        </w:tc>
      </w:tr>
      <w:tr w:rsidR="009F5601" w14:paraId="5E785D2A" w14:textId="77777777">
        <w:tc>
          <w:tcPr>
            <w:tcW w:w="1600" w:type="dxa"/>
            <w:vAlign w:val="center"/>
          </w:tcPr>
          <w:p w14:paraId="5E785D28" w14:textId="77777777" w:rsidR="009F5601" w:rsidRDefault="00D655F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0.7 – 0.9</w:t>
            </w:r>
          </w:p>
        </w:tc>
        <w:tc>
          <w:tcPr>
            <w:tcW w:w="7750" w:type="dxa"/>
            <w:vAlign w:val="center"/>
          </w:tcPr>
          <w:p w14:paraId="5E785D29" w14:textId="77777777" w:rsidR="009F5601" w:rsidRDefault="00D655FD">
            <w:r>
              <w:rPr>
                <w:rFonts w:ascii="Calibri" w:eastAsia="Calibri" w:hAnsi="Calibri" w:cs="Calibri"/>
                <w:color w:val="000000"/>
              </w:rPr>
              <w:t xml:space="preserve">Contribución parcial, o sustenta bien solo </w:t>
            </w:r>
            <w:r>
              <w:rPr>
                <w:rFonts w:ascii="Calibri" w:eastAsia="Calibri" w:hAnsi="Calibri" w:cs="Calibri"/>
                <w:color w:val="000000"/>
              </w:rPr>
              <w:t>la parte en la que trabajó.</w:t>
            </w:r>
          </w:p>
        </w:tc>
      </w:tr>
      <w:tr w:rsidR="009F5601" w14:paraId="5E785D2D" w14:textId="77777777">
        <w:tc>
          <w:tcPr>
            <w:tcW w:w="1600" w:type="dxa"/>
            <w:vAlign w:val="center"/>
          </w:tcPr>
          <w:p w14:paraId="5E785D2B" w14:textId="77777777" w:rsidR="009F5601" w:rsidRDefault="00D655F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0.4 – 0.6</w:t>
            </w:r>
          </w:p>
        </w:tc>
        <w:tc>
          <w:tcPr>
            <w:tcW w:w="7750" w:type="dxa"/>
            <w:vAlign w:val="center"/>
          </w:tcPr>
          <w:p w14:paraId="5E785D2C" w14:textId="77777777" w:rsidR="009F5601" w:rsidRDefault="00D655FD">
            <w:r>
              <w:rPr>
                <w:rFonts w:ascii="Calibri" w:eastAsia="Calibri" w:hAnsi="Calibri" w:cs="Calibri"/>
                <w:color w:val="000000"/>
              </w:rPr>
              <w:t>Contribución baja o poco evidente; dificultades para sustentar el trabajo.</w:t>
            </w:r>
          </w:p>
        </w:tc>
      </w:tr>
      <w:tr w:rsidR="009F5601" w14:paraId="5E785D30" w14:textId="77777777">
        <w:tc>
          <w:tcPr>
            <w:tcW w:w="1600" w:type="dxa"/>
            <w:vAlign w:val="center"/>
          </w:tcPr>
          <w:p w14:paraId="5E785D2E" w14:textId="77777777" w:rsidR="009F5601" w:rsidRDefault="00D655F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0.0 – 0.3</w:t>
            </w:r>
          </w:p>
        </w:tc>
        <w:tc>
          <w:tcPr>
            <w:tcW w:w="7750" w:type="dxa"/>
            <w:vAlign w:val="center"/>
          </w:tcPr>
          <w:p w14:paraId="5E785D2F" w14:textId="77777777" w:rsidR="009F5601" w:rsidRDefault="00D655FD">
            <w:r>
              <w:rPr>
                <w:rFonts w:ascii="Calibri" w:eastAsia="Calibri" w:hAnsi="Calibri" w:cs="Calibri"/>
                <w:color w:val="000000"/>
              </w:rPr>
              <w:t>Sin evidencia de contribución o no logra sustentar el trabajo.</w:t>
            </w:r>
          </w:p>
        </w:tc>
      </w:tr>
    </w:tbl>
    <w:p w14:paraId="5E785D31" w14:textId="77777777" w:rsidR="009F5601" w:rsidRDefault="00D655FD">
      <w:pPr>
        <w:spacing w:after="140"/>
        <w:jc w:val="both"/>
      </w:pPr>
      <w:r>
        <w:rPr>
          <w:rFonts w:ascii="Calibri" w:eastAsia="Calibri" w:hAnsi="Calibri" w:cs="Calibri"/>
          <w:sz w:val="22"/>
          <w:szCs w:val="22"/>
        </w:rPr>
        <w:t>El factor se determina a partir de: el registro de contribuciones y</w:t>
      </w:r>
      <w:r>
        <w:rPr>
          <w:rFonts w:ascii="Calibri" w:eastAsia="Calibri" w:hAnsi="Calibri" w:cs="Calibri"/>
          <w:sz w:val="22"/>
          <w:szCs w:val="22"/>
        </w:rPr>
        <w:t xml:space="preserve"> su traza (</w:t>
      </w:r>
      <w:proofErr w:type="spellStart"/>
      <w:r>
        <w:rPr>
          <w:rFonts w:ascii="Calibri" w:eastAsia="Calibri" w:hAnsi="Calibri" w:cs="Calibri"/>
          <w:sz w:val="22"/>
          <w:szCs w:val="22"/>
        </w:rPr>
        <w:t>commits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 otra evidencia), una sustentación oral individual en la que cualquier integrante pueda explicar cualquier parte del proyecto, y —opcionalmente— una coevaluación entre los miembros del equipo. Dos integrantes del mismo grupo pueden obte</w:t>
      </w:r>
      <w:r>
        <w:rPr>
          <w:rFonts w:ascii="Calibri" w:eastAsia="Calibri" w:hAnsi="Calibri" w:cs="Calibri"/>
          <w:sz w:val="22"/>
          <w:szCs w:val="22"/>
        </w:rPr>
        <w:t>ner notas distintas.</w:t>
      </w:r>
    </w:p>
    <w:p w14:paraId="5E785D32" w14:textId="77777777" w:rsidR="009F5601" w:rsidRDefault="00D655FD">
      <w:pPr>
        <w:pBdr>
          <w:bottom w:val="single" w:sz="6" w:space="4" w:color="1F3864"/>
        </w:pBdr>
        <w:spacing w:before="320" w:after="1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OBSERVACIONES</w:t>
      </w:r>
    </w:p>
    <w:p w14:paraId="5E785D33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lastRenderedPageBreak/>
        <w:t>Reutilizar la base limpia del Proyecto 1 (entidad–proveedor–ítem) es recomendable para ganar tiempo.</w:t>
      </w:r>
    </w:p>
    <w:p w14:paraId="5E785D34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Trabajar con un subconjunto representativo (por año, región o categoría) es válido y, para los métodos no escalables, ne</w:t>
      </w:r>
      <w:r>
        <w:rPr>
          <w:rFonts w:ascii="Calibri" w:eastAsia="Calibri" w:hAnsi="Calibri" w:cs="Calibri"/>
          <w:sz w:val="22"/>
          <w:szCs w:val="22"/>
        </w:rPr>
        <w:t>cesario; debe justificarse.</w:t>
      </w:r>
    </w:p>
    <w:p w14:paraId="5E785D35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El uso de herramientas de IA es aceptable, pero cada integrante debe comprender y saber explicar lo que entrega; habrá sustentación individual.</w:t>
      </w:r>
    </w:p>
    <w:p w14:paraId="5E785D36" w14:textId="77777777" w:rsidR="009F5601" w:rsidRDefault="00D655F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Se debe citar explícitamente la fuente de datos (OCDS – OECE/OSCE, CC BY 4.0).</w:t>
      </w:r>
    </w:p>
    <w:sectPr w:rsidR="009F5601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27337"/>
    <w:multiLevelType w:val="hybridMultilevel"/>
    <w:tmpl w:val="90686B0E"/>
    <w:lvl w:ilvl="0" w:tplc="59FEB95C">
      <w:start w:val="1"/>
      <w:numFmt w:val="bullet"/>
      <w:lvlText w:val="•"/>
      <w:lvlJc w:val="left"/>
      <w:pPr>
        <w:ind w:left="504" w:hanging="288"/>
      </w:pPr>
    </w:lvl>
    <w:lvl w:ilvl="1" w:tplc="7A245AA0">
      <w:start w:val="1"/>
      <w:numFmt w:val="bullet"/>
      <w:lvlText w:val="◦"/>
      <w:lvlJc w:val="left"/>
      <w:pPr>
        <w:ind w:left="1008" w:hanging="288"/>
      </w:pPr>
    </w:lvl>
    <w:lvl w:ilvl="2" w:tplc="3CDE7532">
      <w:numFmt w:val="decimal"/>
      <w:lvlText w:val=""/>
      <w:lvlJc w:val="left"/>
    </w:lvl>
    <w:lvl w:ilvl="3" w:tplc="6A9C4864">
      <w:numFmt w:val="decimal"/>
      <w:lvlText w:val=""/>
      <w:lvlJc w:val="left"/>
    </w:lvl>
    <w:lvl w:ilvl="4" w:tplc="7306390E">
      <w:numFmt w:val="decimal"/>
      <w:lvlText w:val=""/>
      <w:lvlJc w:val="left"/>
    </w:lvl>
    <w:lvl w:ilvl="5" w:tplc="47505666">
      <w:numFmt w:val="decimal"/>
      <w:lvlText w:val=""/>
      <w:lvlJc w:val="left"/>
    </w:lvl>
    <w:lvl w:ilvl="6" w:tplc="1D244F54">
      <w:numFmt w:val="decimal"/>
      <w:lvlText w:val=""/>
      <w:lvlJc w:val="left"/>
    </w:lvl>
    <w:lvl w:ilvl="7" w:tplc="DACE9E58">
      <w:numFmt w:val="decimal"/>
      <w:lvlText w:val=""/>
      <w:lvlJc w:val="left"/>
    </w:lvl>
    <w:lvl w:ilvl="8" w:tplc="0218D2A2">
      <w:numFmt w:val="decimal"/>
      <w:lvlText w:val=""/>
      <w:lvlJc w:val="left"/>
    </w:lvl>
  </w:abstractNum>
  <w:abstractNum w:abstractNumId="1" w15:restartNumberingAfterBreak="0">
    <w:nsid w:val="4A7C2FFE"/>
    <w:multiLevelType w:val="hybridMultilevel"/>
    <w:tmpl w:val="B1B0398A"/>
    <w:lvl w:ilvl="0" w:tplc="AD287C72">
      <w:start w:val="1"/>
      <w:numFmt w:val="bullet"/>
      <w:lvlText w:val="●"/>
      <w:lvlJc w:val="left"/>
      <w:pPr>
        <w:ind w:left="720" w:hanging="360"/>
      </w:pPr>
    </w:lvl>
    <w:lvl w:ilvl="1" w:tplc="A0EE35C8">
      <w:start w:val="1"/>
      <w:numFmt w:val="bullet"/>
      <w:lvlText w:val="○"/>
      <w:lvlJc w:val="left"/>
      <w:pPr>
        <w:ind w:left="1440" w:hanging="360"/>
      </w:pPr>
    </w:lvl>
    <w:lvl w:ilvl="2" w:tplc="C51C564E">
      <w:start w:val="1"/>
      <w:numFmt w:val="bullet"/>
      <w:lvlText w:val="■"/>
      <w:lvlJc w:val="left"/>
      <w:pPr>
        <w:ind w:left="2160" w:hanging="360"/>
      </w:pPr>
    </w:lvl>
    <w:lvl w:ilvl="3" w:tplc="560214DE">
      <w:start w:val="1"/>
      <w:numFmt w:val="bullet"/>
      <w:lvlText w:val="●"/>
      <w:lvlJc w:val="left"/>
      <w:pPr>
        <w:ind w:left="2880" w:hanging="360"/>
      </w:pPr>
    </w:lvl>
    <w:lvl w:ilvl="4" w:tplc="F126E3F0">
      <w:start w:val="1"/>
      <w:numFmt w:val="bullet"/>
      <w:lvlText w:val="○"/>
      <w:lvlJc w:val="left"/>
      <w:pPr>
        <w:ind w:left="3600" w:hanging="360"/>
      </w:pPr>
    </w:lvl>
    <w:lvl w:ilvl="5" w:tplc="31C6EF14">
      <w:start w:val="1"/>
      <w:numFmt w:val="bullet"/>
      <w:lvlText w:val="■"/>
      <w:lvlJc w:val="left"/>
      <w:pPr>
        <w:ind w:left="4320" w:hanging="360"/>
      </w:pPr>
    </w:lvl>
    <w:lvl w:ilvl="6" w:tplc="605E8648">
      <w:start w:val="1"/>
      <w:numFmt w:val="bullet"/>
      <w:lvlText w:val="●"/>
      <w:lvlJc w:val="left"/>
      <w:pPr>
        <w:ind w:left="5040" w:hanging="360"/>
      </w:pPr>
    </w:lvl>
    <w:lvl w:ilvl="7" w:tplc="EF8ED8C4">
      <w:start w:val="1"/>
      <w:numFmt w:val="bullet"/>
      <w:lvlText w:val="●"/>
      <w:lvlJc w:val="left"/>
      <w:pPr>
        <w:ind w:left="5760" w:hanging="360"/>
      </w:pPr>
    </w:lvl>
    <w:lvl w:ilvl="8" w:tplc="71A2C1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601"/>
    <w:rsid w:val="001C7B14"/>
    <w:rsid w:val="00225D4C"/>
    <w:rsid w:val="006E5E29"/>
    <w:rsid w:val="00853461"/>
    <w:rsid w:val="00900025"/>
    <w:rsid w:val="009F5601"/>
    <w:rsid w:val="00D655FD"/>
    <w:rsid w:val="00F6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785C60"/>
  <w15:docId w15:val="{46F3D83B-C16C-4785-9A99-88B0E98EB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yectos.inei.gob.pe/microdato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atosabiertos.gob.p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tratacionesabiertas.oece.gob.pe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ata.open-contracting.org/es/publication/135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ef.gob.pe/es/presentacio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2746</Words>
  <Characters>15109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Heider Ysaias Sanchez Enriquez</cp:lastModifiedBy>
  <cp:revision>5</cp:revision>
  <dcterms:created xsi:type="dcterms:W3CDTF">2026-10-05T19:29:00Z</dcterms:created>
  <dcterms:modified xsi:type="dcterms:W3CDTF">2026-10-07T21:46:00Z</dcterms:modified>
</cp:coreProperties>
</file>