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financial-metrics-scoring-guide"/>
    <w:p>
      <w:pPr>
        <w:pStyle w:val="Heading1"/>
      </w:pPr>
      <w:r>
        <w:t xml:space="preserve">Financial Metrics &amp; Scoring Guide</w:t>
      </w:r>
    </w:p>
    <w:p>
      <w:pPr>
        <w:pStyle w:val="FirstParagraph"/>
      </w:pPr>
      <w:r>
        <w:t xml:space="preserve">Reference for all metrics, scores, and thresholds used in the STOXX Index Intelligence dashboard.</w:t>
      </w:r>
      <w:r>
        <w:t xml:space="preserve"> </w:t>
      </w:r>
      <w:r>
        <w:t xml:space="preserve">Covers index-level aggregates, daily cross-sectional signals, quarterly fundamental scores,</w:t>
      </w:r>
      <w:r>
        <w:t xml:space="preserve"> </w:t>
      </w:r>
      <w:r>
        <w:t xml:space="preserve">and standard exchange data analysis indicators.</w:t>
      </w:r>
    </w:p>
    <w:p>
      <w:r>
        <w:pict>
          <v:rect style="width:0;height:1.5pt" o:hralign="center" o:hrstd="t" o:hr="t"/>
        </w:pict>
      </w:r>
    </w:p>
    <w:bookmarkStart w:id="10" w:name="index-snapshot"/>
    <w:p>
      <w:pPr>
        <w:pStyle w:val="Heading2"/>
      </w:pPr>
      <w:r>
        <w:t xml:space="preserve">1. Index Snapshot</w:t>
      </w:r>
    </w:p>
    <w:p>
      <w:pPr>
        <w:pStyle w:val="FirstParagraph"/>
      </w:pPr>
      <w:r>
        <w:t xml:space="preserve">Cap-weighted aggregates computed daily from constituent data.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2457"/>
        <w:gridCol w:w="3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YTD Return</w:t>
            </w:r>
          </w:p>
        </w:tc>
        <w:tc>
          <w:tcPr/>
          <w:p>
            <w:pPr>
              <w:pStyle w:val="Compact"/>
            </w:pPr>
            <w:r>
              <w:t xml:space="preserve">Cumulative equal-weight return from Jan 1</w:t>
            </w:r>
          </w:p>
        </w:tc>
        <w:tc>
          <w:tcPr/>
          <w:p>
            <w:pPr>
              <w:pStyle w:val="Compact"/>
            </w:pPr>
            <w:r>
              <w:t xml:space="preserve">&gt; +10% strong · &lt; −10% drawdown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30d Return</w:t>
            </w:r>
          </w:p>
        </w:tc>
        <w:tc>
          <w:tcPr/>
          <w:p>
            <w:pPr>
              <w:pStyle w:val="Compact"/>
            </w:pPr>
            <w:r>
              <w:t xml:space="preserve">Rolling 30 trading-day return</w:t>
            </w:r>
          </w:p>
        </w:tc>
        <w:tc>
          <w:tcPr/>
          <w:p>
            <w:pPr>
              <w:pStyle w:val="Compact"/>
            </w:pPr>
            <w:r>
              <w:t xml:space="preserve">Compare with 90d (see 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90d Return</w:t>
            </w:r>
          </w:p>
        </w:tc>
        <w:tc>
          <w:tcPr/>
          <w:p>
            <w:pPr>
              <w:pStyle w:val="Compact"/>
            </w:pPr>
            <w:r>
              <w:t xml:space="preserve">Rolling 90 trading-day return</w:t>
            </w:r>
          </w:p>
        </w:tc>
        <w:tc>
          <w:tcPr/>
          <w:p>
            <w:pPr>
              <w:pStyle w:val="Compact"/>
            </w:pPr>
            <w:r>
              <w:t xml:space="preserve">Compare with 30d (see 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30d Volatility</w:t>
            </w:r>
          </w:p>
        </w:tc>
        <w:tc>
          <w:tcPr/>
          <w:p>
            <w:pPr>
              <w:pStyle w:val="Compact"/>
            </w:pPr>
            <w:r>
              <w:t xml:space="preserve">Annualized std dev of daily returns (×√252)</w:t>
            </w:r>
          </w:p>
        </w:tc>
        <w:tc>
          <w:tcPr/>
          <w:p>
            <w:pPr>
              <w:pStyle w:val="Compact"/>
            </w:pPr>
            <w:r>
              <w:t xml:space="preserve">&lt; 15% calm · 15–25% elevated · &gt; 25% high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P/E</w:t>
            </w:r>
          </w:p>
        </w:tc>
        <w:tc>
          <w:tcPr/>
          <w:p>
            <w:pPr>
              <w:pStyle w:val="Compact"/>
            </w:pPr>
            <w:r>
              <w:t xml:space="preserve">Cap-weighted avg forward price-to-earnings</w:t>
            </w:r>
          </w:p>
        </w:tc>
        <w:tc>
          <w:tcPr/>
          <w:p>
            <w:pPr>
              <w:pStyle w:val="Compact"/>
            </w:pPr>
            <w:r>
              <w:t xml:space="preserve">&lt; 15 cheap · &gt; 25 expensive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P/B</w:t>
            </w:r>
          </w:p>
        </w:tc>
        <w:tc>
          <w:tcPr/>
          <w:p>
            <w:pPr>
              <w:pStyle w:val="Compact"/>
            </w:pPr>
            <w:r>
              <w:t xml:space="preserve">Cap-weighted avg price-to-book</w:t>
            </w:r>
          </w:p>
        </w:tc>
        <w:tc>
          <w:tcPr/>
          <w:p>
            <w:pPr>
              <w:pStyle w:val="Compact"/>
            </w:pPr>
            <w:r>
              <w:t xml:space="preserve">&lt; 1.5 value · &gt; 3 growth premium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Dividend Yield</w:t>
            </w:r>
          </w:p>
        </w:tc>
        <w:tc>
          <w:tcPr/>
          <w:p>
            <w:pPr>
              <w:pStyle w:val="Compact"/>
            </w:pPr>
            <w:r>
              <w:t xml:space="preserve">Cap-weighted avg yield across constituents</w:t>
            </w:r>
          </w:p>
        </w:tc>
        <w:tc>
          <w:tcPr/>
          <w:p>
            <w:pPr>
              <w:pStyle w:val="Compact"/>
            </w:pPr>
            <w:r>
              <w:t xml:space="preserve">&gt; 3% attractive for income</w:t>
            </w:r>
          </w:p>
        </w:tc>
      </w:tr>
    </w:tbl>
    <w:bookmarkStart w:id="9" w:name="d-vs-90d-return-interpretation"/>
    <w:p>
      <w:pPr>
        <w:pStyle w:val="Heading3"/>
      </w:pPr>
      <w:r>
        <w:t xml:space="preserve">30d vs 90d Return Interpretation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30d &gt; 90d, both positive</w:t>
            </w:r>
          </w:p>
        </w:tc>
        <w:tc>
          <w:tcPr/>
          <w:p>
            <w:pPr>
              <w:pStyle w:val="Compact"/>
            </w:pPr>
            <w:r>
              <w:t xml:space="preserve">Strong rally gaining steam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30d &lt; 90d, both positive</w:t>
            </w:r>
          </w:p>
        </w:tc>
        <w:tc>
          <w:tcPr/>
          <w:p>
            <w:pPr>
              <w:pStyle w:val="Compact"/>
            </w:pPr>
            <w:r>
              <w:t xml:space="preserve">Rally decelerating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30d &gt; 90d, both negative</w:t>
            </w:r>
          </w:p>
        </w:tc>
        <w:tc>
          <w:tcPr/>
          <w:p>
            <w:pPr>
              <w:pStyle w:val="Compact"/>
            </w:pPr>
            <w:r>
              <w:t xml:space="preserve">Selloff moderating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30d &lt; 90d, both negative</w:t>
            </w:r>
          </w:p>
        </w:tc>
        <w:tc>
          <w:tcPr/>
          <w:p>
            <w:pPr>
              <w:pStyle w:val="Compact"/>
            </w:pPr>
            <w:r>
              <w:t xml:space="preserve">Deepening selloff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 signs</w:t>
            </w:r>
          </w:p>
        </w:tc>
        <w:tc>
          <w:tcPr/>
          <w:p>
            <w:pPr>
              <w:pStyle w:val="Compact"/>
            </w:pPr>
            <w:r>
              <w:t xml:space="preserve">Potential trend reversal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6" w:name="chart-metrics"/>
    <w:p>
      <w:pPr>
        <w:pStyle w:val="Heading2"/>
      </w:pPr>
      <w:r>
        <w:t xml:space="preserve">2. Chart Metrics</w:t>
      </w:r>
    </w:p>
    <w:p>
      <w:pPr>
        <w:pStyle w:val="FirstParagraph"/>
      </w:pPr>
      <w:r>
        <w:t xml:space="preserve">Five time-series charts stacked vertically with synchronized zoom/pan.</w:t>
      </w:r>
    </w:p>
    <w:bookmarkStart w:id="11" w:name="synthetic-portfolio-return"/>
    <w:p>
      <w:pPr>
        <w:pStyle w:val="Heading3"/>
      </w:pPr>
      <w:r>
        <w:t xml:space="preserve">Synthetic Portfolio Return (%)</w:t>
      </w:r>
    </w:p>
    <w:p>
      <w:pPr>
        <w:pStyle w:val="FirstParagraph"/>
      </w:pPr>
      <w:r>
        <w:t xml:space="preserve">Equal-weight portfolio holding all index constituents, rebased to 0% at period start.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Return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CumulativeFactor</m:t>
                      </m:r>
                    </m:e>
                    <m:sub>
                      <m:r>
                        <m:t>t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CumulativeFactor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start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Positive slope = index gaining value. A flattening curve signals exhaustion.</w:t>
      </w:r>
    </w:p>
    <w:bookmarkEnd w:id="11"/>
    <w:bookmarkStart w:id="12" w:name="rolling-30d-return"/>
    <w:p>
      <w:pPr>
        <w:pStyle w:val="Heading3"/>
      </w:pPr>
      <w:r>
        <w:t xml:space="preserve">Rolling 30d Return (%)</w:t>
      </w:r>
    </w:p>
    <w:p>
      <w:pPr>
        <w:pStyle w:val="FirstParagraph"/>
      </w:pPr>
      <w:r>
        <w:t xml:space="preserve">Trailing 30-day cumulative return, plotted daily. Uses a baseline series (green above zero, red below).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Positive = recent momentum is bullish. Sustained values &gt; +5% indicate a strong trend. Zero crossings mark regime changes.</w:t>
      </w:r>
    </w:p>
    <w:bookmarkEnd w:id="12"/>
    <w:bookmarkStart w:id="13" w:name="drawdown-from-peak"/>
    <w:p>
      <w:pPr>
        <w:pStyle w:val="Heading3"/>
      </w:pPr>
      <w:r>
        <w:t xml:space="preserve">Drawdown from Peak (%)</w:t>
      </w:r>
    </w:p>
    <w:p>
      <w:pPr>
        <w:pStyle w:val="FirstParagraph"/>
      </w:pPr>
      <w:r>
        <w:t xml:space="preserve">Distance from the running all-time high of the cumulative factor.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Drawdown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CumulativeFactor</m:t>
                      </m:r>
                    </m:e>
                    <m:sub>
                      <m:r>
                        <m:t>t</m:t>
                      </m:r>
                    </m:sub>
                  </m:sSub>
                </m:num>
                <m:den>
                  <m:limLow>
                    <m:e>
                      <m:r>
                        <m:rPr>
                          <m:sty m:val="p"/>
                        </m:rPr>
                        <m:t>max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t</m:t>
                      </m:r>
                    </m:lim>
                  </m:limLow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CumulativeFactor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Always ≤ 0. Depth shows tail risk. Recovery time (from trough back to 0%) measures market resilience.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Drawdown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0% to −5%</w:t>
            </w:r>
          </w:p>
        </w:tc>
        <w:tc>
          <w:tcPr/>
          <w:p>
            <w:pPr>
              <w:pStyle w:val="Compact"/>
            </w:pPr>
            <w:r>
              <w:t xml:space="preserve">Normal fluctuation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−5% to −10%</w:t>
            </w:r>
          </w:p>
        </w:tc>
        <w:tc>
          <w:tcPr/>
          <w:p>
            <w:pPr>
              <w:pStyle w:val="Compact"/>
            </w:pPr>
            <w:r>
              <w:t xml:space="preserve">Correction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−10% to −20%</w:t>
            </w:r>
          </w:p>
        </w:tc>
        <w:tc>
          <w:tcPr/>
          <w:p>
            <w:pPr>
              <w:pStyle w:val="Compact"/>
            </w:pPr>
            <w:r>
              <w:t xml:space="preserve">Bear territory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−20%</w:t>
            </w:r>
          </w:p>
        </w:tc>
        <w:tc>
          <w:tcPr/>
          <w:p>
            <w:pPr>
              <w:pStyle w:val="Compact"/>
            </w:pPr>
            <w:r>
              <w:t xml:space="preserve">Severe bear market</w:t>
            </w:r>
          </w:p>
        </w:tc>
      </w:tr>
    </w:tbl>
    <w:bookmarkEnd w:id="13"/>
    <w:bookmarkStart w:id="14" w:name="d-annualized-volatility"/>
    <w:p>
      <w:pPr>
        <w:pStyle w:val="Heading3"/>
      </w:pPr>
      <w:r>
        <w:t xml:space="preserve">30d Annualized Volatility (%)</w:t>
      </w:r>
    </w:p>
    <w:p>
      <w:pPr>
        <w:pStyle w:val="FirstParagraph"/>
      </w:pPr>
      <w:r>
        <w:t xml:space="preserve">Rolling 30-day standard deviation of daily returns, annualized.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30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std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29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r>
                <m:t>252</m:t>
              </m:r>
            </m:e>
          </m:rad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pStyle w:val="FirstParagraph"/>
      </w:pPr>
      <w:r>
        <w:t xml:space="preserve">A horizontal dashed line marks the historical average for the selected index.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Volatility</w:t>
            </w:r>
          </w:p>
        </w:tc>
        <w:tc>
          <w:tcPr/>
          <w:p>
            <w:pPr>
              <w:pStyle w:val="Compact"/>
            </w:pPr>
            <w:r>
              <w:t xml:space="preserve">Regime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15%</w:t>
            </w:r>
          </w:p>
        </w:tc>
        <w:tc>
          <w:tcPr/>
          <w:p>
            <w:pPr>
              <w:pStyle w:val="Compact"/>
            </w:pPr>
            <w:r>
              <w:t xml:space="preserve">Low / calm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15–25%</w:t>
            </w:r>
          </w:p>
        </w:tc>
        <w:tc>
          <w:tcPr/>
          <w:p>
            <w:pPr>
              <w:pStyle w:val="Compact"/>
            </w:pPr>
            <w:r>
              <w:t xml:space="preserve">Elevated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25%</w:t>
            </w:r>
          </w:p>
        </w:tc>
        <w:tc>
          <w:tcPr/>
          <w:p>
            <w:pPr>
              <w:pStyle w:val="Compact"/>
            </w:pPr>
            <w:r>
              <w:t xml:space="preserve">High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40%</w:t>
            </w:r>
          </w:p>
        </w:tc>
        <w:tc>
          <w:tcPr/>
          <w:p>
            <w:pPr>
              <w:pStyle w:val="Compact"/>
            </w:pPr>
            <w:r>
              <w:t xml:space="preserve">Crisis-level (e.g. 2020 COVID, 2022 rate shock)</w:t>
            </w:r>
          </w:p>
        </w:tc>
      </w:tr>
    </w:tbl>
    <w:bookmarkEnd w:id="14"/>
    <w:bookmarkStart w:id="15" w:name="rolling-30d-sharpe-ratio"/>
    <w:p>
      <w:pPr>
        <w:pStyle w:val="Heading3"/>
      </w:pPr>
      <w:r>
        <w:t xml:space="preserve">Rolling 30d Sharpe Ratio</w:t>
      </w:r>
    </w:p>
    <w:p>
      <w:pPr>
        <w:pStyle w:val="FirstParagraph"/>
      </w:pPr>
      <w:r>
        <w:t xml:space="preserve">Risk-adjusted return: rolling return divided by rolling volatility.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Sharpe</m:t>
              </m:r>
            </m:e>
            <m:sub>
              <m:r>
                <m:t>30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Rolling30dReturn</m:t>
              </m:r>
            </m:num>
            <m:den>
              <m:r>
                <m:rPr>
                  <m:nor/>
                  <m:sty m:val="p"/>
                </m:rPr>
                <m:t>Rolling30dVolatility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Sharpe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2.0</w:t>
            </w:r>
          </w:p>
        </w:tc>
        <w:tc>
          <w:tcPr/>
          <w:p>
            <w:pPr>
              <w:pStyle w:val="Compact"/>
            </w:pPr>
            <w:r>
              <w:t xml:space="preserve">Exceptional (rarely sustained)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1.0–2.0</w:t>
            </w:r>
          </w:p>
        </w:tc>
        <w:tc>
          <w:tcPr/>
          <w:p>
            <w:pPr>
              <w:pStyle w:val="Compact"/>
            </w:pPr>
            <w:r>
              <w:t xml:space="preserve">Strong risk-adjusted returns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0–1.0</w:t>
            </w:r>
          </w:p>
        </w:tc>
        <w:tc>
          <w:tcPr/>
          <w:p>
            <w:pPr>
              <w:pStyle w:val="Compact"/>
            </w:pPr>
            <w:r>
              <w:t xml:space="preserve">Modest positive returns relative to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0</w:t>
            </w:r>
          </w:p>
        </w:tc>
        <w:tc>
          <w:tcPr/>
          <w:p>
            <w:pPr>
              <w:pStyle w:val="Compact"/>
            </w:pPr>
            <w:r>
              <w:t xml:space="preserve">Losing money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1" w:name="daily-signals"/>
    <w:p>
      <w:pPr>
        <w:pStyle w:val="Heading2"/>
      </w:pPr>
      <w:r>
        <w:t xml:space="preserve">3. Daily Signals</w:t>
      </w:r>
    </w:p>
    <w:p>
      <w:pPr>
        <w:pStyle w:val="FirstParagraph"/>
      </w:pPr>
      <w:r>
        <w:t xml:space="preserve">Cross-sectional z-scores computed daily across all index constituents. Each composite score averages</w:t>
      </w:r>
      <w:r>
        <w:t xml:space="preserve"> </w:t>
      </w:r>
      <w:r>
        <w:t xml:space="preserve">its component z-scores, ranked with dense rank (no gaps, ties allowed).</w:t>
      </w:r>
    </w:p>
    <w:bookmarkStart w:id="17" w:name="momentum-score"/>
    <w:p>
      <w:pPr>
        <w:pStyle w:val="Heading3"/>
      </w:pPr>
      <w:r>
        <w:t xml:space="preserve">Momentum Score</w:t>
      </w:r>
    </w:p>
    <w:p>
      <w:pPr>
        <w:pStyle w:val="FirstParagraph"/>
      </w:pPr>
      <w:r>
        <w:t xml:space="preserve">Measures sustained price trend strength.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2346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Relative Strength</w:t>
            </w:r>
          </w:p>
        </w:tc>
        <w:tc>
          <w:tcPr/>
          <w:p>
            <w:pPr>
              <w:pStyle w:val="Compact"/>
            </w:pPr>
            <w:r>
              <w:t xml:space="preserve">52-week return − index 52-week return</w:t>
            </w:r>
          </w:p>
        </w:tc>
        <w:tc>
          <w:tcPr/>
          <w:p>
            <w:pPr>
              <w:pStyle w:val="Compact"/>
            </w:pPr>
            <w:r>
              <w:t xml:space="preserve">z-score within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SMA-50 Ratio</w:t>
            </w:r>
          </w:p>
        </w:tc>
        <w:tc>
          <w:tcPr/>
          <w:p>
            <w:pPr>
              <w:pStyle w:val="Compact"/>
            </w:pPr>
            <w:r>
              <w:t xml:space="preserve">Price / 50-day moving average</w:t>
            </w:r>
          </w:p>
        </w:tc>
        <w:tc>
          <w:tcPr/>
          <w:p>
            <w:pPr>
              <w:pStyle w:val="Compact"/>
            </w:pPr>
            <w:r>
              <w:t xml:space="preserve">z-score within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SMA-200 Ratio</w:t>
            </w:r>
          </w:p>
        </w:tc>
        <w:tc>
          <w:tcPr/>
          <w:p>
            <w:pPr>
              <w:pStyle w:val="Compact"/>
            </w:pPr>
            <w:r>
              <w:t xml:space="preserve">Price / 200-day moving average</w:t>
            </w:r>
          </w:p>
        </w:tc>
        <w:tc>
          <w:tcPr/>
          <w:p>
            <w:pPr>
              <w:pStyle w:val="Compact"/>
            </w:pPr>
            <w:r>
              <w:t xml:space="preserve">z-score within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52-Week High Proximity</w:t>
            </w:r>
          </w:p>
        </w:tc>
        <w:tc>
          <w:tcPr/>
          <w:p>
            <w:pPr>
              <w:pStyle w:val="Compact"/>
            </w:pPr>
            <w:r>
              <w:t xml:space="preserve">(Price − 52w high) / 52w high</w:t>
            </w:r>
          </w:p>
        </w:tc>
        <w:tc>
          <w:tcPr/>
          <w:p>
            <w:pPr>
              <w:pStyle w:val="Compact"/>
            </w:pPr>
            <w:r>
              <w:t xml:space="preserve">Inverted z-score (closer to peak = higher)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MomentumScore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mean</m:t>
          </m:r>
          <m:r>
            <m:rPr>
              <m:sty m:val="p"/>
            </m:rPr>
            <m:t>(</m:t>
          </m:r>
          <m:sSub>
            <m:e>
              <m:r>
                <m:t>z</m:t>
              </m:r>
            </m:e>
            <m:sub>
              <m:r>
                <m:rPr>
                  <m:nor/>
                  <m:sty m:val="p"/>
                </m:rPr>
                <m:t>RS</m:t>
              </m:r>
            </m:sub>
          </m:sSub>
          <m:r>
            <m:rPr>
              <m:sty m:val="p"/>
            </m:rPr>
            <m:t>,</m:t>
          </m:r>
          <m:r>
            <m:t> </m:t>
          </m:r>
          <m:sSub>
            <m:e>
              <m:r>
                <m:t>z</m:t>
              </m:r>
            </m:e>
            <m:sub>
              <m:r>
                <m:rPr>
                  <m:nor/>
                  <m:sty m:val="p"/>
                </m:rPr>
                <m:t>SMA50</m:t>
              </m:r>
            </m:sub>
          </m:sSub>
          <m:r>
            <m:rPr>
              <m:sty m:val="p"/>
            </m:rPr>
            <m:t>,</m:t>
          </m:r>
          <m:r>
            <m:t> </m:t>
          </m:r>
          <m:sSub>
            <m:e>
              <m:r>
                <m:t>z</m:t>
              </m:r>
            </m:e>
            <m:sub>
              <m:r>
                <m:rPr>
                  <m:nor/>
                  <m:sty m:val="p"/>
                </m:rPr>
                <m:t>SMA200</m:t>
              </m:r>
            </m:sub>
          </m:sSub>
          <m:r>
            <m:rPr>
              <m:sty m:val="p"/>
            </m:rPr>
            <m:t>,</m:t>
          </m:r>
          <m:r>
            <m:t> </m:t>
          </m:r>
          <m:sSub>
            <m:e>
              <m:r>
                <m:t>z</m:t>
              </m:r>
            </m:e>
            <m:sub>
              <m:r>
                <m:rPr>
                  <m:nor/>
                  <m:sty m:val="p"/>
                </m:rPr>
                <m:t>52wHigh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Rank #1 has the strongest uptrend across all four dimensions. Scores &gt; 1.5 indicate exceptionally strong momentum.</w:t>
      </w:r>
    </w:p>
    <w:bookmarkEnd w:id="17"/>
    <w:bookmarkStart w:id="18" w:name="divergence-alerts"/>
    <w:p>
      <w:pPr>
        <w:pStyle w:val="Heading3"/>
      </w:pPr>
      <w:r>
        <w:t xml:space="preserve">Divergence Alerts</w:t>
      </w:r>
    </w:p>
    <w:p>
      <w:pPr>
        <w:pStyle w:val="FirstParagraph"/>
      </w:pPr>
      <w:r>
        <w:t xml:space="preserve">Contrarian signal: price is falling but analysts still rate the stock a buy.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falling</w:t>
            </w:r>
          </w:p>
        </w:tc>
        <w:tc>
          <w:tcPr/>
          <w:p>
            <w:pPr>
              <w:pStyle w:val="Compact"/>
            </w:pPr>
            <w:r>
              <w:t xml:space="preserve">52-week change &lt; −10%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Analysts bullish</w:t>
            </w:r>
          </w:p>
        </w:tc>
        <w:tc>
          <w:tcPr/>
          <w:p>
            <w:pPr>
              <w:pStyle w:val="Compact"/>
            </w:pPr>
            <w:r>
              <w:t xml:space="preserve">Recommendation mean ≤ 2.5 and implied upside &gt; 0</w:t>
            </w:r>
          </w:p>
        </w:tc>
      </w:tr>
    </w:tbl>
    <w:p>
      <w:pPr>
        <w:pStyle w:val="BodyText"/>
      </w:pPr>
      <w:r>
        <w:t xml:space="preserve">Both must be true simultaneously. The alert is either an opportunity (market overreaction) or a value trap (analysts lagging reality). Always cross-reference with fundamentals.</w:t>
      </w:r>
    </w:p>
    <w:p>
      <w:pPr>
        <w:pStyle w:val="BodyText"/>
      </w:pPr>
      <w:r>
        <w:rPr>
          <w:b/>
          <w:bCs/>
        </w:rPr>
        <w:t xml:space="preserve">Columns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Upside</w:t>
      </w:r>
      <w:r>
        <w:t xml:space="preserve"> </w:t>
      </w:r>
      <w:r>
        <w:t xml:space="preserve">— (analyst target price / current price) − 1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</w:t>
      </w:r>
      <w:r>
        <w:t xml:space="preserve"> </w:t>
      </w:r>
      <w:r>
        <w:t xml:space="preserve">— consensus recommendation (1.0 = Strong Buy → 5.0 = Strong Sell)</w:t>
      </w:r>
    </w:p>
    <w:bookmarkEnd w:id="18"/>
    <w:bookmarkStart w:id="19" w:name="relative-value-score"/>
    <w:p>
      <w:pPr>
        <w:pStyle w:val="Heading3"/>
      </w:pPr>
      <w:r>
        <w:t xml:space="preserve">Relative Value Score</w:t>
      </w:r>
    </w:p>
    <w:p>
      <w:pPr>
        <w:pStyle w:val="FirstParagraph"/>
      </w:pPr>
      <w:r>
        <w:t xml:space="preserve">Measures how cheaply a stock trades relative to its index peers. All valuation multiples are inverted (lower = better).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2346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Forward P/E</w:t>
            </w:r>
          </w:p>
        </w:tc>
        <w:tc>
          <w:tcPr/>
          <w:p>
            <w:pPr>
              <w:pStyle w:val="Compact"/>
            </w:pPr>
            <w:r>
              <w:t xml:space="preserve">yfinance</w:t>
            </w:r>
            <w:r>
              <w:t xml:space="preserve"> </w:t>
            </w:r>
            <w:r>
              <w:rPr>
                <w:rStyle w:val="VerbatimChar"/>
              </w:rPr>
              <w:t xml:space="preserve">forwardPE</w:t>
            </w:r>
          </w:p>
        </w:tc>
        <w:tc>
          <w:tcPr/>
          <w:p>
            <w:pPr>
              <w:pStyle w:val="Compact"/>
            </w:pPr>
            <w:r>
              <w:t xml:space="preserve">Inverted z-score within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Price/Book</w:t>
            </w:r>
          </w:p>
        </w:tc>
        <w:tc>
          <w:tcPr/>
          <w:p>
            <w:pPr>
              <w:pStyle w:val="Compact"/>
            </w:pPr>
            <w:r>
              <w:t xml:space="preserve">yfinance</w:t>
            </w:r>
            <w:r>
              <w:t xml:space="preserve"> </w:t>
            </w:r>
            <w:r>
              <w:rPr>
                <w:rStyle w:val="VerbatimChar"/>
              </w:rPr>
              <w:t xml:space="preserve">priceToBook</w:t>
            </w:r>
          </w:p>
        </w:tc>
        <w:tc>
          <w:tcPr/>
          <w:p>
            <w:pPr>
              <w:pStyle w:val="Compact"/>
            </w:pPr>
            <w:r>
              <w:t xml:space="preserve">Inverted z-score within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EV/EBITDA</w:t>
            </w:r>
          </w:p>
        </w:tc>
        <w:tc>
          <w:tcPr/>
          <w:p>
            <w:pPr>
              <w:pStyle w:val="Compact"/>
            </w:pPr>
            <w:r>
              <w:t xml:space="preserve">yfinance</w:t>
            </w:r>
            <w:r>
              <w:t xml:space="preserve"> </w:t>
            </w:r>
            <w:r>
              <w:rPr>
                <w:rStyle w:val="VerbatimChar"/>
              </w:rPr>
              <w:t xml:space="preserve">enterpriseToEbitda</w:t>
            </w:r>
          </w:p>
        </w:tc>
        <w:tc>
          <w:tcPr/>
          <w:p>
            <w:pPr>
              <w:pStyle w:val="Compact"/>
            </w:pPr>
            <w:r>
              <w:t xml:space="preserve">Inverted z-score within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Dividend Yield</w:t>
            </w:r>
          </w:p>
        </w:tc>
        <w:tc>
          <w:tcPr/>
          <w:p>
            <w:pPr>
              <w:pStyle w:val="Compact"/>
            </w:pPr>
            <w:r>
              <w:t xml:space="preserve">yfinance</w:t>
            </w:r>
            <w:r>
              <w:t xml:space="preserve"> </w:t>
            </w:r>
            <w:r>
              <w:rPr>
                <w:rStyle w:val="VerbatimChar"/>
              </w:rPr>
              <w:t xml:space="preserve">dividendYield</w:t>
            </w:r>
          </w:p>
        </w:tc>
        <w:tc>
          <w:tcPr/>
          <w:p>
            <w:pPr>
              <w:pStyle w:val="Compact"/>
            </w:pPr>
            <w:r>
              <w:t xml:space="preserve">z-score within index (higher yield = higher score)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ValueScore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mean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rPr>
                  <m:nor/>
                  <m:sty m:val="p"/>
                </m:rPr>
                <m:t>PE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rPr>
                  <m:nor/>
                  <m:sty m:val="p"/>
                </m:rPr>
                <m:t>PB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rPr>
                  <m:nor/>
                  <m:sty m:val="p"/>
                </m:rPr>
                <m:t>EV</m:t>
              </m:r>
            </m:sub>
          </m:sSub>
          <m:r>
            <m:rPr>
              <m:sty m:val="p"/>
            </m:rPr>
            <m:t>,</m:t>
          </m:r>
          <m:r>
            <m:t> </m:t>
          </m:r>
          <m:sSub>
            <m:e>
              <m:r>
                <m:t>z</m:t>
              </m:r>
            </m:e>
            <m:sub>
              <m:r>
                <m:rPr>
                  <m:nor/>
                  <m:sty m:val="p"/>
                </m:rPr>
                <m:t>Yield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Top-ranked stocks trade at the deepest discount to index median. Scores &gt; 1.0 indicate significant undervaluation. Always verify — cheap can mean value trap.</w:t>
      </w:r>
    </w:p>
    <w:bookmarkEnd w:id="19"/>
    <w:bookmarkStart w:id="20" w:name="sentiment-score"/>
    <w:p>
      <w:pPr>
        <w:pStyle w:val="Heading3"/>
      </w:pPr>
      <w:r>
        <w:t xml:space="preserve">Sentiment Score</w:t>
      </w:r>
    </w:p>
    <w:p>
      <w:pPr>
        <w:pStyle w:val="FirstParagraph"/>
      </w:pPr>
      <w:r>
        <w:t xml:space="preserve">Combines analyst upside with consensus recommendation strength.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2346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Implied Upside</w:t>
            </w:r>
          </w:p>
        </w:tc>
        <w:tc>
          <w:tcPr/>
          <w:p>
            <w:pPr>
              <w:pStyle w:val="Compact"/>
            </w:pPr>
            <w:r>
              <w:t xml:space="preserve">(Target price / current) − 1</w:t>
            </w:r>
          </w:p>
        </w:tc>
        <w:tc>
          <w:tcPr/>
          <w:p>
            <w:pPr>
              <w:pStyle w:val="Compact"/>
            </w:pPr>
            <w:r>
              <w:t xml:space="preserve">z-score within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Consensus analyst rating</w:t>
            </w:r>
          </w:p>
        </w:tc>
        <w:tc>
          <w:tcPr/>
          <w:p>
            <w:pPr>
              <w:pStyle w:val="Compact"/>
            </w:pPr>
            <w:r>
              <w:t xml:space="preserve">Inverted z-score (lower mean = more bullish)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SentimentScore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mean</m:t>
          </m:r>
          <m:r>
            <m:rPr>
              <m:sty m:val="p"/>
            </m:rPr>
            <m:t>(</m:t>
          </m:r>
          <m:sSub>
            <m:e>
              <m:r>
                <m:t>z</m:t>
              </m:r>
            </m:e>
            <m:sub>
              <m:r>
                <m:rPr>
                  <m:nor/>
                  <m:sty m:val="p"/>
                </m:rPr>
                <m:t>Upside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rPr>
                  <m:nor/>
                  <m:sty m:val="p"/>
                </m:rPr>
                <m:t>Rec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Recommendation scale</w:t>
      </w:r>
      <w:r>
        <w:t xml:space="preserve">: 1.0 (Strong Buy) → 2.0 (Buy) → 3.0 (Hold) → 4.0 (Sell) → 5.0 (Strong Sell)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quarterly-signals"/>
    <w:p>
      <w:pPr>
        <w:pStyle w:val="Heading2"/>
      </w:pPr>
      <w:r>
        <w:t xml:space="preserve">4. Quarterly Signals</w:t>
      </w:r>
    </w:p>
    <w:p>
      <w:pPr>
        <w:pStyle w:val="FirstParagraph"/>
      </w:pPr>
      <w:r>
        <w:t xml:space="preserve">Updated with earnings reports. Scores use the most recent quarterly financial data.</w:t>
      </w:r>
    </w:p>
    <w:bookmarkStart w:id="22" w:name="quality-moat-score"/>
    <w:p>
      <w:pPr>
        <w:pStyle w:val="Heading3"/>
      </w:pPr>
      <w:r>
        <w:t xml:space="preserve">Quality / Moat Score</w:t>
      </w:r>
    </w:p>
    <w:p>
      <w:pPr>
        <w:pStyle w:val="FirstParagraph"/>
      </w:pPr>
      <w:r>
        <w:t xml:space="preserve">Measures fundamental strength — profitability, efficiency, and cash generation.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</w:pPr>
            <w:r>
              <w:t xml:space="preserve">Quarterly financials</w:t>
            </w:r>
          </w:p>
        </w:tc>
        <w:tc>
          <w:tcPr/>
          <w:p>
            <w:pPr>
              <w:pStyle w:val="Compact"/>
            </w:pPr>
            <w:r>
              <w:t xml:space="preserve">z-score within sector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ROE</w:t>
            </w:r>
          </w:p>
        </w:tc>
        <w:tc>
          <w:tcPr/>
          <w:p>
            <w:pPr>
              <w:pStyle w:val="Compact"/>
            </w:pPr>
            <w:r>
              <w:t xml:space="preserve">Return on equity</w:t>
            </w:r>
          </w:p>
        </w:tc>
        <w:tc>
          <w:tcPr/>
          <w:p>
            <w:pPr>
              <w:pStyle w:val="Compact"/>
            </w:pPr>
            <w:r>
              <w:t xml:space="preserve">z-score within sector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Margin</w:t>
            </w:r>
          </w:p>
        </w:tc>
        <w:tc>
          <w:tcPr/>
          <w:p>
            <w:pPr>
              <w:pStyle w:val="Compact"/>
            </w:pPr>
            <w:r>
              <w:t xml:space="preserve">Quarterly financials</w:t>
            </w:r>
          </w:p>
        </w:tc>
        <w:tc>
          <w:tcPr/>
          <w:p>
            <w:pPr>
              <w:pStyle w:val="Compact"/>
            </w:pPr>
            <w:r>
              <w:t xml:space="preserve">z-score within sector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Leverage</w:t>
            </w:r>
          </w:p>
        </w:tc>
        <w:tc>
          <w:tcPr/>
          <w:p>
            <w:pPr>
              <w:pStyle w:val="Compact"/>
            </w:pPr>
            <w:r>
              <w:t xml:space="preserve">Debt-to-equity</w:t>
            </w:r>
          </w:p>
        </w:tc>
        <w:tc>
          <w:tcPr/>
          <w:p>
            <w:pPr>
              <w:pStyle w:val="Compact"/>
            </w:pPr>
            <w:r>
              <w:t xml:space="preserve">Inverted z-score (lower debt = higher)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Yield</w:t>
            </w:r>
          </w:p>
        </w:tc>
        <w:tc>
          <w:tcPr/>
          <w:p>
            <w:pPr>
              <w:pStyle w:val="Compact"/>
            </w:pPr>
            <w:r>
              <w:t xml:space="preserve">Free cash flow / market cap</w:t>
            </w:r>
          </w:p>
        </w:tc>
        <w:tc>
          <w:tcPr/>
          <w:p>
            <w:pPr>
              <w:pStyle w:val="Compact"/>
            </w:pPr>
            <w:r>
              <w:t xml:space="preserve">z-score within sector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QualityScore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mean</m:t>
          </m:r>
          <m:r>
            <m:rPr>
              <m:sty m:val="p"/>
            </m:rPr>
            <m:t>(</m:t>
          </m:r>
          <m:sSub>
            <m:e>
              <m:r>
                <m:t>z</m:t>
              </m:r>
            </m:e>
            <m:sub>
              <m:r>
                <m:rPr>
                  <m:nor/>
                  <m:sty m:val="p"/>
                </m:rPr>
                <m:t>GM</m:t>
              </m:r>
            </m:sub>
          </m:sSub>
          <m:r>
            <m:rPr>
              <m:sty m:val="p"/>
            </m:rPr>
            <m:t>,</m:t>
          </m:r>
          <m:r>
            <m:t> </m:t>
          </m:r>
          <m:sSub>
            <m:e>
              <m:r>
                <m:t>z</m:t>
              </m:r>
            </m:e>
            <m:sub>
              <m:r>
                <m:rPr>
                  <m:nor/>
                  <m:sty m:val="p"/>
                </m:rPr>
                <m:t>ROE</m:t>
              </m:r>
            </m:sub>
          </m:sSub>
          <m:r>
            <m:rPr>
              <m:sty m:val="p"/>
            </m:rPr>
            <m:t>,</m:t>
          </m:r>
          <m:r>
            <m:t> </m:t>
          </m:r>
          <m:sSub>
            <m:e>
              <m:r>
                <m:t>z</m:t>
              </m:r>
            </m:e>
            <m:sub>
              <m:r>
                <m:rPr>
                  <m:nor/>
                  <m:sty m:val="p"/>
                </m:rPr>
                <m:t>OpM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rPr>
                  <m:nor/>
                  <m:sty m:val="p"/>
                </m:rPr>
                <m:t>Lev</m:t>
              </m:r>
            </m:sub>
          </m:sSub>
          <m:r>
            <m:rPr>
              <m:sty m:val="p"/>
            </m:rPr>
            <m:t>,</m:t>
          </m:r>
          <m:r>
            <m:t> </m:t>
          </m:r>
          <m:sSub>
            <m:e>
              <m:r>
                <m:t>z</m:t>
              </m:r>
            </m:e>
            <m:sub>
              <m:r>
                <m:rPr>
                  <m:nor/>
                  <m:sty m:val="p"/>
                </m:rPr>
                <m:t>FCF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High score = superior profitability, low debt, strong cash generation. Scores &gt; 1.0 indicate clear fundamental superiority.</w:t>
      </w:r>
    </w:p>
    <w:bookmarkEnd w:id="22"/>
    <w:bookmarkStart w:id="23" w:name="health-warnings"/>
    <w:p>
      <w:pPr>
        <w:pStyle w:val="Heading3"/>
      </w:pPr>
      <w:r>
        <w:t xml:space="preserve">Health Warnings</w:t>
      </w:r>
    </w:p>
    <w:p>
      <w:pPr>
        <w:pStyle w:val="FirstParagraph"/>
      </w:pPr>
      <w:r>
        <w:t xml:space="preserve">Binary flags from quarterly balance sheet data. Stocks with 2+ flags appear in the table.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904"/>
        <w:gridCol w:w="184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</w:t>
            </w:r>
            <w:r>
              <w:t xml:space="preserve"> </w:t>
            </w:r>
            <w:r>
              <w:t xml:space="preserve">(Liquidity)</w:t>
            </w:r>
          </w:p>
        </w:tc>
        <w:tc>
          <w:tcPr/>
          <w:p>
            <w:pPr>
              <w:pStyle w:val="Compact"/>
            </w:pPr>
            <w:r>
              <w:t xml:space="preserve">Current ratio &lt; 1.0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t xml:space="preserve">Cannot cover short-term obligations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</w:t>
            </w:r>
            <w:r>
              <w:t xml:space="preserve"> </w:t>
            </w:r>
            <w:r>
              <w:t xml:space="preserve">(Leverage)</w:t>
            </w:r>
          </w:p>
        </w:tc>
        <w:tc>
          <w:tcPr/>
          <w:p>
            <w:pPr>
              <w:pStyle w:val="Compact"/>
            </w:pPr>
            <w:r>
              <w:t xml:space="preserve">Debt/Equity &gt; 200%</w:t>
            </w:r>
          </w:p>
        </w:tc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t xml:space="preserve">Excessive debt burden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Cash</w:t>
            </w:r>
            <w:r>
              <w:t xml:space="preserve"> </w:t>
            </w:r>
            <w:r>
              <w:t xml:space="preserve">(Cash Burn)</w:t>
            </w:r>
          </w:p>
        </w:tc>
        <w:tc>
          <w:tcPr/>
          <w:p>
            <w:pPr>
              <w:pStyle w:val="Compact"/>
            </w:pPr>
            <w:r>
              <w:t xml:space="preserve">Free cash flow &lt; 0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Consuming cash, not generating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Decl</w:t>
            </w:r>
            <w:r>
              <w:t xml:space="preserve"> </w:t>
            </w:r>
            <w:r>
              <w:t xml:space="preserve">(Decline)</w:t>
            </w:r>
          </w:p>
        </w:tc>
        <w:tc>
          <w:tcPr/>
          <w:p>
            <w:pPr>
              <w:pStyle w:val="Compact"/>
            </w:pPr>
            <w:r>
              <w:t xml:space="preserve">Revenue AND margin both falling QoQ</w:t>
            </w:r>
          </w:p>
        </w:tc>
        <w:tc>
          <w:tcPr/>
          <w:p>
            <w:pPr>
              <w:pStyle w:val="Compact"/>
            </w:pPr>
            <w:r>
              <w:t xml:space="preserve">Purple</w:t>
            </w:r>
          </w:p>
        </w:tc>
        <w:tc>
          <w:tcPr/>
          <w:p>
            <w:pPr>
              <w:pStyle w:val="Compact"/>
            </w:pPr>
            <w:r>
              <w:t xml:space="preserve">Deteriorating business fundamentals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Flags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3+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</w:t>
      </w:r>
      <w:r>
        <w:t xml:space="preserve">: Low quality score + many flags = strong caution signal. Critical-level stocks may face dividend cuts, credit downgrades, or restructuring.</w:t>
      </w:r>
    </w:p>
    <w:bookmarkEnd w:id="23"/>
    <w:bookmarkStart w:id="24" w:name="governance-risk-score"/>
    <w:p>
      <w:pPr>
        <w:pStyle w:val="Heading3"/>
      </w:pPr>
      <w:r>
        <w:t xml:space="preserve">Governance Risk Score</w:t>
      </w:r>
    </w:p>
    <w:p>
      <w:pPr>
        <w:pStyle w:val="FirstParagraph"/>
      </w:pPr>
      <w:r>
        <w:t xml:space="preserve">Composite of ISS-style risk dimensions (sourced from yfinance quarterly data).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0"/>
        <w:gridCol w:w="3960"/>
        <w:gridCol w:w="15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Sub-Score</w:t>
            </w:r>
          </w:p>
        </w:tc>
        <w:tc>
          <w:tcPr/>
          <w:p>
            <w:pPr>
              <w:pStyle w:val="Compact"/>
            </w:pPr>
            <w:r>
              <w:t xml:space="preserve">What it measures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Risk</w:t>
            </w:r>
          </w:p>
        </w:tc>
        <w:tc>
          <w:tcPr/>
          <w:p>
            <w:pPr>
              <w:pStyle w:val="Compact"/>
            </w:pPr>
            <w:r>
              <w:t xml:space="preserve">Financial reporting integrity</w:t>
            </w:r>
          </w:p>
        </w:tc>
        <w:tc>
          <w:tcPr/>
          <w:p>
            <w:pPr>
              <w:pStyle w:val="Compact"/>
            </w:pPr>
            <w:r>
              <w:t xml:space="preserve">1 (low) – 10 (high risk)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 Risk</w:t>
            </w:r>
          </w:p>
        </w:tc>
        <w:tc>
          <w:tcPr/>
          <w:p>
            <w:pPr>
              <w:pStyle w:val="Compact"/>
            </w:pPr>
            <w:r>
              <w:t xml:space="preserve">Board independence and effectiveness</w:t>
            </w:r>
          </w:p>
        </w:tc>
        <w:tc>
          <w:tcPr/>
          <w:p>
            <w:pPr>
              <w:pStyle w:val="Compact"/>
            </w:pPr>
            <w:r>
              <w:t xml:space="preserve">1 –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Compensation Risk</w:t>
            </w:r>
          </w:p>
        </w:tc>
        <w:tc>
          <w:tcPr/>
          <w:p>
            <w:pPr>
              <w:pStyle w:val="Compact"/>
            </w:pPr>
            <w:r>
              <w:t xml:space="preserve">Executive pay alignment with shareholders</w:t>
            </w:r>
          </w:p>
        </w:tc>
        <w:tc>
          <w:tcPr/>
          <w:p>
            <w:pPr>
              <w:pStyle w:val="Compact"/>
            </w:pPr>
            <w:r>
              <w:t xml:space="preserve">1 –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Shareholder Rights Risk</w:t>
            </w:r>
          </w:p>
        </w:tc>
        <w:tc>
          <w:tcPr/>
          <w:p>
            <w:pPr>
              <w:pStyle w:val="Compact"/>
            </w:pPr>
            <w:r>
              <w:t xml:space="preserve">Minority shareholder protections</w:t>
            </w:r>
          </w:p>
        </w:tc>
        <w:tc>
          <w:tcPr/>
          <w:p>
            <w:pPr>
              <w:pStyle w:val="Compact"/>
            </w:pPr>
            <w:r>
              <w:t xml:space="preserve">1 – 10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GovernanceScore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mean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AuditRisk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BoardRisk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CompRisk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ShareholderRisk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Scale</w:t>
      </w:r>
      <w:r>
        <w:t xml:space="preserve">: 0 (worst) – 10 (best governance). Scores below 5 warrant attention.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factor-profile-radar-chart"/>
    <w:p>
      <w:pPr>
        <w:pStyle w:val="Heading2"/>
      </w:pPr>
      <w:r>
        <w:t xml:space="preserve">5. Factor Profile (Radar Chart)</w:t>
      </w:r>
    </w:p>
    <w:p>
      <w:pPr>
        <w:pStyle w:val="FirstParagraph"/>
      </w:pPr>
      <w:r>
        <w:t xml:space="preserve">Five-axis radar showing the average factor tilt of the selected index. Raw z-scores are normalized to a 0–100 scale for visualization.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Daily relative value z-scores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Momentum</w:t>
            </w:r>
          </w:p>
        </w:tc>
        <w:tc>
          <w:tcPr/>
          <w:p>
            <w:pPr>
              <w:pStyle w:val="Compact"/>
            </w:pPr>
            <w:r>
              <w:t xml:space="preserve">Daily momentum z-scores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Sentiment</w:t>
            </w:r>
          </w:p>
        </w:tc>
        <w:tc>
          <w:tcPr/>
          <w:p>
            <w:pPr>
              <w:pStyle w:val="Compact"/>
            </w:pPr>
            <w:r>
              <w:t xml:space="preserve">Daily sentiment z-scores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Quarterly quality z-scores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Quarterly governance scores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</w:t>
      </w:r>
      <w:r>
        <w:t xml:space="preserve">: Larger filled area = stronger overall index profile. Compare across indices to spot factor tilts (e.g., one index may skew value while another skews momentum).</w:t>
      </w:r>
    </w:p>
    <w:p>
      <w:r>
        <w:pict>
          <v:rect style="width:0;height:1.5pt" o:hralign="center" o:hrstd="t" o:hr="t"/>
        </w:pict>
      </w:r>
    </w:p>
    <w:bookmarkEnd w:id="26"/>
    <w:bookmarkStart w:id="27" w:name="index-composition-donut-chart"/>
    <w:p>
      <w:pPr>
        <w:pStyle w:val="Heading2"/>
      </w:pPr>
      <w:r>
        <w:t xml:space="preserve">6. Index Composition (Donut Chart)</w:t>
      </w:r>
    </w:p>
    <w:p>
      <w:pPr>
        <w:pStyle w:val="FirstParagraph"/>
      </w:pPr>
      <w:r>
        <w:t xml:space="preserve">Dual-ring doughnut showing how the index is constructed.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Ring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Outer ring</w:t>
            </w:r>
          </w:p>
        </w:tc>
        <w:tc>
          <w:tcPr/>
          <w:p>
            <w:pPr>
              <w:pStyle w:val="Compact"/>
            </w:pPr>
            <w:r>
              <w:t xml:space="preserve">Individual stock weights (cap-weighted)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Inner ring</w:t>
            </w:r>
          </w:p>
        </w:tc>
        <w:tc>
          <w:tcPr/>
          <w:p>
            <w:pPr>
              <w:pStyle w:val="Compact"/>
            </w:pPr>
            <w:r>
              <w:t xml:space="preserve">Sector allocation (aggregated stock weights)</w:t>
            </w:r>
          </w:p>
        </w:tc>
      </w:tr>
    </w:tbl>
    <w:p>
      <w:pPr>
        <w:pStyle w:val="BodyText"/>
      </w:pPr>
      <w:r>
        <w:t xml:space="preserve">Weights are cube-root scaled for display so small-cap constituents remain visible.</w:t>
      </w:r>
    </w:p>
    <w:p>
      <w:r>
        <w:pict>
          <v:rect style="width:0;height:1.5pt" o:hralign="center" o:hrstd="t" o:hr="t"/>
        </w:pict>
      </w:r>
    </w:p>
    <w:bookmarkEnd w:id="27"/>
    <w:bookmarkStart w:id="33" w:name="Xbfd3db65045f2995dbcd4a7cf57ec0d99322b65"/>
    <w:p>
      <w:pPr>
        <w:pStyle w:val="Heading2"/>
      </w:pPr>
      <w:r>
        <w:t xml:space="preserve">7. Common Exchange Analysis Metrics (Reference)</w:t>
      </w:r>
    </w:p>
    <w:p>
      <w:pPr>
        <w:pStyle w:val="FirstParagraph"/>
      </w:pPr>
      <w:r>
        <w:t xml:space="preserve">Standard indicators used in equity index analysis, beyond what the dashboard currently displays.</w:t>
      </w:r>
    </w:p>
    <w:bookmarkStart w:id="28" w:name="valuation"/>
    <w:p>
      <w:pPr>
        <w:pStyle w:val="Heading3"/>
      </w:pPr>
      <w:r>
        <w:t xml:space="preserve">Valuation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324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PEG Ratio</w:t>
            </w:r>
          </w:p>
        </w:tc>
        <w:tc>
          <w:tcPr/>
          <w:p>
            <w:pPr>
              <w:pStyle w:val="Compact"/>
            </w:pPr>
            <w:r>
              <w:t xml:space="preserve">P/E ÷ EPS Growth Rate</w:t>
            </w:r>
          </w:p>
        </w:tc>
        <w:tc>
          <w:tcPr/>
          <w:p>
            <w:pPr>
              <w:pStyle w:val="Compact"/>
            </w:pPr>
            <w:r>
              <w:t xml:space="preserve">Adjusts P/E for growth; &lt; 1 = undervalued relative to growth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CAPE / Shiller P/E</w:t>
            </w:r>
          </w:p>
        </w:tc>
        <w:tc>
          <w:tcPr/>
          <w:p>
            <w:pPr>
              <w:pStyle w:val="Compact"/>
            </w:pPr>
            <w:r>
              <w:t xml:space="preserve">Price ÷ 10-year inflation-adjusted avg EPS</w:t>
            </w:r>
          </w:p>
        </w:tc>
        <w:tc>
          <w:tcPr/>
          <w:p>
            <w:pPr>
              <w:pStyle w:val="Compact"/>
            </w:pPr>
            <w:r>
              <w:t xml:space="preserve">Long-term valuation; &gt; 25 historically expensive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EV/Sales</w:t>
            </w:r>
          </w:p>
        </w:tc>
        <w:tc>
          <w:tcPr/>
          <w:p>
            <w:pPr>
              <w:pStyle w:val="Compact"/>
            </w:pPr>
            <w:r>
              <w:t xml:space="preserve">Enterprise Value ÷ Revenue</w:t>
            </w:r>
          </w:p>
        </w:tc>
        <w:tc>
          <w:tcPr/>
          <w:p>
            <w:pPr>
              <w:pStyle w:val="Compact"/>
            </w:pPr>
            <w:r>
              <w:t xml:space="preserve">Useful for unprofitable growth companies; &lt; 1 = cheap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 Cash Flow Yield</w:t>
            </w:r>
          </w:p>
        </w:tc>
        <w:tc>
          <w:tcPr/>
          <w:p>
            <w:pPr>
              <w:pStyle w:val="Compact"/>
            </w:pPr>
            <w:r>
              <w:t xml:space="preserve">FCF ÷ Market Cap</w:t>
            </w:r>
          </w:p>
        </w:tc>
        <w:tc>
          <w:tcPr/>
          <w:p>
            <w:pPr>
              <w:pStyle w:val="Compact"/>
            </w:pPr>
            <w:r>
              <w:t xml:space="preserve">Cash return to investors; &gt; 5% is attractive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Earnings Yield</w:t>
            </w:r>
          </w:p>
        </w:tc>
        <w:tc>
          <w:tcPr/>
          <w:p>
            <w:pPr>
              <w:pStyle w:val="Compact"/>
            </w:pPr>
            <w:r>
              <w:t xml:space="preserve">EPS ÷ Price (inverse of P/E)</w:t>
            </w:r>
          </w:p>
        </w:tc>
        <w:tc>
          <w:tcPr/>
          <w:p>
            <w:pPr>
              <w:pStyle w:val="Compact"/>
            </w:pPr>
            <w:r>
              <w:t xml:space="preserve">Compare directly to bond yields; &gt; 10yr Treasury = equities attractive</w:t>
            </w:r>
          </w:p>
        </w:tc>
      </w:tr>
    </w:tbl>
    <w:bookmarkEnd w:id="28"/>
    <w:bookmarkStart w:id="29" w:name="momentum-trend"/>
    <w:p>
      <w:pPr>
        <w:pStyle w:val="Heading3"/>
      </w:pPr>
      <w:r>
        <w:t xml:space="preserve">Momentum &amp; Trend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324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RSI (14-day)</w:t>
            </w:r>
          </w:p>
        </w:tc>
        <w:tc>
          <w:tcPr/>
          <w:p>
            <w:pPr>
              <w:pStyle w:val="Compact"/>
            </w:pPr>
            <w:r>
              <w:t xml:space="preserve">100 − 100/(1 + avg gain/avg loss)</w:t>
            </w:r>
          </w:p>
        </w:tc>
        <w:tc>
          <w:tcPr/>
          <w:p>
            <w:pPr>
              <w:pStyle w:val="Compact"/>
            </w:pPr>
            <w:r>
              <w:t xml:space="preserve">&gt; 70 overbought · &lt; 30 oversold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MACD</w:t>
            </w:r>
          </w:p>
        </w:tc>
        <w:tc>
          <w:tcPr/>
          <w:p>
            <w:pPr>
              <w:pStyle w:val="Compact"/>
            </w:pPr>
            <w:r>
              <w:t xml:space="preserve">EMA(12) − EMA(26), signal = EMA(9) of MACD</w:t>
            </w:r>
          </w:p>
        </w:tc>
        <w:tc>
          <w:tcPr/>
          <w:p>
            <w:pPr>
              <w:pStyle w:val="Compact"/>
            </w:pPr>
            <w:r>
              <w:t xml:space="preserve">Crossover signals trend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Bollinger Bands</w:t>
            </w:r>
          </w:p>
        </w:tc>
        <w:tc>
          <w:tcPr/>
          <w:p>
            <w:pPr>
              <w:pStyle w:val="Compact"/>
            </w:pPr>
            <w:r>
              <w:t xml:space="preserve">SMA(20) ± 2×std(20)</w:t>
            </w:r>
          </w:p>
        </w:tc>
        <w:tc>
          <w:tcPr/>
          <w:p>
            <w:pPr>
              <w:pStyle w:val="Compact"/>
            </w:pPr>
            <w:r>
              <w:t xml:space="preserve">Price outside bands = potential reversal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ADX</w:t>
            </w:r>
          </w:p>
        </w:tc>
        <w:tc>
          <w:tcPr/>
          <w:p>
            <w:pPr>
              <w:pStyle w:val="Compact"/>
            </w:pPr>
            <w:r>
              <w:t xml:space="preserve">Average Directional Index</w:t>
            </w:r>
          </w:p>
        </w:tc>
        <w:tc>
          <w:tcPr/>
          <w:p>
            <w:pPr>
              <w:pStyle w:val="Compact"/>
            </w:pPr>
            <w:r>
              <w:t xml:space="preserve">&gt; 25 trending · &lt; 20 range-bound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Golden/Death Cross</w:t>
            </w:r>
          </w:p>
        </w:tc>
        <w:tc>
          <w:tcPr/>
          <w:p>
            <w:pPr>
              <w:pStyle w:val="Compact"/>
            </w:pPr>
            <w:r>
              <w:t xml:space="preserve">SMA(50) crossing SMA(200)</w:t>
            </w:r>
          </w:p>
        </w:tc>
        <w:tc>
          <w:tcPr/>
          <w:p>
            <w:pPr>
              <w:pStyle w:val="Compact"/>
            </w:pPr>
            <w:r>
              <w:t xml:space="preserve">Golden (up) = bullish · Death (down) = bearish</w:t>
            </w:r>
          </w:p>
        </w:tc>
      </w:tr>
    </w:tbl>
    <w:bookmarkEnd w:id="29"/>
    <w:bookmarkStart w:id="30" w:name="risk-volatility"/>
    <w:p>
      <w:pPr>
        <w:pStyle w:val="Heading3"/>
      </w:pPr>
      <w:r>
        <w:t xml:space="preserve">Risk &amp; Volatility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324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Cov(stock, market) ÷ Var(market)</w:t>
            </w:r>
          </w:p>
        </w:tc>
        <w:tc>
          <w:tcPr/>
          <w:p>
            <w:pPr>
              <w:pStyle w:val="Compact"/>
            </w:pPr>
            <w:r>
              <w:t xml:space="preserve">&gt; 1 = more volatile than market, &lt; 1 = defensive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VIX</w:t>
            </w:r>
          </w:p>
        </w:tc>
        <w:tc>
          <w:tcPr/>
          <w:p>
            <w:pPr>
              <w:pStyle w:val="Compact"/>
            </w:pPr>
            <w:r>
              <w:t xml:space="preserve">Implied volatility from S&amp;P 500 options</w:t>
            </w:r>
          </w:p>
        </w:tc>
        <w:tc>
          <w:tcPr/>
          <w:p>
            <w:pPr>
              <w:pStyle w:val="Compact"/>
            </w:pPr>
            <w:r>
              <w:t xml:space="preserve">&lt; 15 complacent · 15–25 normal · &gt; 30 fear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Maximum Drawdown</w:t>
            </w:r>
          </w:p>
        </w:tc>
        <w:tc>
          <w:tcPr/>
          <w:p>
            <w:pPr>
              <w:pStyle w:val="Compact"/>
            </w:pPr>
            <w:r>
              <w:t xml:space="preserve">Worst peak-to-trough decline</w:t>
            </w:r>
          </w:p>
        </w:tc>
        <w:tc>
          <w:tcPr/>
          <w:p>
            <w:pPr>
              <w:pStyle w:val="Compact"/>
            </w:pPr>
            <w:r>
              <w:t xml:space="preserve">Historical tail risk measure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Sortino Ratio</w:t>
            </w:r>
          </w:p>
        </w:tc>
        <w:tc>
          <w:tcPr/>
          <w:p>
            <w:pPr>
              <w:pStyle w:val="Compact"/>
            </w:pPr>
            <w:r>
              <w:t xml:space="preserve">Return ÷ Downside Deviation</w:t>
            </w:r>
          </w:p>
        </w:tc>
        <w:tc>
          <w:tcPr/>
          <w:p>
            <w:pPr>
              <w:pStyle w:val="Compact"/>
            </w:pPr>
            <w:r>
              <w:t xml:space="preserve">Like Sharpe but only penalizes downside volatility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Calmar Ratio</w:t>
            </w:r>
          </w:p>
        </w:tc>
        <w:tc>
          <w:tcPr/>
          <w:p>
            <w:pPr>
              <w:pStyle w:val="Compact"/>
            </w:pPr>
            <w:r>
              <w:t xml:space="preserve">Annualized Return ÷ Max Drawdown</w:t>
            </w:r>
          </w:p>
        </w:tc>
        <w:tc>
          <w:tcPr/>
          <w:p>
            <w:pPr>
              <w:pStyle w:val="Compact"/>
            </w:pPr>
            <w:r>
              <w:t xml:space="preserve">Return per unit of tail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 at Risk (95%)</w:t>
            </w:r>
          </w:p>
        </w:tc>
        <w:tc>
          <w:tcPr/>
          <w:p>
            <w:pPr>
              <w:pStyle w:val="Compact"/>
            </w:pPr>
            <w:r>
              <w:t xml:space="preserve">5th percentile of daily return distribution</w:t>
            </w:r>
          </w:p>
        </w:tc>
        <w:tc>
          <w:tcPr/>
          <w:p>
            <w:pPr>
              <w:pStyle w:val="Compact"/>
            </w:pPr>
            <w:r>
              <w:t xml:space="preserve">“Worst day in 20”</w:t>
            </w:r>
            <w:r>
              <w:t xml:space="preserve"> </w:t>
            </w:r>
            <w:r>
              <w:t xml:space="preserve">under normal conditions</w:t>
            </w:r>
          </w:p>
        </w:tc>
      </w:tr>
    </w:tbl>
    <w:bookmarkEnd w:id="30"/>
    <w:bookmarkStart w:id="31" w:name="breadth-sentiment"/>
    <w:p>
      <w:pPr>
        <w:pStyle w:val="Heading3"/>
      </w:pPr>
      <w:r>
        <w:t xml:space="preserve">Breadth &amp; Sentiment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324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Advance/Decline Ratio</w:t>
            </w:r>
          </w:p>
        </w:tc>
        <w:tc>
          <w:tcPr/>
          <w:p>
            <w:pPr>
              <w:pStyle w:val="Compact"/>
            </w:pPr>
            <w:r>
              <w:t xml:space="preserve">Rising stocks ÷ Falling stocks</w:t>
            </w:r>
          </w:p>
        </w:tc>
        <w:tc>
          <w:tcPr/>
          <w:p>
            <w:pPr>
              <w:pStyle w:val="Compact"/>
            </w:pPr>
            <w:r>
              <w:t xml:space="preserve">&gt; 1 = broad participation in rally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% Above 200-day MA</w:t>
            </w:r>
          </w:p>
        </w:tc>
        <w:tc>
          <w:tcPr/>
          <w:p>
            <w:pPr>
              <w:pStyle w:val="Compact"/>
            </w:pPr>
            <w:r>
              <w:t xml:space="preserve">Count above SMA(200) ÷ Total</w:t>
            </w:r>
          </w:p>
        </w:tc>
        <w:tc>
          <w:tcPr/>
          <w:p>
            <w:pPr>
              <w:pStyle w:val="Compact"/>
            </w:pPr>
            <w:r>
              <w:t xml:space="preserve">&gt; 70% bullish breadth · &lt; 30% bearish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Highs − New Lows</w:t>
            </w:r>
          </w:p>
        </w:tc>
        <w:tc>
          <w:tcPr/>
          <w:p>
            <w:pPr>
              <w:pStyle w:val="Compact"/>
            </w:pPr>
            <w:r>
              <w:t xml:space="preserve">52-week new highs minus new lows</w:t>
            </w:r>
          </w:p>
        </w:tc>
        <w:tc>
          <w:tcPr/>
          <w:p>
            <w:pPr>
              <w:pStyle w:val="Compact"/>
            </w:pPr>
            <w:r>
              <w:t xml:space="preserve">Positive = healthy market · Divergence from index = 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Put/Call Ratio</w:t>
            </w:r>
          </w:p>
        </w:tc>
        <w:tc>
          <w:tcPr/>
          <w:p>
            <w:pPr>
              <w:pStyle w:val="Compact"/>
            </w:pPr>
            <w:r>
              <w:t xml:space="preserve">Put volume ÷ Call volume</w:t>
            </w:r>
          </w:p>
        </w:tc>
        <w:tc>
          <w:tcPr/>
          <w:p>
            <w:pPr>
              <w:pStyle w:val="Compact"/>
            </w:pPr>
            <w:r>
              <w:t xml:space="preserve">&gt; 1.0 = bearish sentiment (contrarian bullish)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Short Interest Ratio</w:t>
            </w:r>
          </w:p>
        </w:tc>
        <w:tc>
          <w:tcPr/>
          <w:p>
            <w:pPr>
              <w:pStyle w:val="Compact"/>
            </w:pPr>
            <w:r>
              <w:t xml:space="preserve">Short shares ÷ Avg daily volume</w:t>
            </w:r>
          </w:p>
        </w:tc>
        <w:tc>
          <w:tcPr/>
          <w:p>
            <w:pPr>
              <w:pStyle w:val="Compact"/>
            </w:pPr>
            <w:r>
              <w:t xml:space="preserve">&gt; 5 days = high short interest, potential squeeze</w:t>
            </w:r>
          </w:p>
        </w:tc>
      </w:tr>
    </w:tbl>
    <w:bookmarkEnd w:id="31"/>
    <w:bookmarkStart w:id="32" w:name="liquidity-flow"/>
    <w:p>
      <w:pPr>
        <w:pStyle w:val="Heading3"/>
      </w:pPr>
      <w:r>
        <w:t xml:space="preserve">Liquidity &amp; 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324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Bid-Ask Spread</w:t>
            </w:r>
          </w:p>
        </w:tc>
        <w:tc>
          <w:tcPr/>
          <w:p>
            <w:pPr>
              <w:pStyle w:val="Compact"/>
            </w:pPr>
            <w:r>
              <w:t xml:space="preserve">(Ask − Bid) ÷ Mid</w:t>
            </w:r>
          </w:p>
        </w:tc>
        <w:tc>
          <w:tcPr/>
          <w:p>
            <w:pPr>
              <w:pStyle w:val="Compact"/>
            </w:pPr>
            <w:r>
              <w:t xml:space="preserve">Tight = liquid · Wide = illiquid or stressed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Turnover Ratio</w:t>
            </w:r>
          </w:p>
        </w:tc>
        <w:tc>
          <w:tcPr/>
          <w:p>
            <w:pPr>
              <w:pStyle w:val="Compact"/>
            </w:pPr>
            <w:r>
              <w:t xml:space="preserve">Volume ÷ Shares Outstanding</w:t>
            </w:r>
          </w:p>
        </w:tc>
        <w:tc>
          <w:tcPr/>
          <w:p>
            <w:pPr>
              <w:pStyle w:val="Compact"/>
            </w:pPr>
            <w:r>
              <w:t xml:space="preserve">High = active trading interest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Money Flow Index</w:t>
            </w:r>
          </w:p>
        </w:tc>
        <w:tc>
          <w:tcPr/>
          <w:p>
            <w:pPr>
              <w:pStyle w:val="Compact"/>
            </w:pPr>
            <w:r>
              <w:t xml:space="preserve">Volume-weighted RSI</w:t>
            </w:r>
          </w:p>
        </w:tc>
        <w:tc>
          <w:tcPr/>
          <w:p>
            <w:pPr>
              <w:pStyle w:val="Compact"/>
            </w:pPr>
            <w:r>
              <w:t xml:space="preserve">&gt; 80 overbought · &lt; 20 oversold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On-Balance Volume</w:t>
            </w:r>
          </w:p>
        </w:tc>
        <w:tc>
          <w:tcPr/>
          <w:p>
            <w:pPr>
              <w:pStyle w:val="Compact"/>
            </w:pPr>
            <w:r>
              <w:t xml:space="preserve">Cumulative volume on up vs down days</w:t>
            </w:r>
          </w:p>
        </w:tc>
        <w:tc>
          <w:tcPr/>
          <w:p>
            <w:pPr>
              <w:pStyle w:val="Compact"/>
            </w:pPr>
            <w:r>
              <w:t xml:space="preserve">Divergence from price = early signal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scoring-methodology"/>
    <w:p>
      <w:pPr>
        <w:pStyle w:val="Heading2"/>
      </w:pPr>
      <w:r>
        <w:t xml:space="preserve">8. Scoring Methodology</w:t>
      </w:r>
    </w:p>
    <w:bookmarkStart w:id="34" w:name="z-score-calculation"/>
    <w:p>
      <w:pPr>
        <w:pStyle w:val="Heading3"/>
      </w:pPr>
      <w:r>
        <w:t xml:space="preserve">Z-Score Calculation</w:t>
      </w:r>
    </w:p>
    <w:p>
      <w:pPr>
        <w:pStyle w:val="FirstParagraph"/>
      </w:pPr>
      <w:r>
        <w:t xml:space="preserve">All daily and quarterly scores use cross-sectional z-scores within a grouping (index or sector):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group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group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μ and σ are computed across all constituents in the same group on the same date.</w:t>
      </w:r>
      <w:r>
        <w:t xml:space="preserve"> </w:t>
      </w:r>
      <w:r>
        <w:t xml:space="preserve">Sector-level grouping is used when sufficient peers exist (≥ 3); otherwise falls back to index-level.</w:t>
      </w:r>
    </w:p>
    <w:bookmarkEnd w:id="34"/>
    <w:bookmarkStart w:id="35" w:name="composite-scores"/>
    <w:p>
      <w:pPr>
        <w:pStyle w:val="Heading3"/>
      </w:pPr>
      <w:r>
        <w:t xml:space="preserve">Composite Scores</w:t>
      </w:r>
    </w:p>
    <w:p>
      <w:pPr>
        <w:pStyle w:val="FirstParagraph"/>
      </w:pPr>
      <w:r>
        <w:t xml:space="preserve">Simple average of component z-scores: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Composite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Some components are sign-inverted before averaging (e.g., P/E: lower is better, so −z is used).</w:t>
      </w:r>
    </w:p>
    <w:bookmarkEnd w:id="35"/>
    <w:bookmarkStart w:id="36" w:name="ranking"/>
    <w:p>
      <w:pPr>
        <w:pStyle w:val="Heading3"/>
      </w:pPr>
      <w:r>
        <w:t xml:space="preserve">Ranking</w:t>
      </w:r>
    </w:p>
    <w:p>
      <w:pPr>
        <w:pStyle w:val="FirstParagraph"/>
      </w:pPr>
      <w:r>
        <w:t xml:space="preserve">Dense rank within each index, descending by score:</w:t>
      </w:r>
    </w:p>
    <w:p>
      <w:pPr>
        <w:pStyle w:val="Compact"/>
        <w:numPr>
          <w:ilvl w:val="0"/>
          <w:numId w:val="1001"/>
        </w:numPr>
      </w:pPr>
      <w:r>
        <w:t xml:space="preserve">Rank 1 = highest score (best)</w:t>
      </w:r>
    </w:p>
    <w:p>
      <w:pPr>
        <w:pStyle w:val="Compact"/>
        <w:numPr>
          <w:ilvl w:val="0"/>
          <w:numId w:val="1001"/>
        </w:numPr>
      </w:pPr>
      <w:r>
        <w:t xml:space="preserve">Ties receive the same rank</w:t>
      </w:r>
    </w:p>
    <w:p>
      <w:pPr>
        <w:pStyle w:val="Compact"/>
        <w:numPr>
          <w:ilvl w:val="0"/>
          <w:numId w:val="1001"/>
        </w:numPr>
      </w:pPr>
      <w:r>
        <w:t xml:space="preserve">No gaps in ranking sequence</w:t>
      </w:r>
    </w:p>
    <w:bookmarkEnd w:id="36"/>
    <w:bookmarkStart w:id="37" w:name="index-weights"/>
    <w:p>
      <w:pPr>
        <w:pStyle w:val="Heading3"/>
      </w:pPr>
      <w:r>
        <w:t xml:space="preserve">Index Weights</w:t>
      </w:r>
    </w:p>
    <w:p>
      <w:pPr>
        <w:pStyle w:val="FirstParagraph"/>
      </w:pPr>
      <w:r>
        <w:t xml:space="preserve">Cap-weighted using daily market capitalization: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MarketCap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nor/>
                      <m:sty m:val="p"/>
                    </m:rPr>
                    <m:t>index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nor/>
                          <m:sty m:val="p"/>
                        </m:rPr>
                        <m:t>MarketCap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w:r>
        <w:t xml:space="preserve">Used for P/E, P/B, dividend yield, and other index-level aggregates.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data-sources-refresh"/>
    <w:p>
      <w:pPr>
        <w:pStyle w:val="Heading2"/>
      </w:pPr>
      <w:r>
        <w:t xml:space="preserve">9. Data Sources &amp; Refresh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754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Price, volume, market cap</w:t>
            </w:r>
          </w:p>
        </w:tc>
        <w:tc>
          <w:tcPr/>
          <w:p>
            <w:pPr>
              <w:pStyle w:val="Compact"/>
            </w:pPr>
            <w:r>
              <w:t xml:space="preserve">yfinance (via daily pipeline)</w:t>
            </w:r>
          </w:p>
        </w:tc>
        <w:tc>
          <w:tcPr/>
          <w:p>
            <w:pPr>
              <w:pStyle w:val="Compact"/>
            </w:pPr>
            <w:r>
              <w:t xml:space="preserve">3×/day (09:00, 17:00, 22:00 UTC)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Forward P/E, P/B, EV/EBITDA</w:t>
            </w:r>
          </w:p>
        </w:tc>
        <w:tc>
          <w:tcPr/>
          <w:p>
            <w:pPr>
              <w:pStyle w:val="Compact"/>
            </w:pPr>
            <w:r>
              <w:t xml:space="preserve">yfinance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  <w:r>
              <w:t xml:space="preserve"> </w:t>
            </w:r>
            <w: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Daily with 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Analyst target, recommendation</w:t>
            </w:r>
          </w:p>
        </w:tc>
        <w:tc>
          <w:tcPr/>
          <w:p>
            <w:pPr>
              <w:pStyle w:val="Compact"/>
            </w:pPr>
            <w:r>
              <w:t xml:space="preserve">yfinance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  <w:r>
              <w:t xml:space="preserve"> </w:t>
            </w:r>
            <w: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Daily with 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Dividend yield, beta</w:t>
            </w:r>
          </w:p>
        </w:tc>
        <w:tc>
          <w:tcPr/>
          <w:p>
            <w:pPr>
              <w:pStyle w:val="Compact"/>
            </w:pPr>
            <w:r>
              <w:t xml:space="preserve">yfinance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  <w:r>
              <w:t xml:space="preserve"> </w:t>
            </w:r>
            <w: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Daily with 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Quarterly financials</w:t>
            </w:r>
          </w:p>
        </w:tc>
        <w:tc>
          <w:tcPr/>
          <w:p>
            <w:pPr>
              <w:pStyle w:val="Compact"/>
            </w:pPr>
            <w:r>
              <w:t xml:space="preserve">yfinance quarterly data</w:t>
            </w:r>
          </w:p>
        </w:tc>
        <w:tc>
          <w:tcPr/>
          <w:p>
            <w:pPr>
              <w:pStyle w:val="Compact"/>
            </w:pPr>
            <w:r>
              <w:t xml:space="preserve">When new quarter 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risk scores</w:t>
            </w:r>
          </w:p>
        </w:tc>
        <w:tc>
          <w:tcPr/>
          <w:p>
            <w:pPr>
              <w:pStyle w:val="Compact"/>
            </w:pPr>
            <w:r>
              <w:t xml:space="preserve">yfinance quarterly data</w:t>
            </w:r>
          </w:p>
        </w:tc>
        <w:tc>
          <w:tcPr/>
          <w:p>
            <w:pPr>
              <w:pStyle w:val="Compact"/>
            </w:pPr>
            <w:r>
              <w:t xml:space="preserve">When new quarter 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Ticker membership</w:t>
            </w:r>
          </w:p>
        </w:tc>
        <w:tc>
          <w:tcPr/>
          <w:p>
            <w:pPr>
              <w:pStyle w:val="Compact"/>
            </w:pPr>
            <w:r>
              <w:t xml:space="preserve">STOXX index composition</w:t>
            </w:r>
          </w:p>
        </w:tc>
        <w:tc>
          <w:tcPr/>
          <w:p>
            <w:pPr>
              <w:pStyle w:val="Compact"/>
            </w:pPr>
            <w:r>
              <w:t xml:space="preserve">Hourly 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Pulse (intraday price)</w:t>
            </w:r>
          </w:p>
        </w:tc>
        <w:tc>
          <w:tcPr/>
          <w:p>
            <w:pPr>
              <w:pStyle w:val="Compact"/>
            </w:pPr>
            <w:r>
              <w:t xml:space="preserve">yfinance</w:t>
            </w:r>
          </w:p>
        </w:tc>
        <w:tc>
          <w:tcPr/>
          <w:p>
            <w:pPr>
              <w:pStyle w:val="Compact"/>
            </w:pPr>
            <w:r>
              <w:t xml:space="preserve">Every 5 minutes</w:t>
            </w:r>
          </w:p>
        </w:tc>
      </w:tr>
    </w:tbl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2026-03-08T11:43:04Z</dcterms:created>
  <dcterms:modified xsi:type="dcterms:W3CDTF">2026-03-08T11:43:04Z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