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B7A54" w14:textId="77777777" w:rsidR="00EA66AD" w:rsidRDefault="00096F89">
      <w:r>
        <w:t>Innere Variable</w:t>
      </w:r>
    </w:p>
    <w:p w14:paraId="7360A162" w14:textId="77777777" w:rsidR="00096F89" w:rsidRDefault="00096F89"/>
    <w:p w14:paraId="5D1C27A2" w14:textId="77777777" w:rsidR="00096F89" w:rsidRDefault="00096F89">
      <w:r>
        <w:t xml:space="preserve">Innere Variablen dienen zur Beschreibung </w:t>
      </w:r>
      <w:proofErr w:type="spellStart"/>
      <w:r>
        <w:t>inelastischer</w:t>
      </w:r>
      <w:proofErr w:type="spellEnd"/>
      <w:r>
        <w:t xml:space="preserve"> Materialeigenschaften. Diese nicht beobachtbaren Zustandsgrößen können skalare oder </w:t>
      </w:r>
      <w:proofErr w:type="spellStart"/>
      <w:r>
        <w:t>tensorielle</w:t>
      </w:r>
      <w:proofErr w:type="spellEnd"/>
      <w:r>
        <w:t xml:space="preserve"> Größen sein und definieren materielle Defekte wie Versetzungen oder Mikrorisse. Diese inneren Variablen werden in den Konstitutivgleichungen eingeführt. </w:t>
      </w:r>
    </w:p>
    <w:p w14:paraId="55510871" w14:textId="77777777" w:rsidR="00202194" w:rsidRDefault="0020219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08190B" w14:paraId="4DC615D2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1F359C16" w14:textId="6D46796D" w:rsidR="0008190B" w:rsidRDefault="00056A17" w:rsidP="000819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ψ :=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66B1CB03" w14:textId="77777777" w:rsidR="0008190B" w:rsidRDefault="0008190B" w:rsidP="0008190B">
            <w:pPr>
              <w:jc w:val="center"/>
            </w:pPr>
          </w:p>
        </w:tc>
      </w:tr>
      <w:tr w:rsidR="0008190B" w14:paraId="44E0C204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433FEA10" w14:textId="72D184B9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 := 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06033A50" w14:textId="77777777" w:rsidR="0008190B" w:rsidRDefault="0008190B" w:rsidP="0008190B">
            <w:pPr>
              <w:jc w:val="center"/>
            </w:pPr>
          </w:p>
        </w:tc>
      </w:tr>
      <w:tr w:rsidR="0008190B" w14:paraId="7F34A706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7D7FDAB5" w14:textId="6ADDAA43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 := 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2CF647FE" w14:textId="77777777" w:rsidR="0008190B" w:rsidRDefault="0008190B" w:rsidP="0008190B">
            <w:pPr>
              <w:jc w:val="center"/>
            </w:pPr>
          </w:p>
        </w:tc>
      </w:tr>
      <w:tr w:rsidR="0008190B" w14:paraId="369546CA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21F88386" w14:textId="3DB4B9DA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 := 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.</m:t>
                </m:r>
              </m:oMath>
            </m:oMathPara>
          </w:p>
        </w:tc>
        <w:tc>
          <w:tcPr>
            <w:tcW w:w="697" w:type="dxa"/>
            <w:vAlign w:val="center"/>
          </w:tcPr>
          <w:p w14:paraId="55DA6659" w14:textId="77777777" w:rsidR="0008190B" w:rsidRDefault="0008190B" w:rsidP="0008190B">
            <w:pPr>
              <w:jc w:val="center"/>
            </w:pPr>
          </w:p>
        </w:tc>
      </w:tr>
    </w:tbl>
    <w:p w14:paraId="20BDC067" w14:textId="77777777" w:rsidR="00202194" w:rsidRDefault="00202194"/>
    <w:p w14:paraId="2A8AF1BB" w14:textId="77777777" w:rsidR="00202194" w:rsidRDefault="00202194"/>
    <w:p w14:paraId="2F686342" w14:textId="77777777" w:rsidR="00202194" w:rsidRDefault="00202194"/>
    <w:p w14:paraId="52B4AA06" w14:textId="77777777" w:rsidR="00202194" w:rsidRDefault="00202194"/>
    <w:p w14:paraId="07805501" w14:textId="02164328" w:rsidR="00202194" w:rsidRDefault="00202194">
      <w:pPr>
        <w:rPr>
          <w:rFonts w:eastAsiaTheme="minorEastAsia"/>
        </w:rPr>
      </w:pPr>
      <w:r>
        <w:t xml:space="preserve">Hierbei ist zu beachten, dass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...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der Gleichung der freien Energie (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>), der spezifischen Entropie (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), des Spannungstensors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) und des Wärmeflussvektors (q), immer den selben ausgewählten Defekt in die Gleichung einbringt. Die innere Variablen dokumentieren die historischen Belastungen des </w:t>
      </w:r>
      <w:proofErr w:type="spellStart"/>
      <w:r>
        <w:rPr>
          <w:rFonts w:eastAsiaTheme="minorEastAsia"/>
        </w:rPr>
        <w:t>inelastischen</w:t>
      </w:r>
      <w:proofErr w:type="spellEnd"/>
      <w:r>
        <w:rPr>
          <w:rFonts w:eastAsiaTheme="minorEastAsia"/>
        </w:rPr>
        <w:t xml:space="preserve"> Materials. Hierfür werden zeitabhängige Evolutionsgleichungen, abhängig von den Konstitutivgleichungen und den inneren Variablen, formuliert. </w:t>
      </w:r>
    </w:p>
    <w:p w14:paraId="2B1AFE98" w14:textId="77777777" w:rsidR="00202194" w:rsidRDefault="00202194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11035" w14:paraId="3625A8CD" w14:textId="77777777" w:rsidTr="00311035">
        <w:trPr>
          <w:trHeight w:val="823"/>
        </w:trPr>
        <w:tc>
          <w:tcPr>
            <w:tcW w:w="8359" w:type="dxa"/>
            <w:vAlign w:val="center"/>
          </w:tcPr>
          <w:p w14:paraId="56436CD5" w14:textId="70240CCE" w:rsidR="00311035" w:rsidRDefault="00311035" w:rsidP="0031103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:=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  <w:tc>
          <w:tcPr>
            <w:tcW w:w="697" w:type="dxa"/>
            <w:vAlign w:val="center"/>
          </w:tcPr>
          <w:p w14:paraId="73B30722" w14:textId="77777777" w:rsidR="00311035" w:rsidRDefault="00311035" w:rsidP="0043186E">
            <w:pPr>
              <w:jc w:val="center"/>
            </w:pPr>
          </w:p>
        </w:tc>
      </w:tr>
    </w:tbl>
    <w:p w14:paraId="45A5D561" w14:textId="77777777" w:rsidR="00202194" w:rsidRDefault="00202194">
      <w:pPr>
        <w:rPr>
          <w:rFonts w:eastAsiaTheme="minorEastAsia"/>
        </w:rPr>
      </w:pPr>
    </w:p>
    <w:p w14:paraId="05F7B1A6" w14:textId="77777777" w:rsidR="00202194" w:rsidRDefault="00202194">
      <w:pPr>
        <w:rPr>
          <w:rFonts w:eastAsiaTheme="minorEastAsia"/>
        </w:rPr>
      </w:pPr>
    </w:p>
    <w:p w14:paraId="0A66E4C1" w14:textId="69B543F6" w:rsidR="00202194" w:rsidRDefault="00202194">
      <w:pPr>
        <w:rPr>
          <w:rFonts w:eastAsiaTheme="minorEastAsia"/>
        </w:rPr>
      </w:pPr>
      <w:r>
        <w:rPr>
          <w:rFonts w:eastAsiaTheme="minorEastAsia"/>
        </w:rPr>
        <w:t xml:space="preserve">Diese Evolutionsgleichungen müssen unter Berücksichtigung der folgenden Anfangsbedingungen integriert werden. </w:t>
      </w:r>
    </w:p>
    <w:p w14:paraId="18C8C834" w14:textId="77777777" w:rsidR="00202194" w:rsidRDefault="00202194">
      <w:pPr>
        <w:rPr>
          <w:rFonts w:eastAsiaTheme="minorEastAsia"/>
        </w:rPr>
      </w:pPr>
    </w:p>
    <w:p w14:paraId="69FD22BC" w14:textId="77777777" w:rsidR="00202194" w:rsidRDefault="00202194">
      <w:pPr>
        <w:rPr>
          <w:rFonts w:eastAsiaTheme="minorEastAsia"/>
        </w:rPr>
      </w:pPr>
    </w:p>
    <w:p w14:paraId="2F2A757E" w14:textId="77777777" w:rsidR="00202194" w:rsidRDefault="0020219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11035" w14:paraId="17AA1743" w14:textId="77777777" w:rsidTr="0043186E">
        <w:trPr>
          <w:trHeight w:val="823"/>
        </w:trPr>
        <w:tc>
          <w:tcPr>
            <w:tcW w:w="8359" w:type="dxa"/>
            <w:vAlign w:val="center"/>
          </w:tcPr>
          <w:p w14:paraId="00C943CC" w14:textId="6E6BB139" w:rsidR="00311035" w:rsidRDefault="00311035" w:rsidP="0031103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sPr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697" w:type="dxa"/>
            <w:vAlign w:val="center"/>
          </w:tcPr>
          <w:p w14:paraId="443A9D1C" w14:textId="77777777" w:rsidR="00311035" w:rsidRDefault="00311035" w:rsidP="0043186E">
            <w:pPr>
              <w:jc w:val="center"/>
            </w:pPr>
          </w:p>
        </w:tc>
      </w:tr>
    </w:tbl>
    <w:p w14:paraId="77EB9A38" w14:textId="77777777" w:rsidR="00202194" w:rsidRDefault="00202194"/>
    <w:p w14:paraId="3C619AE7" w14:textId="77777777" w:rsidR="00202194" w:rsidRDefault="00202194" w:rsidP="00202194">
      <w:pPr>
        <w:pStyle w:val="textbox"/>
        <w:spacing w:before="0" w:beforeAutospacing="0" w:after="0" w:afterAutospacing="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 w:val="16"/>
          <w:szCs w:val="16"/>
        </w:rPr>
        <w:t>.</w:t>
      </w:r>
    </w:p>
    <w:p w14:paraId="248841B8" w14:textId="77777777" w:rsidR="00202194" w:rsidRDefault="00202194"/>
    <w:p w14:paraId="42EA6B5A" w14:textId="09BF85CC" w:rsidR="00D2115B" w:rsidRDefault="00311035">
      <w:r>
        <w:t xml:space="preserve">Nimmt man nun das Beispiel eines linear </w:t>
      </w:r>
      <w:proofErr w:type="spellStart"/>
      <w:r>
        <w:t>elasto</w:t>
      </w:r>
      <w:proofErr w:type="spellEnd"/>
      <w:r>
        <w:t xml:space="preserve">-plastischen Materiales mit isotroper und kinematischer Verfestigung, kann unter </w:t>
      </w:r>
      <w:proofErr w:type="gramStart"/>
      <w:r>
        <w:t xml:space="preserve">der </w:t>
      </w:r>
      <w:r w:rsidR="00D2115B">
        <w:t xml:space="preserve"> Annahme</w:t>
      </w:r>
      <w:proofErr w:type="gramEnd"/>
      <w:r w:rsidR="00D2115B">
        <w:t xml:space="preserve"> kleiner Verzerrungen eine addi</w:t>
      </w:r>
      <w:r w:rsidR="003147E4">
        <w:t xml:space="preserve">tive Zerlegung des Verzerrungstensors in seine elastischen und plastischen Anteile vorgenommen werden. </w:t>
      </w:r>
    </w:p>
    <w:p w14:paraId="301171BC" w14:textId="77777777" w:rsidR="003147E4" w:rsidRDefault="003147E4"/>
    <w:p w14:paraId="28450653" w14:textId="77777777" w:rsidR="003147E4" w:rsidRDefault="003147E4"/>
    <w:p w14:paraId="7B106D80" w14:textId="77777777" w:rsidR="003147E4" w:rsidRDefault="003147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11035" w14:paraId="5874FF95" w14:textId="77777777" w:rsidTr="0043186E">
        <w:trPr>
          <w:trHeight w:val="823"/>
        </w:trPr>
        <w:tc>
          <w:tcPr>
            <w:tcW w:w="8359" w:type="dxa"/>
            <w:vAlign w:val="center"/>
          </w:tcPr>
          <w:p w14:paraId="0475C43C" w14:textId="03ACEC85" w:rsidR="00311035" w:rsidRDefault="00311035" w:rsidP="003110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ε=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(e)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697" w:type="dxa"/>
            <w:vAlign w:val="center"/>
          </w:tcPr>
          <w:p w14:paraId="34F5E593" w14:textId="77777777" w:rsidR="00311035" w:rsidRDefault="00311035" w:rsidP="0043186E">
            <w:pPr>
              <w:jc w:val="center"/>
            </w:pPr>
          </w:p>
        </w:tc>
      </w:tr>
    </w:tbl>
    <w:p w14:paraId="1BE1E6EB" w14:textId="77777777" w:rsidR="003147E4" w:rsidRDefault="003147E4"/>
    <w:p w14:paraId="44648330" w14:textId="7023FF47" w:rsidR="003147E4" w:rsidRDefault="004F275F">
      <w:pPr>
        <w:rPr>
          <w:rFonts w:eastAsiaTheme="minorEastAsia"/>
        </w:rPr>
      </w:pPr>
      <w:r>
        <w:rPr>
          <w:rFonts w:eastAsiaTheme="minorEastAsia"/>
        </w:rPr>
        <w:t xml:space="preserve">In diesem Beispiel, beschreibt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47E4">
        <w:rPr>
          <w:rFonts w:eastAsiaTheme="minorEastAsia"/>
        </w:rPr>
        <w:t xml:space="preserve"> </w:t>
      </w:r>
      <w:r>
        <w:rPr>
          <w:rFonts w:eastAsiaTheme="minorEastAsia"/>
        </w:rPr>
        <w:t>als skalare innere Variable die isotrope Verfestigung und</w:t>
      </w:r>
      <w:r w:rsidR="003147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47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als </w:t>
      </w:r>
      <w:proofErr w:type="spellStart"/>
      <w:r>
        <w:rPr>
          <w:rFonts w:eastAsiaTheme="minorEastAsia"/>
        </w:rPr>
        <w:t>tensorielle</w:t>
      </w:r>
      <w:proofErr w:type="spellEnd"/>
      <w:r>
        <w:rPr>
          <w:rFonts w:eastAsiaTheme="minorEastAsia"/>
        </w:rPr>
        <w:t xml:space="preserve"> innere Variable die kinematische Verfestigung. </w:t>
      </w:r>
      <w:r w:rsidR="003147E4">
        <w:rPr>
          <w:rFonts w:eastAsiaTheme="minorEastAsia"/>
        </w:rPr>
        <w:t xml:space="preserve"> </w:t>
      </w:r>
    </w:p>
    <w:p w14:paraId="34DCB3A2" w14:textId="77777777" w:rsidR="003A3695" w:rsidRDefault="003A3695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11035" w14:paraId="5E86B20A" w14:textId="77777777" w:rsidTr="0043186E">
        <w:trPr>
          <w:trHeight w:val="491"/>
        </w:trPr>
        <w:tc>
          <w:tcPr>
            <w:tcW w:w="8359" w:type="dxa"/>
            <w:vAlign w:val="center"/>
          </w:tcPr>
          <w:p w14:paraId="09AA9AA1" w14:textId="4D9B380C" w:rsidR="00311035" w:rsidRDefault="00311035" w:rsidP="004318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ψ :=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ϑ, gradϑ,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(e)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(p)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  <w:tc>
          <w:tcPr>
            <w:tcW w:w="697" w:type="dxa"/>
            <w:vAlign w:val="center"/>
          </w:tcPr>
          <w:p w14:paraId="70FABF38" w14:textId="77777777" w:rsidR="00311035" w:rsidRDefault="00311035" w:rsidP="0043186E">
            <w:pPr>
              <w:jc w:val="center"/>
            </w:pPr>
          </w:p>
        </w:tc>
      </w:tr>
    </w:tbl>
    <w:p w14:paraId="442CE71A" w14:textId="77777777" w:rsidR="00311035" w:rsidRDefault="00311035">
      <w:pPr>
        <w:rPr>
          <w:rFonts w:eastAsiaTheme="minorEastAsia"/>
        </w:rPr>
      </w:pPr>
    </w:p>
    <w:p w14:paraId="7758140A" w14:textId="77777777" w:rsidR="003A3695" w:rsidRDefault="003A3695">
      <w:pPr>
        <w:rPr>
          <w:rFonts w:eastAsiaTheme="minorEastAsia"/>
        </w:rPr>
      </w:pPr>
    </w:p>
    <w:p w14:paraId="3E2DEF5E" w14:textId="2D00D0E5" w:rsidR="003A3695" w:rsidRDefault="003A3695" w:rsidP="003A3695">
      <w:r>
        <w:t>Die freie Energie ist nur von der elastischen Verzerrung abhängig. Die plastische Deformation führt nicht</w:t>
      </w:r>
      <w:r w:rsidR="001C1FB6">
        <w:t xml:space="preserve"> zu einer Erhöhung der Spannung. Dies ermöglicht folgende Umformung: </w:t>
      </w:r>
    </w:p>
    <w:p w14:paraId="0905CA48" w14:textId="77777777" w:rsidR="003A3695" w:rsidRDefault="003A3695"/>
    <w:p w14:paraId="4045AF0D" w14:textId="77777777" w:rsidR="003147E4" w:rsidRDefault="003147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E2306" w14:paraId="52FCCD26" w14:textId="77777777" w:rsidTr="0043186E">
        <w:trPr>
          <w:trHeight w:val="491"/>
        </w:trPr>
        <w:tc>
          <w:tcPr>
            <w:tcW w:w="8359" w:type="dxa"/>
            <w:vAlign w:val="center"/>
          </w:tcPr>
          <w:p w14:paraId="4837AA26" w14:textId="15F6BD41" w:rsidR="003E2306" w:rsidRDefault="003E2306" w:rsidP="003E23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ψ :=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(e)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,ϑ, gradϑ,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,ϑ, gradϑ,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,β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697" w:type="dxa"/>
            <w:vAlign w:val="center"/>
          </w:tcPr>
          <w:p w14:paraId="1A8748B3" w14:textId="77777777" w:rsidR="003E2306" w:rsidRDefault="003E2306" w:rsidP="0043186E">
            <w:pPr>
              <w:jc w:val="center"/>
            </w:pPr>
          </w:p>
        </w:tc>
      </w:tr>
    </w:tbl>
    <w:p w14:paraId="44F33004" w14:textId="77777777" w:rsidR="00202194" w:rsidRDefault="00202194"/>
    <w:p w14:paraId="1E048497" w14:textId="26340218" w:rsidR="001C1FB6" w:rsidRDefault="00323A0F">
      <w:r>
        <w:t>Daraus ist d</w:t>
      </w:r>
      <w:r w:rsidR="001C1FB6">
        <w:t>ie Identität</w:t>
      </w:r>
      <w:r w:rsidR="00A429A7">
        <w:t>,</w:t>
      </w:r>
    </w:p>
    <w:p w14:paraId="2E5F5751" w14:textId="77777777" w:rsidR="001C1FB6" w:rsidRDefault="001C1F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1C1FB6" w14:paraId="3B8F1717" w14:textId="77777777" w:rsidTr="001C1FB6">
        <w:trPr>
          <w:trHeight w:val="1005"/>
        </w:trPr>
        <w:tc>
          <w:tcPr>
            <w:tcW w:w="8359" w:type="dxa"/>
            <w:vAlign w:val="center"/>
          </w:tcPr>
          <w:p w14:paraId="1A1DD8FE" w14:textId="1CAA7548" w:rsidR="001C1FB6" w:rsidRDefault="001C1FB6" w:rsidP="001C1F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(e)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(p)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7" w:type="dxa"/>
            <w:vAlign w:val="center"/>
          </w:tcPr>
          <w:p w14:paraId="061A572D" w14:textId="77777777" w:rsidR="001C1FB6" w:rsidRDefault="001C1FB6" w:rsidP="0043186E">
            <w:pPr>
              <w:jc w:val="center"/>
            </w:pPr>
          </w:p>
        </w:tc>
      </w:tr>
    </w:tbl>
    <w:p w14:paraId="759617D9" w14:textId="77777777" w:rsidR="001C1FB6" w:rsidRDefault="001C1FB6"/>
    <w:p w14:paraId="44FEF5BD" w14:textId="639BAF3A" w:rsidR="001C1FB6" w:rsidRDefault="001C1FB6">
      <w:r>
        <w:t>ab</w:t>
      </w:r>
      <w:r w:rsidR="00323A0F">
        <w:t>zuleiten. Das totale Differential ergibt sich zu</w:t>
      </w:r>
      <w:r w:rsidR="00395F3B">
        <w:t>,</w:t>
      </w:r>
    </w:p>
    <w:p w14:paraId="0B8F4345" w14:textId="77777777" w:rsidR="00323A0F" w:rsidRDefault="00323A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23A0F" w14:paraId="78AF773A" w14:textId="77777777" w:rsidTr="00323A0F">
        <w:trPr>
          <w:trHeight w:val="1075"/>
        </w:trPr>
        <w:tc>
          <w:tcPr>
            <w:tcW w:w="8359" w:type="dxa"/>
            <w:vAlign w:val="center"/>
          </w:tcPr>
          <w:p w14:paraId="13254DCE" w14:textId="563BB0D9" w:rsidR="00323A0F" w:rsidRDefault="00323A0F" w:rsidP="00B74E95">
            <w:pPr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:=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(e)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dϑ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dgrad</m:t>
                    </m:r>
                    <m:r>
                      <w:rPr>
                        <w:rFonts w:ascii="Cambria Math" w:hAnsi="Cambria Math"/>
                      </w:rPr>
                      <m:t>ϑ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radϑ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  .</m:t>
                </m:r>
              </m:oMath>
            </m:oMathPara>
          </w:p>
        </w:tc>
        <w:tc>
          <w:tcPr>
            <w:tcW w:w="697" w:type="dxa"/>
            <w:vAlign w:val="center"/>
          </w:tcPr>
          <w:p w14:paraId="1926985A" w14:textId="77777777" w:rsidR="00323A0F" w:rsidRDefault="00323A0F" w:rsidP="0043186E">
            <w:pPr>
              <w:jc w:val="center"/>
            </w:pPr>
          </w:p>
        </w:tc>
      </w:tr>
    </w:tbl>
    <w:p w14:paraId="3405B6A0" w14:textId="77777777" w:rsidR="00323A0F" w:rsidRDefault="00323A0F"/>
    <w:p w14:paraId="2AD3F67F" w14:textId="14A39BC6" w:rsidR="00395F3B" w:rsidRDefault="00395F3B">
      <w:r>
        <w:t xml:space="preserve">Aus der </w:t>
      </w:r>
      <w:proofErr w:type="spellStart"/>
      <w:r>
        <w:t>Clausius-Duhem</w:t>
      </w:r>
      <w:proofErr w:type="spellEnd"/>
      <w:r>
        <w:t xml:space="preserve"> Ungleichung folgt,</w:t>
      </w:r>
    </w:p>
    <w:p w14:paraId="5284830D" w14:textId="77777777" w:rsidR="00395F3B" w:rsidRDefault="00395F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395F3B" w14:paraId="535BC915" w14:textId="77777777" w:rsidTr="00395F3B">
        <w:trPr>
          <w:trHeight w:val="1075"/>
        </w:trPr>
        <w:tc>
          <w:tcPr>
            <w:tcW w:w="8359" w:type="dxa"/>
            <w:vAlign w:val="center"/>
          </w:tcPr>
          <w:p w14:paraId="47DB52F3" w14:textId="6629B786" w:rsidR="00395F3B" w:rsidRDefault="00395F3B" w:rsidP="00395F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(e)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σ∙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η+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dϑ</m:t>
                        </m:r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r>
                  <w:rPr>
                    <w:rFonts w:ascii="Cambria Math" w:hAnsi="Cambria Math"/>
                  </w:rPr>
                  <m:t>+ϱ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dgradϑ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gradϑ</m:t>
                    </m:r>
                  </m:e>
                </m:d>
                <m:r>
                  <w:rPr>
                    <w:rFonts w:ascii="Cambria Math" w:hAnsi="Cambria Math"/>
                  </w:rPr>
                  <m:t>+ 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+ϱ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ϑ</m:t>
                    </m:r>
                  </m:den>
                </m:f>
                <m:r>
                  <w:rPr>
                    <w:rFonts w:ascii="Cambria Math" w:hAnsi="Cambria Math"/>
                  </w:rPr>
                  <m:t>q gradϑ ≥0</m:t>
                </m:r>
                <m:r>
                  <w:rPr>
                    <w:rFonts w:ascii="Cambria Math" w:hAnsi="Cambria Math"/>
                  </w:rPr>
                  <m:t xml:space="preserve">  .</m:t>
                </m:r>
              </m:oMath>
            </m:oMathPara>
          </w:p>
        </w:tc>
        <w:tc>
          <w:tcPr>
            <w:tcW w:w="697" w:type="dxa"/>
            <w:vAlign w:val="center"/>
          </w:tcPr>
          <w:p w14:paraId="440A1F33" w14:textId="77777777" w:rsidR="00395F3B" w:rsidRDefault="00395F3B" w:rsidP="0043186E">
            <w:pPr>
              <w:jc w:val="center"/>
            </w:pPr>
          </w:p>
        </w:tc>
      </w:tr>
    </w:tbl>
    <w:p w14:paraId="40A47C23" w14:textId="77777777" w:rsidR="00395F3B" w:rsidRDefault="00395F3B"/>
    <w:p w14:paraId="69727E6C" w14:textId="1A88FECC" w:rsidR="00395F3B" w:rsidRDefault="00395F3B">
      <w:r>
        <w:t>Für beliebige Prozesse folgt,</w:t>
      </w:r>
    </w:p>
    <w:p w14:paraId="249F1292" w14:textId="77777777" w:rsidR="00A429A7" w:rsidRDefault="00A429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A429A7" w14:paraId="668087AE" w14:textId="77777777" w:rsidTr="0043186E">
        <w:trPr>
          <w:trHeight w:val="1005"/>
        </w:trPr>
        <w:tc>
          <w:tcPr>
            <w:tcW w:w="8359" w:type="dxa"/>
            <w:vAlign w:val="center"/>
          </w:tcPr>
          <w:p w14:paraId="3AB19EC7" w14:textId="5FEF15DA" w:rsidR="00A429A7" w:rsidRDefault="00A429A7" w:rsidP="00A429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ϱ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4B2506BE" w14:textId="77777777" w:rsidR="00A429A7" w:rsidRDefault="00A429A7" w:rsidP="0043186E">
            <w:pPr>
              <w:jc w:val="center"/>
            </w:pPr>
          </w:p>
        </w:tc>
      </w:tr>
      <w:tr w:rsidR="00A429A7" w14:paraId="0E95A8C5" w14:textId="77777777" w:rsidTr="00A429A7">
        <w:trPr>
          <w:trHeight w:val="1005"/>
        </w:trPr>
        <w:tc>
          <w:tcPr>
            <w:tcW w:w="8359" w:type="dxa"/>
          </w:tcPr>
          <w:p w14:paraId="14B2A24D" w14:textId="2B69F002" w:rsidR="00A429A7" w:rsidRDefault="00A429A7" w:rsidP="00B4345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ϑ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,</m:t>
                </m:r>
              </m:oMath>
            </m:oMathPara>
          </w:p>
        </w:tc>
        <w:tc>
          <w:tcPr>
            <w:tcW w:w="697" w:type="dxa"/>
          </w:tcPr>
          <w:p w14:paraId="240929CF" w14:textId="77777777" w:rsidR="00A429A7" w:rsidRDefault="00A429A7" w:rsidP="0043186E">
            <w:pPr>
              <w:jc w:val="center"/>
            </w:pPr>
          </w:p>
        </w:tc>
      </w:tr>
      <w:tr w:rsidR="00B43452" w14:paraId="5C59B24F" w14:textId="77777777" w:rsidTr="00B43452">
        <w:trPr>
          <w:trHeight w:val="1005"/>
        </w:trPr>
        <w:tc>
          <w:tcPr>
            <w:tcW w:w="8359" w:type="dxa"/>
          </w:tcPr>
          <w:p w14:paraId="3D98D61D" w14:textId="204BF991" w:rsidR="00B43452" w:rsidRDefault="00B43452" w:rsidP="00B4345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dgradϑ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97" w:type="dxa"/>
          </w:tcPr>
          <w:p w14:paraId="2B5AFAF1" w14:textId="77777777" w:rsidR="00B43452" w:rsidRDefault="00B43452" w:rsidP="0043186E">
            <w:pPr>
              <w:jc w:val="center"/>
            </w:pPr>
          </w:p>
        </w:tc>
      </w:tr>
    </w:tbl>
    <w:p w14:paraId="0598318D" w14:textId="77777777" w:rsidR="00A429A7" w:rsidRDefault="00A429A7">
      <w:bookmarkStart w:id="0" w:name="_GoBack"/>
      <w:bookmarkEnd w:id="0"/>
    </w:p>
    <w:p w14:paraId="23232AE3" w14:textId="77777777" w:rsidR="00B43452" w:rsidRDefault="00B43452"/>
    <w:p w14:paraId="1730FB84" w14:textId="4D2DC182" w:rsidR="00B43452" w:rsidRDefault="00B43452">
      <w:r>
        <w:t>Mit den Definitionen,</w:t>
      </w:r>
    </w:p>
    <w:p w14:paraId="1DB1FE47" w14:textId="77777777" w:rsidR="00B43452" w:rsidRDefault="00B434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B43452" w14:paraId="3D30F978" w14:textId="77777777" w:rsidTr="00B43452">
        <w:trPr>
          <w:trHeight w:val="1005"/>
        </w:trPr>
        <w:tc>
          <w:tcPr>
            <w:tcW w:w="8359" w:type="dxa"/>
            <w:vAlign w:val="center"/>
          </w:tcPr>
          <w:p w14:paraId="51E59A35" w14:textId="0EC63C4D" w:rsidR="00B43452" w:rsidRDefault="00B43452" w:rsidP="00B434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7059B992" w14:textId="77777777" w:rsidR="00B43452" w:rsidRDefault="00B43452" w:rsidP="00B43452">
            <w:pPr>
              <w:jc w:val="center"/>
            </w:pPr>
          </w:p>
        </w:tc>
      </w:tr>
      <w:tr w:rsidR="00B43452" w14:paraId="084C63B0" w14:textId="77777777" w:rsidTr="00B43452">
        <w:trPr>
          <w:trHeight w:val="1005"/>
        </w:trPr>
        <w:tc>
          <w:tcPr>
            <w:tcW w:w="8359" w:type="dxa"/>
            <w:vAlign w:val="center"/>
          </w:tcPr>
          <w:p w14:paraId="29BE947D" w14:textId="7DB14DDD" w:rsidR="00B43452" w:rsidRDefault="00B43452" w:rsidP="00B434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r>
                  <w:rPr>
                    <w:rFonts w:ascii="Cambria Math" w:hAnsi="Cambria Math"/>
                  </w:rPr>
                  <m:t xml:space="preserve"> 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.</m:t>
                </m:r>
              </m:oMath>
            </m:oMathPara>
          </w:p>
        </w:tc>
        <w:tc>
          <w:tcPr>
            <w:tcW w:w="697" w:type="dxa"/>
            <w:vAlign w:val="center"/>
          </w:tcPr>
          <w:p w14:paraId="0F534360" w14:textId="77777777" w:rsidR="00B43452" w:rsidRDefault="00B43452" w:rsidP="00B43452">
            <w:pPr>
              <w:jc w:val="center"/>
            </w:pPr>
          </w:p>
        </w:tc>
      </w:tr>
    </w:tbl>
    <w:p w14:paraId="2C4799D7" w14:textId="77777777" w:rsidR="00B43452" w:rsidRDefault="00B43452"/>
    <w:sectPr w:rsidR="00B43452" w:rsidSect="00BA44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89"/>
    <w:rsid w:val="00056A17"/>
    <w:rsid w:val="000672A1"/>
    <w:rsid w:val="0008190B"/>
    <w:rsid w:val="00096F89"/>
    <w:rsid w:val="0010734E"/>
    <w:rsid w:val="001A0D00"/>
    <w:rsid w:val="001C1FB6"/>
    <w:rsid w:val="00202194"/>
    <w:rsid w:val="00311035"/>
    <w:rsid w:val="003147E4"/>
    <w:rsid w:val="00323A0F"/>
    <w:rsid w:val="0036141C"/>
    <w:rsid w:val="00395F3B"/>
    <w:rsid w:val="003A3695"/>
    <w:rsid w:val="003E2306"/>
    <w:rsid w:val="004F275F"/>
    <w:rsid w:val="008B0226"/>
    <w:rsid w:val="00A429A7"/>
    <w:rsid w:val="00B43452"/>
    <w:rsid w:val="00B74E95"/>
    <w:rsid w:val="00BA441D"/>
    <w:rsid w:val="00C34EB3"/>
    <w:rsid w:val="00CE17E0"/>
    <w:rsid w:val="00D16D81"/>
    <w:rsid w:val="00D2115B"/>
    <w:rsid w:val="00D2732E"/>
    <w:rsid w:val="00E70F87"/>
    <w:rsid w:val="00EA66AD"/>
    <w:rsid w:val="00EC0610"/>
    <w:rsid w:val="00F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A5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x">
    <w:name w:val="textbox"/>
    <w:basedOn w:val="Standard"/>
    <w:rsid w:val="00202194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02194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D2115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081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Microsoft Office-Anwender</cp:lastModifiedBy>
  <cp:revision>6</cp:revision>
  <dcterms:created xsi:type="dcterms:W3CDTF">2017-11-30T15:29:00Z</dcterms:created>
  <dcterms:modified xsi:type="dcterms:W3CDTF">2017-12-04T13:43:00Z</dcterms:modified>
</cp:coreProperties>
</file>