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Two-Day Azure Developer Training Agenda</w:t>
      </w:r>
    </w:p>
    <w:p>
      <w:r>
        <w:t>Audience: Experienced developers new to Azure</w:t>
      </w:r>
    </w:p>
    <w:p>
      <w:r>
        <w:t>Timing: 09:45–17:30 each day</w:t>
      </w:r>
    </w:p>
    <w:p>
      <w:r>
        <w:t>Approach: Instructor-led concepts, practical demonstrations, selected guided labs and troubleshooting exercises using a fictional building-society scenario.</w:t>
      </w:r>
    </w:p>
    <w:p>
      <w:r>
        <w:t>Training objective: Introduce developers to Azure application development, deployment, security, monitoring and operational best practices through a realistic, manageable learning experience.</w:t>
      </w:r>
    </w:p>
    <w:p>
      <w:pPr>
        <w:pStyle w:val="Heading1"/>
      </w:pPr>
      <w:r>
        <w:t>Day 1 — Azure Foundations and Building Your First Cloud Application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512"/>
          </w:tcPr>
          <w:p>
            <w:pPr>
              <w:spacing w:after="40"/>
            </w:pPr>
            <w:r>
              <w:rPr>
                <w:sz w:val="17"/>
              </w:rPr>
              <w:t>Time</w:t>
            </w:r>
          </w:p>
        </w:tc>
        <w:tc>
          <w:tcPr>
            <w:tcW w:type="dxa" w:w="6912"/>
          </w:tcPr>
          <w:p>
            <w:pPr>
              <w:spacing w:after="40"/>
            </w:pPr>
            <w:r>
              <w:rPr>
                <w:sz w:val="17"/>
              </w:rPr>
              <w:t>Session</w:t>
            </w:r>
          </w:p>
        </w:tc>
        <w:tc>
          <w:tcPr>
            <w:tcW w:type="dxa" w:w="1584"/>
          </w:tcPr>
          <w:p>
            <w:pPr>
              <w:spacing w:after="40"/>
            </w:pPr>
            <w:r>
              <w:rPr>
                <w:sz w:val="17"/>
              </w:rPr>
              <w:t>Format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sz w:val="17"/>
              </w:rPr>
              <w:t>09:45–10:05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>
              <w:rPr>
                <w:sz w:val="17"/>
              </w:rPr>
              <w:t>Welcome and introductions — technical backgrounds, expectations and learning objectives</w:t>
            </w:r>
          </w:p>
        </w:tc>
        <w:tc>
          <w:tcPr>
            <w:tcW w:type="dxa" w:w="1584"/>
            <w:vAlign w:val="center"/>
          </w:tcPr>
          <w:p>
            <w:pPr>
              <w:spacing w:after="40"/>
            </w:pPr>
            <w:r>
              <w:rPr>
                <w:sz w:val="17"/>
              </w:rPr>
              <w:t>Discussion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sz w:val="17"/>
              </w:rPr>
              <w:t>10:05–10:15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>
              <w:rPr>
                <w:sz w:val="17"/>
              </w:rPr>
              <w:t>Course overview — agenda, building-society scenario, lab environment and resource safety</w:t>
            </w:r>
          </w:p>
        </w:tc>
        <w:tc>
          <w:tcPr>
            <w:tcW w:type="dxa" w:w="1584"/>
            <w:vAlign w:val="center"/>
          </w:tcPr>
          <w:p>
            <w:pPr>
              <w:spacing w:after="40"/>
            </w:pPr>
            <w:r>
              <w:rPr>
                <w:sz w:val="17"/>
              </w:rPr>
              <w:t>Introduction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sz w:val="17"/>
              </w:rPr>
              <w:t>10:15–10:45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>
              <w:rPr>
                <w:sz w:val="17"/>
              </w:rPr>
              <w:t>Azure cloud fundamentals — on-premises vs cloud, IaaS/PaaS/serverless, shared responsibility and service selection</w:t>
            </w:r>
          </w:p>
        </w:tc>
        <w:tc>
          <w:tcPr>
            <w:tcW w:type="dxa" w:w="1584"/>
            <w:vAlign w:val="center"/>
          </w:tcPr>
          <w:p>
            <w:pPr>
              <w:spacing w:after="40"/>
            </w:pPr>
            <w:r>
              <w:rPr>
                <w:sz w:val="17"/>
              </w:rPr>
              <w:t>Concepts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sz w:val="17"/>
              </w:rPr>
              <w:t>10:45–11:00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>
              <w:rPr>
                <w:sz w:val="17"/>
              </w:rPr>
              <w:t>Azure Portal orientation — tenants, subscriptions, resource groups, regions and navigation</w:t>
            </w:r>
          </w:p>
        </w:tc>
        <w:tc>
          <w:tcPr>
            <w:tcW w:type="dxa" w:w="1584"/>
            <w:vAlign w:val="center"/>
          </w:tcPr>
          <w:p>
            <w:pPr>
              <w:spacing w:after="40"/>
            </w:pPr>
            <w:r>
              <w:rPr>
                <w:sz w:val="17"/>
              </w:rPr>
              <w:t>Demonstration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sz w:val="17"/>
              </w:rPr>
              <w:t>11:00–11:15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>
              <w:rPr>
                <w:sz w:val="17"/>
              </w:rPr>
              <w:t>Break</w:t>
            </w:r>
          </w:p>
        </w:tc>
        <w:tc>
          <w:tcPr>
            <w:tcW w:type="dxa" w:w="1584"/>
            <w:vAlign w:val="center"/>
          </w:tcPr>
          <w:p>
            <w:pPr>
              <w:spacing w:after="40"/>
            </w:pPr>
            <w:r>
              <w:rPr>
                <w:sz w:val="17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sz w:val="17"/>
              </w:rPr>
              <w:t>11:15–12:45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>
              <w:rPr>
                <w:sz w:val="17"/>
              </w:rPr>
              <w:t>Guided exercise 1: App Service + Azure SQL — deploy the prepared application, configure settings, connect to SQL and verify functionality</w:t>
            </w:r>
          </w:p>
        </w:tc>
        <w:tc>
          <w:tcPr>
            <w:tcW w:type="dxa" w:w="1584"/>
            <w:vAlign w:val="center"/>
          </w:tcPr>
          <w:p>
            <w:pPr>
              <w:spacing w:after="40"/>
            </w:pPr>
            <w:r>
              <w:rPr>
                <w:sz w:val="17"/>
              </w:rPr>
              <w:t>Guided lab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sz w:val="17"/>
              </w:rPr>
              <w:t>12:45–13:30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>
              <w:rPr>
                <w:sz w:val="17"/>
              </w:rPr>
              <w:t>Lunch</w:t>
            </w:r>
          </w:p>
        </w:tc>
        <w:tc>
          <w:tcPr>
            <w:tcW w:type="dxa" w:w="1584"/>
            <w:vAlign w:val="center"/>
          </w:tcPr>
          <w:p>
            <w:pPr>
              <w:spacing w:after="40"/>
            </w:pPr>
            <w:r>
              <w:rPr>
                <w:sz w:val="17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sz w:val="17"/>
              </w:rPr>
              <w:t>13:30–14:30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>
              <w:rPr>
                <w:sz w:val="17"/>
              </w:rPr>
              <w:t>Azure identity and application security — Entra ID, RBAC, service principals, managed identities, Key Vault and secure connectivity</w:t>
            </w:r>
          </w:p>
        </w:tc>
        <w:tc>
          <w:tcPr>
            <w:tcW w:type="dxa" w:w="1584"/>
            <w:vAlign w:val="center"/>
          </w:tcPr>
          <w:p>
            <w:pPr>
              <w:spacing w:after="40"/>
            </w:pPr>
            <w:r>
              <w:rPr>
                <w:sz w:val="17"/>
              </w:rPr>
              <w:t>Concepts + demonstration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sz w:val="17"/>
              </w:rPr>
              <w:t>14:30–15:15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>
              <w:rPr>
                <w:sz w:val="17"/>
              </w:rPr>
              <w:t>Azure Cost Management — estimates, budgets, alerts, sizing and prepared building-society cost examples</w:t>
            </w:r>
          </w:p>
        </w:tc>
        <w:tc>
          <w:tcPr>
            <w:tcW w:type="dxa" w:w="1584"/>
            <w:vAlign w:val="center"/>
          </w:tcPr>
          <w:p>
            <w:pPr>
              <w:spacing w:after="40"/>
            </w:pPr>
            <w:r>
              <w:rPr>
                <w:sz w:val="17"/>
              </w:rPr>
              <w:t>Guided exercise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sz w:val="17"/>
              </w:rPr>
              <w:t>15:15–15:30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>
              <w:rPr>
                <w:sz w:val="17"/>
              </w:rPr>
              <w:t>Break</w:t>
            </w:r>
          </w:p>
        </w:tc>
        <w:tc>
          <w:tcPr>
            <w:tcW w:type="dxa" w:w="1584"/>
            <w:vAlign w:val="center"/>
          </w:tcPr>
          <w:p>
            <w:pPr>
              <w:spacing w:after="40"/>
            </w:pPr>
            <w:r>
              <w:rPr>
                <w:sz w:val="17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sz w:val="17"/>
              </w:rPr>
              <w:t>15:30–16:15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>
              <w:rPr>
                <w:sz w:val="17"/>
              </w:rPr>
              <w:t>Guided exercise 2: Blob Storage — private containers, upload/download, access tiers and recovery options</w:t>
            </w:r>
          </w:p>
        </w:tc>
        <w:tc>
          <w:tcPr>
            <w:tcW w:type="dxa" w:w="1584"/>
            <w:vAlign w:val="center"/>
          </w:tcPr>
          <w:p>
            <w:pPr>
              <w:spacing w:after="40"/>
            </w:pPr>
            <w:r>
              <w:rPr>
                <w:sz w:val="17"/>
              </w:rPr>
              <w:t>Guided lab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sz w:val="17"/>
              </w:rPr>
              <w:t>16:15–17:00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>
              <w:rPr>
                <w:sz w:val="17"/>
              </w:rPr>
              <w:t>Application verification and troubleshooting — SQL connectivity, configuration, permissions and deployment errors</w:t>
            </w:r>
          </w:p>
        </w:tc>
        <w:tc>
          <w:tcPr>
            <w:tcW w:type="dxa" w:w="1584"/>
            <w:vAlign w:val="center"/>
          </w:tcPr>
          <w:p>
            <w:pPr>
              <w:spacing w:after="40"/>
            </w:pPr>
            <w:r>
              <w:rPr>
                <w:sz w:val="17"/>
              </w:rPr>
              <w:t>Practice / catch-up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sz w:val="17"/>
              </w:rPr>
              <w:t>17:00–17:30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>
              <w:rPr>
                <w:sz w:val="17"/>
              </w:rPr>
              <w:t>Day 1 recap — knowledge check, architecture, security, costs and questions</w:t>
            </w:r>
          </w:p>
        </w:tc>
        <w:tc>
          <w:tcPr>
            <w:tcW w:type="dxa" w:w="1584"/>
            <w:vAlign w:val="center"/>
          </w:tcPr>
          <w:p>
            <w:pPr>
              <w:spacing w:after="40"/>
            </w:pPr>
            <w:r>
              <w:rPr>
                <w:sz w:val="17"/>
              </w:rPr>
              <w:t>Discussion</w:t>
            </w:r>
          </w:p>
        </w:tc>
      </w:tr>
    </w:tbl>
    <w:p/>
    <w:p>
      <w:pPr>
        <w:pStyle w:val="Heading2"/>
      </w:pPr>
      <w:r>
        <w:t>Day 1 learning outcomes</w:t>
      </w:r>
    </w:p>
    <w:p>
      <w:pPr>
        <w:pStyle w:val="ListBullet"/>
      </w:pPr>
      <w:r>
        <w:t>Explain core Azure concepts and navigate common resources.</w:t>
      </w:r>
    </w:p>
    <w:p>
      <w:pPr>
        <w:pStyle w:val="ListBullet"/>
      </w:pPr>
      <w:r>
        <w:t>Deploy and verify a prepared App Service application connected to Azure SQL.</w:t>
      </w:r>
    </w:p>
    <w:p>
      <w:pPr>
        <w:pStyle w:val="ListBullet"/>
      </w:pPr>
      <w:r>
        <w:t>Understand Entra ID, RBAC, managed identity and Key Vault.</w:t>
      </w:r>
    </w:p>
    <w:p>
      <w:pPr>
        <w:pStyle w:val="ListBullet"/>
      </w:pPr>
      <w:r>
        <w:t>Perform basic Blob Storage operations and identify connectivity and cost considerations.</w:t>
      </w:r>
    </w:p>
    <w:p>
      <w:r>
        <w:t>Expected deliverable: A working database-backed sample application, basic storage operations, and an understanding of security and cost controls.</w:t>
      </w:r>
    </w:p>
    <w:p>
      <w:pPr>
        <w:pStyle w:val="Heading1"/>
      </w:pPr>
      <w:r>
        <w:t>Day 2 — Monitoring, Troubleshooting and Real-World Azure Development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512"/>
          </w:tcPr>
          <w:p>
            <w:pPr>
              <w:spacing w:after="40"/>
            </w:pPr>
            <w:r>
              <w:rPr>
                <w:sz w:val="17"/>
              </w:rPr>
              <w:t>Time</w:t>
            </w:r>
          </w:p>
        </w:tc>
        <w:tc>
          <w:tcPr>
            <w:tcW w:type="dxa" w:w="6912"/>
          </w:tcPr>
          <w:p>
            <w:pPr>
              <w:spacing w:after="40"/>
            </w:pPr>
            <w:r>
              <w:rPr>
                <w:sz w:val="17"/>
              </w:rPr>
              <w:t>Session</w:t>
            </w:r>
          </w:p>
        </w:tc>
        <w:tc>
          <w:tcPr>
            <w:tcW w:type="dxa" w:w="1584"/>
          </w:tcPr>
          <w:p>
            <w:pPr>
              <w:spacing w:after="40"/>
            </w:pPr>
            <w:r>
              <w:rPr>
                <w:sz w:val="17"/>
              </w:rPr>
              <w:t>Format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sz w:val="17"/>
              </w:rPr>
              <w:t>09:45–10:00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>
              <w:rPr>
                <w:sz w:val="17"/>
              </w:rPr>
              <w:t>Welcome back — recap, questions and environment checks</w:t>
            </w:r>
          </w:p>
        </w:tc>
        <w:tc>
          <w:tcPr>
            <w:tcW w:type="dxa" w:w="1584"/>
            <w:vAlign w:val="center"/>
          </w:tcPr>
          <w:p>
            <w:pPr>
              <w:spacing w:after="40"/>
            </w:pPr>
            <w:r>
              <w:rPr>
                <w:sz w:val="17"/>
              </w:rPr>
              <w:t>Discussion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sz w:val="17"/>
              </w:rPr>
              <w:t>10:00–11:00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>
              <w:rPr>
                <w:sz w:val="17"/>
              </w:rPr>
              <w:t>Guided exercise 3: Application Insights and Azure Monitor — requests, dependencies, exceptions, Log Analytics and basic alerts</w:t>
            </w:r>
          </w:p>
        </w:tc>
        <w:tc>
          <w:tcPr>
            <w:tcW w:type="dxa" w:w="1584"/>
            <w:vAlign w:val="center"/>
          </w:tcPr>
          <w:p>
            <w:pPr>
              <w:spacing w:after="40"/>
            </w:pPr>
            <w:r>
              <w:rPr>
                <w:sz w:val="17"/>
              </w:rPr>
              <w:t>Guided lab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sz w:val="17"/>
              </w:rPr>
              <w:t>11:00–11:15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>
              <w:rPr>
                <w:sz w:val="17"/>
              </w:rPr>
              <w:t>Break</w:t>
            </w:r>
          </w:p>
        </w:tc>
        <w:tc>
          <w:tcPr>
            <w:tcW w:type="dxa" w:w="1584"/>
            <w:vAlign w:val="center"/>
          </w:tcPr>
          <w:p>
            <w:pPr>
              <w:spacing w:after="40"/>
            </w:pPr>
            <w:r>
              <w:rPr>
                <w:sz w:val="17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sz w:val="17"/>
              </w:rPr>
              <w:t>11:15–12:45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>
              <w:rPr>
                <w:sz w:val="17"/>
              </w:rPr>
              <w:t>Guided exercise 4: KQL troubleshooting — filters, aggregations, failed requests, latency, dependency failures and correlation</w:t>
            </w:r>
          </w:p>
        </w:tc>
        <w:tc>
          <w:tcPr>
            <w:tcW w:type="dxa" w:w="1584"/>
            <w:vAlign w:val="center"/>
          </w:tcPr>
          <w:p>
            <w:pPr>
              <w:spacing w:after="40"/>
            </w:pPr>
            <w:r>
              <w:rPr>
                <w:sz w:val="17"/>
              </w:rPr>
              <w:t>Guided investigation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sz w:val="17"/>
              </w:rPr>
              <w:t>12:45–13:30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>
              <w:rPr>
                <w:sz w:val="17"/>
              </w:rPr>
              <w:t>Lunch</w:t>
            </w:r>
          </w:p>
        </w:tc>
        <w:tc>
          <w:tcPr>
            <w:tcW w:type="dxa" w:w="1584"/>
            <w:vAlign w:val="center"/>
          </w:tcPr>
          <w:p>
            <w:pPr>
              <w:spacing w:after="40"/>
            </w:pPr>
            <w:r>
              <w:rPr>
                <w:sz w:val="17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sz w:val="17"/>
              </w:rPr>
              <w:t>13:30–14:15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>
              <w:rPr>
                <w:sz w:val="17"/>
              </w:rPr>
              <w:t>Azure Functions + Service Bus — triggers, queues, retries, dead-letter queues and asynchronous processing</w:t>
            </w:r>
          </w:p>
        </w:tc>
        <w:tc>
          <w:tcPr>
            <w:tcW w:type="dxa" w:w="1584"/>
            <w:vAlign w:val="center"/>
          </w:tcPr>
          <w:p>
            <w:pPr>
              <w:spacing w:after="40"/>
            </w:pPr>
            <w:r>
              <w:rPr>
                <w:sz w:val="17"/>
              </w:rPr>
              <w:t>Prepared demonstration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sz w:val="17"/>
              </w:rPr>
              <w:t>14:15–15:15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>
              <w:rPr>
                <w:sz w:val="17"/>
              </w:rPr>
              <w:t>Building-society document tracker — target architecture, fictional documents, local execution and test cases</w:t>
            </w:r>
          </w:p>
        </w:tc>
        <w:tc>
          <w:tcPr>
            <w:tcW w:type="dxa" w:w="1584"/>
            <w:vAlign w:val="center"/>
          </w:tcPr>
          <w:p>
            <w:pPr>
              <w:spacing w:after="40"/>
            </w:pPr>
            <w:r>
              <w:rPr>
                <w:sz w:val="17"/>
              </w:rPr>
              <w:t>Guided local practice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sz w:val="17"/>
              </w:rPr>
              <w:t>15:15–15:30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>
              <w:rPr>
                <w:sz w:val="17"/>
              </w:rPr>
              <w:t>Break</w:t>
            </w:r>
          </w:p>
        </w:tc>
        <w:tc>
          <w:tcPr>
            <w:tcW w:type="dxa" w:w="1584"/>
            <w:vAlign w:val="center"/>
          </w:tcPr>
          <w:p>
            <w:pPr>
              <w:spacing w:after="40"/>
            </w:pPr>
            <w:r>
              <w:rPr>
                <w:sz w:val="17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sz w:val="17"/>
              </w:rPr>
              <w:t>15:30–16:00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>
              <w:rPr>
                <w:sz w:val="17"/>
              </w:rPr>
              <w:t>Application delivery and DevOps — CLI/PowerShell, Bicep, CI/CD, environment configuration and rollback</w:t>
            </w:r>
          </w:p>
        </w:tc>
        <w:tc>
          <w:tcPr>
            <w:tcW w:type="dxa" w:w="1584"/>
            <w:vAlign w:val="center"/>
          </w:tcPr>
          <w:p>
            <w:pPr>
              <w:spacing w:after="40"/>
            </w:pPr>
            <w:r>
              <w:rPr>
                <w:sz w:val="17"/>
              </w:rPr>
              <w:t>Overview + short demo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sz w:val="17"/>
              </w:rPr>
              <w:t>16:00–16:45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>
              <w:rPr>
                <w:sz w:val="17"/>
              </w:rPr>
              <w:t>Troubleshooting and production readiness — security, reliability, monitoring, scalability and cost trade-offs</w:t>
            </w:r>
          </w:p>
        </w:tc>
        <w:tc>
          <w:tcPr>
            <w:tcW w:type="dxa" w:w="1584"/>
            <w:vAlign w:val="center"/>
          </w:tcPr>
          <w:p>
            <w:pPr>
              <w:spacing w:after="40"/>
            </w:pPr>
            <w:r>
              <w:rPr>
                <w:sz w:val="17"/>
              </w:rPr>
              <w:t>Group exercise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sz w:val="17"/>
              </w:rPr>
              <w:t>16:45–17:15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>
              <w:rPr>
                <w:sz w:val="17"/>
              </w:rPr>
              <w:t>Cleanup and handover — disposable resources, retained ownership and budget review</w:t>
            </w:r>
          </w:p>
        </w:tc>
        <w:tc>
          <w:tcPr>
            <w:tcW w:type="dxa" w:w="1584"/>
            <w:vAlign w:val="center"/>
          </w:tcPr>
          <w:p>
            <w:pPr>
              <w:spacing w:after="40"/>
            </w:pPr>
            <w:r>
              <w:rPr>
                <w:sz w:val="17"/>
              </w:rPr>
              <w:t>Guided activity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sz w:val="17"/>
              </w:rPr>
              <w:t>17:15–17:30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>
              <w:rPr>
                <w:sz w:val="17"/>
              </w:rPr>
              <w:t>Final Q&amp;A and next steps — takeaways, feedback and follow-on labs</w:t>
            </w:r>
          </w:p>
        </w:tc>
        <w:tc>
          <w:tcPr>
            <w:tcW w:type="dxa" w:w="1584"/>
            <w:vAlign w:val="center"/>
          </w:tcPr>
          <w:p>
            <w:pPr>
              <w:spacing w:after="40"/>
            </w:pPr>
            <w:r>
              <w:rPr>
                <w:sz w:val="17"/>
              </w:rPr>
              <w:t>Wrap-up</w:t>
            </w:r>
          </w:p>
        </w:tc>
      </w:tr>
    </w:tbl>
    <w:p/>
    <w:p>
      <w:pPr>
        <w:pStyle w:val="Heading2"/>
      </w:pPr>
      <w:r>
        <w:t>Day 2 learning outcomes</w:t>
      </w:r>
    </w:p>
    <w:p>
      <w:pPr>
        <w:pStyle w:val="ListBullet"/>
      </w:pPr>
      <w:r>
        <w:t>Use Azure Monitor, Application Insights and Log Analytics to investigate application behaviour.</w:t>
      </w:r>
    </w:p>
    <w:p>
      <w:pPr>
        <w:pStyle w:val="ListBullet"/>
      </w:pPr>
      <w:r>
        <w:t>Use KQL to analyse failures, latency and dependencies.</w:t>
      </w:r>
    </w:p>
    <w:p>
      <w:pPr>
        <w:pStyle w:val="ListBullet"/>
      </w:pPr>
      <w:r>
        <w:t>Explain Azure Functions and Service Bus in asynchronous designs.</w:t>
      </w:r>
    </w:p>
    <w:p>
      <w:pPr>
        <w:pStyle w:val="ListBullet"/>
      </w:pPr>
      <w:r>
        <w:t>Run and test the prepared local document tracker.</w:t>
      </w:r>
    </w:p>
    <w:p>
      <w:pPr>
        <w:pStyle w:val="ListBullet"/>
      </w:pPr>
      <w:r>
        <w:t>Understand Bicep, CI/CD and production-readiness considerations.</w:t>
      </w:r>
    </w:p>
    <w:p>
      <w:r>
        <w:t>Expected deliverable: A monitoring investigation, KQL troubleshooting queries and a tested local document-tracker scenario.</w:t>
      </w:r>
    </w:p>
    <w:p>
      <w:pPr>
        <w:pStyle w:val="Heading1"/>
      </w:pPr>
      <w:r>
        <w:t>Training Scenario — Fictional Building Society</w:t>
      </w:r>
    </w:p>
    <w:p>
      <w:r>
        <w:t>A common fictional building-society scenario connects the SQL web sample, service demonstrations and separate local document tracker across both days. These are learning components, not one fully integrated application.</w:t>
      </w:r>
    </w:p>
    <w:p>
      <w:pPr>
        <w:pStyle w:val="ListBullet"/>
      </w:pPr>
      <w:r>
        <w:t>Web application hosted in Azure App Service, backed by Azure SQL Database.</w:t>
      </w:r>
    </w:p>
    <w:p>
      <w:pPr>
        <w:pStyle w:val="ListBullet"/>
      </w:pPr>
      <w:r>
        <w:t>Microsoft Entra ID, managed identity and Key Vault for secure access concepts.</w:t>
      </w:r>
    </w:p>
    <w:p>
      <w:pPr>
        <w:pStyle w:val="ListBullet"/>
      </w:pPr>
      <w:r>
        <w:t>Azure Blob Storage for fictional customer documents.</w:t>
      </w:r>
    </w:p>
    <w:p>
      <w:pPr>
        <w:pStyle w:val="ListBullet"/>
      </w:pPr>
      <w:r>
        <w:t>Application Insights and Log Analytics for telemetry and troubleshooting.</w:t>
      </w:r>
    </w:p>
    <w:p>
      <w:pPr>
        <w:pStyle w:val="ListBullet"/>
      </w:pPr>
      <w:r>
        <w:t>Azure Functions and Service Bus as an asynchronous target architecture.</w:t>
      </w:r>
    </w:p>
    <w:p>
      <w:pPr>
        <w:pStyle w:val="ListBullet"/>
      </w:pPr>
      <w:r>
        <w:t>Working local document-tracker implementation for practical testing.</w:t>
      </w:r>
    </w:p>
    <w:p>
      <w:pPr>
        <w:pStyle w:val="Heading1"/>
      </w:pPr>
      <w:r>
        <w:t>Prerequisites and Preparation</w:t>
      </w:r>
    </w:p>
    <w:p>
      <w:pPr>
        <w:pStyle w:val="ListBullet"/>
      </w:pPr>
      <w:r>
        <w:t>Install and verify Visual Studio or VS Code, the required .NET SDK, Azure CLI and relevant extensions before the course.</w:t>
      </w:r>
    </w:p>
    <w:p>
      <w:pPr>
        <w:pStyle w:val="ListBullet"/>
      </w:pPr>
      <w:r>
        <w:t>Confirm access and permissions to approved Azure training environments.</w:t>
      </w:r>
    </w:p>
    <w:p>
      <w:pPr>
        <w:pStyle w:val="ListBullet"/>
      </w:pPr>
      <w:r>
        <w:t>Prepare application code, schema, fictional data and pre-provisioned or automated Azure resources.</w:t>
      </w:r>
    </w:p>
    <w:p>
      <w:pPr>
        <w:pStyle w:val="ListBullet"/>
      </w:pPr>
      <w:r>
        <w:t>Preconfigure Application Insights and provide sufficient sample telemetry for KQL exercises.</w:t>
      </w:r>
    </w:p>
    <w:p>
      <w:pPr>
        <w:pStyle w:val="ListBullet"/>
      </w:pPr>
      <w:r>
        <w:t>Rehearse all labs and demonstrations; prepare fallback resources and screenshots.</w:t>
      </w:r>
    </w:p>
    <w:p>
      <w:pPr>
        <w:pStyle w:val="Heading1"/>
      </w:pPr>
      <w:r>
        <w:t>Scope and Delivery Expectations</w:t>
      </w:r>
    </w:p>
    <w:p>
      <w:pPr>
        <w:pStyle w:val="Heading2"/>
      </w:pPr>
      <w:r>
        <w:t>Included in the two-day course</w:t>
      </w:r>
    </w:p>
    <w:p>
      <w:pPr>
        <w:pStyle w:val="ListBullet"/>
      </w:pPr>
      <w:r>
        <w:t>Azure foundations, application hosting, prepared web-app deployment and Azure SQL connectivity.</w:t>
      </w:r>
    </w:p>
    <w:p>
      <w:pPr>
        <w:pStyle w:val="ListBullet"/>
      </w:pPr>
      <w:r>
        <w:t>Security, identity, cost-management concepts and basic Blob Storage operations.</w:t>
      </w:r>
    </w:p>
    <w:p>
      <w:pPr>
        <w:pStyle w:val="ListBullet"/>
      </w:pPr>
      <w:r>
        <w:t>Application monitoring, KQL troubleshooting and a prepared Functions/Service Bus demonstration.</w:t>
      </w:r>
    </w:p>
    <w:p>
      <w:pPr>
        <w:pStyle w:val="ListBullet"/>
      </w:pPr>
      <w:r>
        <w:t>Local document-tracker testing and introductions to Bicep, CI/CD and production readiness.</w:t>
      </w:r>
    </w:p>
    <w:p>
      <w:pPr>
        <w:pStyle w:val="Heading2"/>
      </w:pPr>
      <w:r>
        <w:t>Follow-on learning (not two-day completion commitments)</w:t>
      </w:r>
    </w:p>
    <w:p>
      <w:pPr>
        <w:pStyle w:val="ListBullet"/>
      </w:pPr>
      <w:r>
        <w:t>Building a complete production application from scratch or fully integrating the document tracker with Azure.</w:t>
      </w:r>
    </w:p>
    <w:p>
      <w:pPr>
        <w:pStyle w:val="ListBullet"/>
      </w:pPr>
      <w:r>
        <w:t>Advanced private networking and enterprise security implementation.</w:t>
      </w:r>
    </w:p>
    <w:p>
      <w:pPr>
        <w:pStyle w:val="ListBullet"/>
      </w:pPr>
      <w:r>
        <w:t>Complete Infrastructure as Code and end-to-end CI/CD pipelines.</w:t>
      </w:r>
    </w:p>
    <w:p>
      <w:pPr>
        <w:pStyle w:val="ListBullet"/>
      </w:pPr>
      <w:r>
        <w:t>Advanced messaging, scaling and resilience testing.</w:t>
      </w:r>
    </w:p>
    <w:p>
      <w:pPr>
        <w:pStyle w:val="Heading1"/>
      </w:pPr>
      <w:r>
        <w:t>Delivery Considerations</w:t>
      </w:r>
    </w:p>
    <w:p>
      <w:r>
        <w:t>The course prioritises successful practical learning. Guided labs use prepared code and approved environments; advanced services are demonstrated when independent implementation would introduce unnecessary complexity. Troubleshooting and catch-up time is built in. If an environment issue blocks a lab, the trainer can use prepared working resources to demonstrate the intended behaviour. Record the learner's lab as blocked, not independently completed; the demonstration meets an observation objective only.</w:t>
      </w:r>
    </w:p>
    <w:p>
      <w:r>
        <w:t>Overall outcome: Participants gain practical familiarity with developing, deploying, securing, monitoring and troubleshooting Azure applications, plus an understanding of the tools and practices used in enterprise delivery.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Two-Day Azure Developer Training  •  Course Agenda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63C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6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63C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