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Lab2 — Create and Explore Azure Functions</w:t>
      </w:r>
    </w:p>
    <w:p>
      <w:pPr>
        <w:pStyle w:val="Subtitle"/>
      </w:pPr>
      <w:r>
        <w:t>LBS | Azure Cloud Architecture Fundamentals for Developers</w:t>
      </w:r>
    </w:p>
    <w:p>
      <w:r>
        <w:t>Scenario: The Building Society needs to process a submitted application asynchronously and record operational telemetry. In this lab, learners create a Function App, compare hosting choices, test a simple HTTP-triggered function and inspect Application Insights. Estimated duration: 35–50 minutes.</w:t>
      </w:r>
    </w:p>
    <w:p>
      <w:r>
        <w:t>BASIC PORTAL LAB | Reviewed attendee edition v2 | 26 October 2026</w:t>
      </w:r>
    </w:p>
    <w:p>
      <w:r>
        <w:t>Goal: create this service, understand the essential settings, perform one small test and clean up. No App Service/SQL integration, managed-identity application code, pipeline or document-tracker implementation is required. Any section labelled Optional is outside the basic completion checkpoint.</w:t>
      </w:r>
    </w:p>
    <w:p>
      <w:r>
        <w:t>Before Create: obtain the approved subscription, resource group, region, tier, spending limit and cleanup owner. 'Training' and screenshot names are examples. Inspect/reuse instructor-assigned resources rather than creating duplicates. Do not change a shared resource without permission.</w:t>
      </w:r>
    </w:p>
    <w:p>
      <w:r>
        <w:t>Validation scope: checked against the Microsoft references listed at the end and checked for document integrity and exercise checkpoints. These four walkthroughs have NOT been executed end-to-end in Azure during this review. Portal labels, permissions and regional availability need instructor rehearsal. Screenshots illustrate historical choices, not required current settings.</w:t>
      </w:r>
    </w:p>
    <w:p>
      <w:pPr>
        <w:pStyle w:val="Heading1"/>
      </w:pPr>
      <w:r>
        <w:t>1. What and why: Azure Functions</w:t>
      </w:r>
    </w:p>
    <w:p>
      <w:r>
        <w:t>Azure Functions is a managed, event-driven compute service for running small units of application logic when an event occurs. Common triggers include HTTP requests, timers, Blob events and Service Bus messages. Functions are useful for background tasks, integration and bursty workloads; they are not automatically the best choice for every web API.</w:t>
      </w:r>
    </w:p>
    <w:p>
      <w:r>
        <w:t>Building Society example: an application API accepts a request and places a message on a queue; a Function processes the message independently. This keeps the customer-facing request short and supports retries and scaling. The Service Bus connection is an optional architecture extension, not required to complete this lab.</w:t>
      </w:r>
    </w:p>
    <w:p>
      <w:pPr>
        <w:pStyle w:val="Heading1"/>
      </w:pPr>
      <w:r>
        <w:t>2. Choose a hosting plan — what, why and cost</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Hosting option</w:t>
            </w:r>
          </w:p>
        </w:tc>
        <w:tc>
          <w:tcPr>
            <w:tcW w:type="dxa" w:w="2880"/>
          </w:tcPr>
          <w:p>
            <w:r>
              <w:t>Best fit</w:t>
            </w:r>
          </w:p>
        </w:tc>
        <w:tc>
          <w:tcPr>
            <w:tcW w:type="dxa" w:w="2880"/>
          </w:tcPr>
          <w:p>
            <w:r>
              <w:t>Trade-off / cost note</w:t>
            </w:r>
          </w:p>
        </w:tc>
      </w:tr>
      <w:tr>
        <w:tc>
          <w:tcPr>
            <w:tcW w:type="dxa" w:w="2880"/>
          </w:tcPr>
          <w:p>
            <w:r>
              <w:t>Flex Consumption</w:t>
            </w:r>
          </w:p>
        </w:tc>
        <w:tc>
          <w:tcPr>
            <w:tcW w:type="dxa" w:w="2880"/>
          </w:tcPr>
          <w:p>
            <w:r>
              <w:t>New event-driven workloads; pay-per-use with configurable memory and scale</w:t>
            </w:r>
          </w:p>
        </w:tc>
        <w:tc>
          <w:tcPr>
            <w:tcW w:type="dxa" w:w="2880"/>
          </w:tcPr>
          <w:p>
            <w:r>
              <w:t>Consumption-based execution and memory billing; optional Always Ready capacity incurs ongoing cost; Linux hosting.</w:t>
            </w:r>
          </w:p>
        </w:tc>
      </w:tr>
      <w:tr>
        <w:tc>
          <w:tcPr>
            <w:tcW w:type="dxa" w:w="2880"/>
          </w:tcPr>
          <w:p>
            <w:r>
              <w:t>Functions Premium</w:t>
            </w:r>
          </w:p>
        </w:tc>
        <w:tc>
          <w:tcPr>
            <w:tcW w:type="dxa" w:w="2880"/>
          </w:tcPr>
          <w:p>
            <w:r>
              <w:t>Production functions requiring pre-warmed capacity, networking or predictable performance</w:t>
            </w:r>
          </w:p>
        </w:tc>
        <w:tc>
          <w:tcPr>
            <w:tcW w:type="dxa" w:w="2880"/>
          </w:tcPr>
          <w:p>
            <w:r>
              <w:t>Pre-warmed/minimum instances cost money even when traffic is low.</w:t>
            </w:r>
          </w:p>
        </w:tc>
      </w:tr>
      <w:tr>
        <w:tc>
          <w:tcPr>
            <w:tcW w:type="dxa" w:w="2880"/>
          </w:tcPr>
          <w:p>
            <w:r>
              <w:t>App Service plan</w:t>
            </w:r>
          </w:p>
        </w:tc>
        <w:tc>
          <w:tcPr>
            <w:tcW w:type="dxa" w:w="2880"/>
          </w:tcPr>
          <w:p>
            <w:r>
              <w:t>Functions alongside existing web apps or when dedicated capacity is required</w:t>
            </w:r>
          </w:p>
        </w:tc>
        <w:tc>
          <w:tcPr>
            <w:tcW w:type="dxa" w:w="2880"/>
          </w:tcPr>
          <w:p>
            <w:r>
              <w:t>Pay for the allocated App Service plan instances, including idle time.</w:t>
            </w:r>
          </w:p>
        </w:tc>
      </w:tr>
      <w:tr>
        <w:tc>
          <w:tcPr>
            <w:tcW w:type="dxa" w:w="2880"/>
          </w:tcPr>
          <w:p>
            <w:r>
              <w:t>Container Apps environment</w:t>
            </w:r>
          </w:p>
        </w:tc>
        <w:tc>
          <w:tcPr>
            <w:tcW w:type="dxa" w:w="2880"/>
          </w:tcPr>
          <w:p>
            <w:r>
              <w:t>Container-based microservices and functions in a shared environment</w:t>
            </w:r>
          </w:p>
        </w:tc>
        <w:tc>
          <w:tcPr>
            <w:tcW w:type="dxa" w:w="2880"/>
          </w:tcPr>
          <w:p>
            <w:r>
              <w:t>KEDA-based event scaling; pricing depends on environment and replica configuration.</w:t>
            </w:r>
          </w:p>
        </w:tc>
      </w:tr>
      <w:tr>
        <w:tc>
          <w:tcPr>
            <w:tcW w:type="dxa" w:w="2880"/>
          </w:tcPr>
          <w:p>
            <w:r>
              <w:t>Consumption (Windows)</w:t>
            </w:r>
          </w:p>
        </w:tc>
        <w:tc>
          <w:tcPr>
            <w:tcW w:type="dxa" w:w="2880"/>
          </w:tcPr>
          <w:p>
            <w:r>
              <w:t>Legacy/classic Windows consumption workloads</w:t>
            </w:r>
          </w:p>
        </w:tc>
        <w:tc>
          <w:tcPr>
            <w:tcW w:type="dxa" w:w="2880"/>
          </w:tcPr>
          <w:p>
            <w:r>
              <w:t>Pay per execution/resource use; limitations and feature support differ from Flex.</w:t>
            </w:r>
          </w:p>
        </w:tc>
      </w:tr>
    </w:tbl>
    <w:p>
      <w:r>
        <w:t>Screenshot interpretation: Flex Consumption is selected, scale-to-zero is supported, and Always Ready is optional. “Scale to zero” does not guarantee zero overall cost: storage, Application Insights ingestion and any configured always-ready instances may still be charged.</w:t>
      </w:r>
    </w:p>
    <w:p>
      <w:r>
        <w:t>Developer tip: choose hosting based on runtime support, expected traffic, cold-start tolerance, network dependencies, scaling behaviour and cost. Do not select a plan solely because it has the highest maximum instance count.</w:t>
      </w:r>
    </w:p>
    <w:p>
      <w:pPr>
        <w:pStyle w:val="Heading1"/>
      </w:pPr>
      <w:r>
        <w:t>3. Create a Function App in Azure portal</w:t>
      </w:r>
    </w:p>
    <w:p>
      <w:pPr>
        <w:pStyle w:val="ListNumber"/>
      </w:pPr>
      <w:r>
        <w:t>Sign in to https://portal.azure.com. Search for Function App and select Create.</w:t>
      </w:r>
    </w:p>
    <w:p>
      <w:pPr>
        <w:pStyle w:val="ListNumber"/>
      </w:pPr>
      <w:r>
        <w:t>On the hosting selection screen, choose the instructor-approved Flex Consumption plan for a new Linux lab app where available. Do not create a replacement or select a more expensive plan if quota/region/runtime is unavailable; use an approved prepared demonstration.</w:t>
      </w:r>
    </w:p>
    <w:p>
      <w:pPr>
        <w:pStyle w:val="ListNumber"/>
      </w:pPr>
      <w:r>
        <w:t>Choose your training subscription and resource group Training. Enter a globally unique Function App name, for example lbs-func-demo-&lt;unique-suffix&gt;. The screenshot uses fristAzureFunctionApp; avoid copying names that are already taken.</w:t>
      </w:r>
    </w:p>
    <w:p>
      <w:pPr>
        <w:pStyle w:val="ListNumber"/>
      </w:pPr>
      <w:r>
        <w:t>Select the approved region and an instructor-approved, currently supported .NET isolated runtime. For a NEW app prefer .NET 10 isolated on a compatible plan and match the local project target. The screenshot/existing fristAzureFunctionApp uses .NET 8 isolated: do not deploy a .NET 10 project into that app. .NET 8 support ends 10 November 2026; rehearse a supported runtime before future delivery. Do not change the shared app runtime without approval.</w:t>
      </w:r>
    </w:p>
    <w:p>
      <w:pPr>
        <w:pStyle w:val="ListNumber"/>
      </w:pPr>
      <w:r>
        <w:t>Choose an instructor-approved memory size supported by the plan/region. The screenshot shows 512 MB, not a universal default; confirm adequate memory for the selected runtime. Leave Always Ready disabled for the basic lab unless explicitly approved.</w:t>
      </w:r>
    </w:p>
    <w:p>
      <w:pPr>
        <w:pStyle w:val="ListNumber"/>
      </w:pPr>
      <w:r>
        <w:t>On Storage, create or select the required host storage account. A Function App requires host storage; do not delete it while the app is running.</w:t>
      </w:r>
    </w:p>
    <w:p>
      <w:pPr>
        <w:pStyle w:val="ListNumber"/>
      </w:pPr>
      <w:r>
        <w:t>Enable Application Insights and select or create a workspace-based resource so you can inspect logs with KQL.</w:t>
      </w:r>
    </w:p>
    <w:p>
      <w:pPr>
        <w:pStyle w:val="ListNumber"/>
      </w:pPr>
      <w:r>
        <w:t>On Deployment, leave basic publishing authentication disabled. Continuous deployment can be configured later using a supported CI/CD method.</w:t>
      </w:r>
    </w:p>
    <w:p>
      <w:pPr>
        <w:pStyle w:val="ListNumber"/>
      </w:pPr>
      <w:r>
        <w:t>Review authentication, network settings, tags and any other tabs shown by the current portal; use organisation-approved settings.</w:t>
      </w:r>
    </w:p>
    <w:p>
      <w:pPr>
        <w:pStyle w:val="ListNumber"/>
      </w:pPr>
      <w:r>
        <w:t>Open Review + create. Check plan, region, runtime, storage, monitoring and estimated charges; select Create, then Go to resource.</w:t>
      </w:r>
    </w:p>
    <w:p>
      <w:pPr>
        <w:pStyle w:val="Heading1"/>
      </w:pPr>
      <w:r>
        <w:t>4. Understand the settings in the screenshots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Setting</w:t>
            </w:r>
          </w:p>
        </w:tc>
        <w:tc>
          <w:tcPr>
            <w:tcW w:type="dxa" w:w="2880"/>
          </w:tcPr>
          <w:p>
            <w:r>
              <w:t>Screenshot value</w:t>
            </w:r>
          </w:p>
        </w:tc>
        <w:tc>
          <w:tcPr>
            <w:tcW w:type="dxa" w:w="2880"/>
          </w:tcPr>
          <w:p>
            <w:r>
              <w:t>What attendees should know (screenshot values are historical)</w:t>
            </w:r>
          </w:p>
        </w:tc>
      </w:tr>
      <w:tr>
        <w:tc>
          <w:tcPr>
            <w:tcW w:type="dxa" w:w="2880"/>
          </w:tcPr>
          <w:p>
            <w:r>
              <w:t>Hosting</w:t>
            </w:r>
          </w:p>
        </w:tc>
        <w:tc>
          <w:tcPr>
            <w:tcW w:type="dxa" w:w="2880"/>
          </w:tcPr>
          <w:p>
            <w:r>
              <w:t>Flex Consumption; Linux; UK South</w:t>
            </w:r>
          </w:p>
        </w:tc>
        <w:tc>
          <w:tcPr>
            <w:tcW w:type="dxa" w:w="2880"/>
          </w:tcPr>
          <w:p>
            <w:r>
              <w:t>Event-driven scale and pay-as-you-go; confirm plan availability in region.</w:t>
            </w:r>
          </w:p>
        </w:tc>
      </w:tr>
      <w:tr>
        <w:tc>
          <w:tcPr>
            <w:tcW w:type="dxa" w:w="2880"/>
          </w:tcPr>
          <w:p>
            <w:r>
              <w:t>Runtime</w:t>
            </w:r>
          </w:p>
        </w:tc>
        <w:tc>
          <w:tcPr>
            <w:tcW w:type="dxa" w:w="2880"/>
          </w:tcPr>
          <w:p>
            <w:r>
              <w:t>.NET 8 isolated in screenshot only; select/match a supported runtime; .NET 8 support ends 10 November 2026</w:t>
            </w:r>
          </w:p>
        </w:tc>
        <w:tc>
          <w:tcPr>
            <w:tcW w:type="dxa" w:w="2880"/>
          </w:tcPr>
          <w:p>
            <w:r>
              <w:t>Function code runs in a separate .NET worker process; package/programming model differs from in-process.</w:t>
            </w:r>
          </w:p>
        </w:tc>
      </w:tr>
      <w:tr>
        <w:tc>
          <w:tcPr>
            <w:tcW w:type="dxa" w:w="2880"/>
          </w:tcPr>
          <w:p>
            <w:r>
              <w:t>Memory</w:t>
            </w:r>
          </w:p>
        </w:tc>
        <w:tc>
          <w:tcPr>
            <w:tcW w:type="dxa" w:w="2880"/>
          </w:tcPr>
          <w:p>
            <w:r>
              <w:t>512 MB</w:t>
            </w:r>
          </w:p>
        </w:tc>
        <w:tc>
          <w:tcPr>
            <w:tcW w:type="dxa" w:w="2880"/>
          </w:tcPr>
          <w:p>
            <w:r>
              <w:t>Small workloads may need less memory; test performance before increasing.</w:t>
            </w:r>
          </w:p>
        </w:tc>
      </w:tr>
      <w:tr>
        <w:tc>
          <w:tcPr>
            <w:tcW w:type="dxa" w:w="2880"/>
          </w:tcPr>
          <w:p>
            <w:r>
              <w:t>Secure unique default hostname</w:t>
            </w:r>
          </w:p>
        </w:tc>
        <w:tc>
          <w:tcPr>
            <w:tcW w:type="dxa" w:w="2880"/>
          </w:tcPr>
          <w:p>
            <w:r>
              <w:t>Enabled</w:t>
            </w:r>
          </w:p>
        </w:tc>
        <w:tc>
          <w:tcPr>
            <w:tcW w:type="dxa" w:w="2880"/>
          </w:tcPr>
          <w:p>
            <w:r>
              <w:t>Reduces predictable hostnames; not a substitute for authentication.</w:t>
            </w:r>
          </w:p>
        </w:tc>
      </w:tr>
      <w:tr>
        <w:tc>
          <w:tcPr>
            <w:tcW w:type="dxa" w:w="2880"/>
          </w:tcPr>
          <w:p>
            <w:r>
              <w:t>Host storage</w:t>
            </w:r>
          </w:p>
        </w:tc>
        <w:tc>
          <w:tcPr>
            <w:tcW w:type="dxa" w:w="2880"/>
          </w:tcPr>
          <w:p>
            <w:r>
              <w:t>traininga8a2</w:t>
            </w:r>
          </w:p>
        </w:tc>
        <w:tc>
          <w:tcPr>
            <w:tcW w:type="dxa" w:w="2880"/>
          </w:tcPr>
          <w:p>
            <w:r>
              <w:t>AzureWebJobsStorage supports host operations; safeguard account and access.</w:t>
            </w:r>
          </w:p>
        </w:tc>
      </w:tr>
      <w:tr>
        <w:tc>
          <w:tcPr>
            <w:tcW w:type="dxa" w:w="2880"/>
          </w:tcPr>
          <w:p>
            <w:r>
              <w:t>Deployment storage</w:t>
            </w:r>
          </w:p>
        </w:tc>
        <w:tc>
          <w:tcPr>
            <w:tcW w:type="dxa" w:w="2880"/>
          </w:tcPr>
          <w:p>
            <w:r>
              <w:t>app-package-…</w:t>
            </w:r>
          </w:p>
        </w:tc>
        <w:tc>
          <w:tcPr>
            <w:tcW w:type="dxa" w:w="2880"/>
          </w:tcPr>
          <w:p>
            <w:r>
              <w:t>Flex deployment package storage; permissions and deployment configuration matter.</w:t>
            </w:r>
          </w:p>
        </w:tc>
      </w:tr>
      <w:tr>
        <w:tc>
          <w:tcPr>
            <w:tcW w:type="dxa" w:w="2880"/>
          </w:tcPr>
          <w:p>
            <w:r>
              <w:t>Application Insights</w:t>
            </w:r>
          </w:p>
        </w:tc>
        <w:tc>
          <w:tcPr>
            <w:tcW w:type="dxa" w:w="2880"/>
          </w:tcPr>
          <w:p>
            <w:r>
              <w:t>Enabled, UK South</w:t>
            </w:r>
          </w:p>
        </w:tc>
        <w:tc>
          <w:tcPr>
            <w:tcW w:type="dxa" w:w="2880"/>
          </w:tcPr>
          <w:p>
            <w:r>
              <w:t>Telemetry may incur ingestion and retention charges; inspect the linked workspace.</w:t>
            </w:r>
          </w:p>
        </w:tc>
      </w:tr>
      <w:tr>
        <w:tc>
          <w:tcPr>
            <w:tcW w:type="dxa" w:w="2880"/>
          </w:tcPr>
          <w:p>
            <w:r>
              <w:t>Basic authentication</w:t>
            </w:r>
          </w:p>
        </w:tc>
        <w:tc>
          <w:tcPr>
            <w:tcW w:type="dxa" w:w="2880"/>
          </w:tcPr>
          <w:p>
            <w:r>
              <w:t>Disabled</w:t>
            </w:r>
          </w:p>
        </w:tc>
        <w:tc>
          <w:tcPr>
            <w:tcW w:type="dxa" w:w="2880"/>
          </w:tcPr>
          <w:p>
            <w:r>
              <w:t>Prefer modern CI/CD authentication over publishing credentials.</w:t>
            </w:r>
          </w:p>
        </w:tc>
      </w:tr>
      <w:tr>
        <w:tc>
          <w:tcPr>
            <w:tcW w:type="dxa" w:w="2880"/>
          </w:tcPr>
          <w:p>
            <w:r>
              <w:t>Azure OpenAI</w:t>
            </w:r>
          </w:p>
        </w:tc>
        <w:tc>
          <w:tcPr>
            <w:tcW w:type="dxa" w:w="2880"/>
          </w:tcPr>
          <w:p>
            <w:r>
              <w:t>Not enabled</w:t>
            </w:r>
          </w:p>
        </w:tc>
        <w:tc>
          <w:tcPr>
            <w:tcW w:type="dxa" w:w="2880"/>
          </w:tcPr>
          <w:p>
            <w:r>
              <w:t>Not required for this exercise.</w:t>
            </w:r>
          </w:p>
        </w:tc>
      </w:tr>
    </w:tbl>
    <w:p>
      <w:pPr>
        <w:pStyle w:val="Heading1"/>
      </w:pPr>
      <w:r>
        <w:t>5. Security and authentication decisions</w:t>
      </w:r>
    </w:p>
    <w:p>
      <w:r>
        <w:t>Prefer Microsoft Entra ID and managed identities for access to Azure services. The screenshot shows “Not applicable when using secrets” for host/deployment storage roles, indicating a secret-based configuration. For production, evaluate identity-based connections and required data-plane RBAC roles where supported by the hosting/deployment configuration.</w:t>
      </w:r>
    </w:p>
    <w:p>
      <w:r>
        <w:t>Keep secrets out of source code; use application settings and Key Vault references where appropriate. Protect HTTP-triggered endpoints with the correct authentication/authorisation approach: a function key is not a replacement for user authentication. Use least privilege for access to Storage, Service Bus and other resources.</w:t>
      </w:r>
    </w:p>
    <w:p>
      <w:r>
        <w:t>Networking awareness: public endpoints are easier for training, but enterprise deployments may require access restrictions, private endpoints and VNet integration. Coordinate with the platform team rather than configuring complex networks during this developer lab.</w:t>
      </w:r>
    </w:p>
    <w:p>
      <w:pPr>
        <w:pStyle w:val="Heading1"/>
      </w:pPr>
      <w:r>
        <w:t>6. Hands-on: create and test an HTTP-triggered function</w:t>
      </w:r>
    </w:p>
    <w:p>
      <w:pPr>
        <w:pStyle w:val="ListNumber"/>
      </w:pPr>
      <w:r>
        <w:t>Open your assigned Function App. Check Overview, runtime and hosting plan. Running means a host exists; creating the Function App does not create an HTTP function or deploy code.</w:t>
      </w:r>
    </w:p>
    <w:p>
      <w:pPr>
        <w:pStyle w:val="ListNumber"/>
      </w:pPr>
      <w:r>
        <w:t>For the C# HTTP test, use VS Code with the Azure Functions extension, Azure Functions Core Tools v4 and the .NET SDK matching your chosen runtime. C# isolated functions are developed locally, not edited in the portal. In a new folder, run Azure Functions: Create New Project &gt; C# &gt; the matching .NET isolated target &gt; HTTP trigger &gt; ApplicationStatus &gt; Function authorisation. Retain the generated compatible packages and Program.cs.</w:t>
      </w:r>
    </w:p>
    <w:p>
      <w:pPr>
        <w:pStyle w:val="ListNumber"/>
      </w:pPr>
      <w:r>
        <w:t>For the smallest test, retain the generated HTTP template and use its actual response as your expected result. If you want the fixed JSON response instead, replace the generated ApplicationStatus class with the complete example below; do not keep duplicate functions with the same name.</w:t>
      </w:r>
    </w:p>
    <w:p>
      <w:r>
        <w:t>using System.Net;</w:t>
        <w:br/>
        <w:t>using Microsoft.Azure.Functions.Worker;</w:t>
        <w:br/>
        <w:t>using Microsoft.Azure.Functions.Worker.Http;</w:t>
        <w:br/>
        <w:br/>
        <w:t>public class ApplicationStatus</w:t>
        <w:br/>
        <w:t>{</w:t>
        <w:br/>
        <w:t xml:space="preserve">    [Function("ApplicationStatus")]</w:t>
        <w:br/>
        <w:t xml:space="preserve">    public async Task&lt;HttpResponseData&gt; Run(</w:t>
        <w:br/>
        <w:t xml:space="preserve">        [HttpTrigger(AuthorizationLevel.Function, "get")] HttpRequestData request)</w:t>
        <w:br/>
        <w:t xml:space="preserve">    {</w:t>
        <w:br/>
        <w:t xml:space="preserve">        var response = request.CreateResponse(HttpStatusCode.OK);</w:t>
        <w:br/>
        <w:t xml:space="preserve">        await response.WriteAsJsonAsync(new { status = "received", applicationType = "mortgage" });</w:t>
        <w:br/>
        <w:t xml:space="preserve">        return response;</w:t>
        <w:br/>
        <w:t xml:space="preserve">    }</w:t>
        <w:br/>
        <w:t>}</w:t>
      </w:r>
    </w:p>
    <w:p>
      <w:r>
        <w:t>If local.settings.json uses AzureWebJobsStorage=UseDevelopmentStorage=true, start Azurite first (VS Code Azurite: Start). Never commit this settings file or upload emulator storage settings into Azure.</w:t>
      </w:r>
    </w:p>
    <w:p>
      <w:pPr>
        <w:pStyle w:val="ListNumber"/>
      </w:pPr>
      <w:r>
        <w:t>In the new function project terminal run dotnet build, then func start (or F5, but not both). Call the exact localhost URL printed by the host, usually port 7071. Expected: HTTP 200 and the generated template response, or the fixed JSON above if installed. Local Core Tools normally does not enforce function-key authorisation; this does not make the cloud endpoint anonymous.</w:t>
      </w:r>
    </w:p>
    <w:p>
      <w:pPr>
        <w:pStyle w:val="ListNumber"/>
      </w:pPr>
      <w:r>
        <w:t>Stop the local host, then in VS Code Azure Functions choose Deploy to Function App and select only your own approved app with the matching runtime. Deployment can overwrite functions in that target; do not deploy over fristAzureFunctionApp without its owner's approval. Do not upload local.settings.json. If policy blocks deployment, use the prepared demo rather than enabling basic publishing credentials.</w:t>
      </w:r>
    </w:p>
    <w:p>
      <w:pPr>
        <w:pStyle w:val="ListNumber"/>
      </w:pPr>
      <w:r>
        <w:t>In the deployed function's portal page, copy Get function URL and invoke it privately with the required function key (or approved instructor tooling). Use the exact generated hostname, not a guessed app-name URL. Do not place the key in code, chat or screenshots. Confirm HTTP 200 and the expected body; record time/function name, not the key. A key is a shared secret, not staff Entra sign-in.</w:t>
      </w:r>
    </w:p>
    <w:p>
      <w:pPr>
        <w:pStyle w:val="ListNumber"/>
      </w:pPr>
      <w:r>
        <w:t>Open Application Insights → Failures, Performance or Logs and locate the invocation. Telemetry can take several minutes to appear.</w:t>
      </w:r>
    </w:p>
    <w:p>
      <w:pPr>
        <w:pStyle w:val="Heading1"/>
      </w:pPr>
      <w:r>
        <w:t>7. Application Insights and KQL mini-exercise</w:t>
      </w:r>
    </w:p>
    <w:p>
      <w:r>
        <w:t>In the linked Log Analytics workspace Logs, use the workspace-schema queries below. First filter to your app's _ResourceId (or AppRoleName after verifying its value) when the workspace contains multiple apps. Application Insights resource-context queries can instead use requests/timestamp or exceptions/type; do not mix schemas.</w:t>
      </w:r>
    </w:p>
    <w:p>
      <w:r>
        <w:t>Example KQL — recent requests:</w:t>
      </w:r>
    </w:p>
    <w:p>
      <w:pPr/>
      <w:r>
        <w:t>AppRequests</w:t>
        <w:br/>
        <w:t>| where TimeGenerated &gt; ago(1h)</w:t>
        <w:br/>
        <w:t>| project TimeGenerated, Name, Success, ResultCode, DurationMs</w:t>
        <w:br/>
        <w:t>| order by TimeGenerated desc</w:t>
      </w:r>
    </w:p>
    <w:p>
      <w:r>
        <w:t>Example KQL — failures:</w:t>
      </w:r>
    </w:p>
    <w:p>
      <w:pPr/>
      <w:r>
        <w:t>AppExceptions</w:t>
        <w:br/>
        <w:t>| where TimeGenerated &gt; ago(1h)</w:t>
        <w:br/>
        <w:t>| summarize Failures = count() by ExceptionType</w:t>
        <w:br/>
        <w:t>| order by Failures desc</w:t>
      </w:r>
    </w:p>
    <w:p>
      <w:r>
        <w:t>Tip: If no results appear, confirm the correct workspace and time range, verify Application Insights configuration, and generate a fresh request. Avoid logging personal or financial information.</w:t>
      </w:r>
    </w:p>
    <w:p>
      <w:r>
        <w:t>BASIC CHECKPOINT: record Function App creation/configuration and an actual successful HTTP response. Record telemetry separately after it arrives. Creation-only attendees have completed resource creation, not function execution. Allow prework for tools; a clean machine may exceed the 35-50 minute estimate. Service Bus and SQL integration are not required.</w:t>
      </w:r>
    </w:p>
    <w:p>
      <w:r>
        <w:t>Code check performed: the exact fixed-response C# example above compiled successfully against .NET 10 and isolated-worker HTTP libraries, with zero warnings/errors. This was a library compilation check, not an Azure deployment, function indexing or live HTTP invocation test.</w:t>
      </w:r>
    </w:p>
    <w:p>
      <w:pPr>
        <w:pStyle w:val="Heading1"/>
      </w:pPr>
      <w:r>
        <w:t>8. Optional architecture extension: Service Bus</w:t>
      </w:r>
    </w:p>
    <w:p>
      <w:r>
        <w:t>Discuss: HTTP request → App Service API → Service Bus queue → Azure Function (Service Bus trigger) → Azure SQL. This separates request/response from background processing. Messages should be idempotent because delivery may be repeated; design retries, poison-message handling and dead-letter monitoring. Service Bus and its namespace introduce separate charges.</w:t>
      </w:r>
    </w:p>
    <w:p>
      <w:pPr>
        <w:pStyle w:val="Heading1"/>
      </w:pPr>
      <w:r>
        <w:t>9. Cost and troubleshooting checklist</w:t>
      </w:r>
    </w:p>
    <w:tbl>
      <w:tblPr>
        <w:tblStyle w:val="LightShading-Accent1"/>
        <w:tblW w:type="auto" w:w="0"/>
        <w:tblLook w:firstColumn="1" w:firstRow="1" w:lastColumn="0" w:lastRow="0" w:noHBand="0" w:noVBand="1" w:val="04A0"/>
      </w:tblPr>
      <w:tblGrid>
        <w:gridCol w:w="4320"/>
        <w:gridCol w:w="4320"/>
      </w:tblGrid>
      <w:tr>
        <w:tc>
          <w:tcPr>
            <w:tcW w:type="dxa" w:w="4320"/>
          </w:tcPr>
          <w:p>
            <w:r>
              <w:t>Question / symptom</w:t>
            </w:r>
          </w:p>
        </w:tc>
        <w:tc>
          <w:tcPr>
            <w:tcW w:type="dxa" w:w="4320"/>
          </w:tcPr>
          <w:p>
            <w:r>
              <w:t>Attendee action</w:t>
            </w:r>
          </w:p>
        </w:tc>
      </w:tr>
      <w:tr>
        <w:tc>
          <w:tcPr>
            <w:tcW w:type="dxa" w:w="4320"/>
          </w:tcPr>
          <w:p>
            <w:r>
              <w:t>What causes charges?</w:t>
            </w:r>
          </w:p>
        </w:tc>
        <w:tc>
          <w:tcPr>
            <w:tcW w:type="dxa" w:w="4320"/>
          </w:tcPr>
          <w:p>
            <w:r>
              <w:t>Review execution/resource consumption, optional Always Ready, host/deployment storage and Application Insights ingestion.</w:t>
            </w:r>
          </w:p>
        </w:tc>
      </w:tr>
      <w:tr>
        <w:tc>
          <w:tcPr>
            <w:tcW w:type="dxa" w:w="4320"/>
          </w:tcPr>
          <w:p>
            <w:r>
              <w:t>Function does not appear</w:t>
            </w:r>
          </w:p>
        </w:tc>
        <w:tc>
          <w:tcPr>
            <w:tcW w:type="dxa" w:w="4320"/>
          </w:tcPr>
          <w:p>
            <w:r>
              <w:t>Check deployment succeeded, runtime/worker model, function indexing and app settings.</w:t>
            </w:r>
          </w:p>
        </w:tc>
      </w:tr>
      <w:tr>
        <w:tc>
          <w:tcPr>
            <w:tcW w:type="dxa" w:w="4320"/>
          </w:tcPr>
          <w:p>
            <w:r>
              <w:t>HTTP returns 401/403</w:t>
            </w:r>
          </w:p>
        </w:tc>
        <w:tc>
          <w:tcPr>
            <w:tcW w:type="dxa" w:w="4320"/>
          </w:tcPr>
          <w:p>
            <w:r>
              <w:t>Check function authorisation level, authentication settings and correct endpoint/key usage.</w:t>
            </w:r>
          </w:p>
        </w:tc>
      </w:tr>
      <w:tr>
        <w:tc>
          <w:tcPr>
            <w:tcW w:type="dxa" w:w="4320"/>
          </w:tcPr>
          <w:p>
            <w:r>
              <w:t>Storage-related startup error</w:t>
            </w:r>
          </w:p>
        </w:tc>
        <w:tc>
          <w:tcPr>
            <w:tcW w:type="dxa" w:w="4320"/>
          </w:tcPr>
          <w:p>
            <w:r>
              <w:t>Verify AzureWebJobsStorage configuration, access and supported identity/secret method.</w:t>
            </w:r>
          </w:p>
        </w:tc>
      </w:tr>
      <w:tr>
        <w:tc>
          <w:tcPr>
            <w:tcW w:type="dxa" w:w="4320"/>
          </w:tcPr>
          <w:p>
            <w:r>
              <w:t>No telemetry</w:t>
            </w:r>
          </w:p>
        </w:tc>
        <w:tc>
          <w:tcPr>
            <w:tcW w:type="dxa" w:w="4320"/>
          </w:tcPr>
          <w:p>
            <w:r>
              <w:t>Check Application Insights connection, workspace, sampling and ingestion delay.</w:t>
            </w:r>
          </w:p>
        </w:tc>
      </w:tr>
      <w:tr>
        <w:tc>
          <w:tcPr>
            <w:tcW w:type="dxa" w:w="4320"/>
          </w:tcPr>
          <w:p>
            <w:r>
              <w:t>Cold start or slow execution</w:t>
            </w:r>
          </w:p>
        </w:tc>
        <w:tc>
          <w:tcPr>
            <w:tcW w:type="dxa" w:w="4320"/>
          </w:tcPr>
          <w:p>
            <w:r>
              <w:t>Review plan choice, memory, dependencies and Always Ready trade-off.</w:t>
            </w:r>
          </w:p>
        </w:tc>
      </w:tr>
    </w:tbl>
    <w:p>
      <w:pPr>
        <w:pStyle w:val="Heading1"/>
      </w:pPr>
      <w:r>
        <w:t>10. Knowledge check and cleanup</w:t>
      </w:r>
    </w:p>
    <w:p>
      <w:pPr>
        <w:pStyle w:val="ListNumber"/>
      </w:pPr>
      <w:r>
        <w:t>Why might a Function be preferable to keeping a long-running task inside an HTTP request?</w:t>
      </w:r>
    </w:p>
    <w:p>
      <w:pPr>
        <w:pStyle w:val="ListNumber"/>
      </w:pPr>
      <w:r>
        <w:t>What is the difference between Flex Consumption and Premium?</w:t>
      </w:r>
    </w:p>
    <w:p>
      <w:pPr>
        <w:pStyle w:val="ListNumber"/>
      </w:pPr>
      <w:r>
        <w:t>Does scale-to-zero mean the whole solution is free?</w:t>
      </w:r>
    </w:p>
    <w:p>
      <w:pPr>
        <w:pStyle w:val="ListNumber"/>
      </w:pPr>
      <w:r>
        <w:t>Why does the Function App need a storage account?</w:t>
      </w:r>
    </w:p>
    <w:p>
      <w:pPr>
        <w:pStyle w:val="ListNumber"/>
      </w:pPr>
      <w:r>
        <w:t>Why is an HTTP function key not equivalent to user authentication?</w:t>
      </w:r>
    </w:p>
    <w:p>
      <w:pPr>
        <w:pStyle w:val="ListNumber"/>
      </w:pPr>
      <w:r>
        <w:t>What would you check when an invocation is missing from Application Insights?</w:t>
      </w:r>
    </w:p>
    <w:p>
      <w:r>
        <w:t>Cleanup: remove the training Function App and associated resources only if they are dedicated to this exercise. Check whether the storage account, Application Insights resource, Log Analytics workspace and hosting plan are shared before deleting them. Confirm resource deletion and review cost afterwards.</w:t>
      </w:r>
    </w:p>
    <w:p>
      <w:pPr>
        <w:pStyle w:val="Heading1"/>
      </w:pPr>
      <w:r>
        <w:t>Microsoft Learn references</w:t>
      </w:r>
    </w:p>
    <w:p>
      <w:r>
        <w:t>https://learn.microsoft.com/en-us/azure/azure-functions/functions-overview</w:t>
      </w:r>
    </w:p>
    <w:p>
      <w:r>
        <w:t>https://learn.microsoft.com/en-us/azure/azure-functions/flex-consumption-plan</w:t>
      </w:r>
    </w:p>
    <w:p>
      <w:r>
        <w:t>https://learn.microsoft.com/en-us/azure/azure-functions/functions-create-first-function-vs-code</w:t>
      </w:r>
    </w:p>
    <w:p>
      <w:r>
        <w:t>https://learn.microsoft.com/en-us/azure/azure-functions/configure-monitoring</w:t>
      </w:r>
    </w:p>
    <w:p>
      <w:r>
        <w:t>https://learn.microsoft.com/en-us/azure/azure-functions/functions-identity-based-connections-tutorial</w:t>
      </w:r>
    </w:p>
    <w:p>
      <w:pPr>
        <w:pStyle w:val="Heading1"/>
      </w:pPr>
      <w:r>
        <w:t>Review references and completion record</w:t>
      </w:r>
    </w:p>
    <w:p>
      <w:r>
        <w:t>Microsoft documentation used for this content review:</w:t>
      </w:r>
    </w:p>
    <w:p>
      <w:r>
        <w:t>https://learn.microsoft.com/en-us/azure/azure-functions/functions-create-function-app-portal</w:t>
      </w:r>
    </w:p>
    <w:p>
      <w:r>
        <w:t>https://learn.microsoft.com/en-us/azure/azure-functions/how-to-create-function-vs-code</w:t>
      </w:r>
    </w:p>
    <w:p>
      <w:r>
        <w:t>https://learn.microsoft.com/en-us/azure/azure-functions/dotnet-isolated-process-guide</w:t>
      </w:r>
    </w:p>
    <w:p>
      <w:r>
        <w:t>https://dotnet.microsoft.com/en-us/platform/support/policy/dotnet-core</w:t>
      </w:r>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Attendee observation</w:t>
            </w:r>
          </w:p>
        </w:tc>
      </w:tr>
      <w:tr>
        <w:tc>
          <w:tcPr>
            <w:tcW w:type="dxa" w:w="4320"/>
          </w:tcPr>
          <w:p>
            <w:r>
              <w:t>Actual resource/group/region/tier</w:t>
            </w:r>
          </w:p>
        </w:tc>
        <w:tc>
          <w:tcPr>
            <w:tcW w:type="dxa" w:w="4320"/>
          </w:tcPr>
          <w:p/>
        </w:tc>
      </w:tr>
      <w:tr>
        <w:tc>
          <w:tcPr>
            <w:tcW w:type="dxa" w:w="4320"/>
          </w:tcPr>
          <w:p>
            <w:r>
              <w:t>Identity/permissions and network route</w:t>
            </w:r>
          </w:p>
        </w:tc>
        <w:tc>
          <w:tcPr>
            <w:tcW w:type="dxa" w:w="4320"/>
          </w:tcPr>
          <w:p/>
        </w:tc>
      </w:tr>
      <w:tr>
        <w:tc>
          <w:tcPr>
            <w:tcW w:type="dxa" w:w="4320"/>
          </w:tcPr>
          <w:p>
            <w:r>
              <w:t>Expected versus actual functional result</w:t>
            </w:r>
          </w:p>
        </w:tc>
        <w:tc>
          <w:tcPr>
            <w:tcW w:type="dxa" w:w="4320"/>
          </w:tcPr>
          <w:p/>
        </w:tc>
      </w:tr>
      <w:tr>
        <w:tc>
          <w:tcPr>
            <w:tcW w:type="dxa" w:w="4320"/>
          </w:tcPr>
          <w:p>
            <w:r>
              <w:t>Passed / failed / blocked</w:t>
            </w:r>
          </w:p>
        </w:tc>
        <w:tc>
          <w:tcPr>
            <w:tcW w:type="dxa" w:w="4320"/>
          </w:tcPr>
          <w:p/>
        </w:tc>
      </w:tr>
      <w:tr>
        <w:tc>
          <w:tcPr>
            <w:tcW w:type="dxa" w:w="4320"/>
          </w:tcPr>
          <w:p>
            <w:r>
              <w:t>Cleanup performed or retention owner/deadline</w:t>
            </w:r>
          </w:p>
        </w:tc>
        <w:tc>
          <w:tcPr>
            <w:tcW w:type="dxa" w:w="4320"/>
          </w:tcPr>
          <w:p/>
        </w:tc>
      </w:tr>
    </w:tbl>
    <w:sectPr w:rsidR="00FC693F" w:rsidRPr="0006063C" w:rsidSect="00034616">
      <w:footerReference w:type="default" r:id="rId9"/>
      <w:pgSz w:w="12240" w:h="15840"/>
      <w:pgMar w:top="1008" w:right="1800" w:bottom="936"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LBS | Lab0 — Azure Blob Storage | Training material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Verdana" w:hAnsi="Verdana"/>
      <w:b/>
      <w:bCs/>
      <w:color w:val="005BA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Verdana" w:hAnsi="Verdana"/>
      <w:b/>
      <w:bCs/>
      <w:color w:val="005BA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Verdana" w:hAnsi="Verdana"/>
      <w:color w:val="005BA1"/>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Basic portal creation and small verification test; integration optional</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