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Lab3 — Create and Explore Azure Service Bus</w:t>
      </w:r>
    </w:p>
    <w:p>
      <w:pPr>
        <w:pStyle w:val="Subtitle"/>
      </w:pPr>
      <w:r>
        <w:t>LBS | Azure Cloud Architecture Fundamentals for Developers</w:t>
      </w:r>
    </w:p>
    <w:p>
      <w:r>
        <w:t>Scenario: The Building Society wants to accept an application quickly and process it asynchronously. In this lab, learners create a Service Bus namespace and queue, send and receive test messages, explore security and understand pricing. Estimated duration: 35–50 minutes.</w:t>
      </w:r>
    </w:p>
    <w:p>
      <w:r>
        <w:t>BASIC PORTAL LAB | Reviewed attendee edition v2 | 26 October 2026</w:t>
      </w:r>
    </w:p>
    <w:p>
      <w:r>
        <w:t>Goal: create this service, understand the essential settings, perform one small test and clean up. No App Service/SQL integration, managed-identity application code, pipeline or document-tracker implementation is required. Any section labelled Optional is outside the basic completion checkpoint.</w:t>
      </w:r>
    </w:p>
    <w:p>
      <w:r>
        <w:t>Before Create: obtain the approved subscription, resource group, region, tier, spending limit and cleanup owner. 'Training' and screenshot names are examples. Inspect/reuse instructor-assigned resources rather than creating duplicates. Do not change a shared resource without permission.</w:t>
      </w:r>
    </w:p>
    <w:p>
      <w:r>
        <w:t>Validation scope: checked against the Microsoft references listed at the end and checked for document integrity and exercise checkpoints. These four walkthroughs have NOT been executed end-to-end in Azure during this review. Portal labels, permissions and regional availability need instructor rehearsal. Screenshots illustrate historical choices, not required current settings.</w:t>
      </w:r>
    </w:p>
    <w:p>
      <w:pPr>
        <w:pStyle w:val="Heading1"/>
      </w:pPr>
      <w:r>
        <w:t>1. What and why: Azure Service Bus</w:t>
      </w:r>
    </w:p>
    <w:p>
      <w:r>
        <w:t>Azure Service Bus is a managed enterprise message broker. A producer sends a message to a queue; a consumer processes it later. This decouples components, absorbs bursts and supports reliable processing. It is not a database and does not guarantee exactly-once execution of your business logic.</w:t>
      </w:r>
    </w:p>
    <w:p>
      <w:r>
        <w:t>Building Society example: a web API receives an application, validates it, stores its status and sends an ApplicationSubmitted message. A background worker or Azure Function processes the message and updates the status. The user does not need to wait for the background work.</w:t>
      </w:r>
    </w:p>
    <w:p>
      <w:r>
        <w:t>Architecture: Customer → App Service API → Service Bus queue → Azure Function/worker → Azure SQL. The API must handle send failures; consumers should be idempotent.</w:t>
      </w:r>
    </w:p>
    <w:p>
      <w:pPr>
        <w:pStyle w:val="Heading1"/>
      </w:pPr>
      <w:r>
        <w:t>2. Choose the right messaging service</w:t>
      </w:r>
    </w:p>
    <w:tbl>
      <w:tblPr>
        <w:tblStyle w:val="LightShading-Accent1"/>
        <w:tblW w:type="auto" w:w="0"/>
        <w:tblLook w:firstColumn="1" w:firstRow="1" w:lastColumn="0" w:lastRow="0" w:noHBand="0" w:noVBand="1" w:val="04A0"/>
      </w:tblPr>
      <w:tblGrid>
        <w:gridCol w:w="4320"/>
        <w:gridCol w:w="4320"/>
      </w:tblGrid>
      <w:tr>
        <w:tc>
          <w:tcPr>
            <w:tcW w:type="dxa" w:w="4320"/>
          </w:tcPr>
          <w:p>
            <w:r>
              <w:t>Service</w:t>
            </w:r>
          </w:p>
        </w:tc>
        <w:tc>
          <w:tcPr>
            <w:tcW w:type="dxa" w:w="4320"/>
          </w:tcPr>
          <w:p>
            <w:r>
              <w:t>When to use it</w:t>
            </w:r>
          </w:p>
        </w:tc>
      </w:tr>
      <w:tr>
        <w:tc>
          <w:tcPr>
            <w:tcW w:type="dxa" w:w="4320"/>
          </w:tcPr>
          <w:p>
            <w:r>
              <w:t>Service Bus queue</w:t>
            </w:r>
          </w:p>
        </w:tc>
        <w:tc>
          <w:tcPr>
            <w:tcW w:type="dxa" w:w="4320"/>
          </w:tcPr>
          <w:p>
            <w:r>
              <w:t>Reliable commands or business work items processed by one competing consumer</w:t>
            </w:r>
          </w:p>
        </w:tc>
      </w:tr>
      <w:tr>
        <w:tc>
          <w:tcPr>
            <w:tcW w:type="dxa" w:w="4320"/>
          </w:tcPr>
          <w:p>
            <w:r>
              <w:t>Service Bus topic/subscriptions</w:t>
            </w:r>
          </w:p>
        </w:tc>
        <w:tc>
          <w:tcPr>
            <w:tcW w:type="dxa" w:w="4320"/>
          </w:tcPr>
          <w:p>
            <w:r>
              <w:t>Publish once and route copies to multiple independent subscribers; Standard/Premium</w:t>
            </w:r>
          </w:p>
        </w:tc>
      </w:tr>
      <w:tr>
        <w:tc>
          <w:tcPr>
            <w:tcW w:type="dxa" w:w="4320"/>
          </w:tcPr>
          <w:p>
            <w:r>
              <w:t>Event Grid</w:t>
            </w:r>
          </w:p>
        </w:tc>
        <w:tc>
          <w:tcPr>
            <w:tcW w:type="dxa" w:w="4320"/>
          </w:tcPr>
          <w:p>
            <w:r>
              <w:t>Distribute event notifications to handlers</w:t>
            </w:r>
          </w:p>
        </w:tc>
      </w:tr>
      <w:tr>
        <w:tc>
          <w:tcPr>
            <w:tcW w:type="dxa" w:w="4320"/>
          </w:tcPr>
          <w:p>
            <w:r>
              <w:t>Event Hubs</w:t>
            </w:r>
          </w:p>
        </w:tc>
        <w:tc>
          <w:tcPr>
            <w:tcW w:type="dxa" w:w="4320"/>
          </w:tcPr>
          <w:p>
            <w:r>
              <w:t>High-volume event streaming and telemetry</w:t>
            </w:r>
          </w:p>
        </w:tc>
      </w:tr>
      <w:tr>
        <w:tc>
          <w:tcPr>
            <w:tcW w:type="dxa" w:w="4320"/>
          </w:tcPr>
          <w:p>
            <w:r>
              <w:t>Storage Queue</w:t>
            </w:r>
          </w:p>
        </w:tc>
        <w:tc>
          <w:tcPr>
            <w:tcW w:type="dxa" w:w="4320"/>
          </w:tcPr>
          <w:p>
            <w:r>
              <w:t>Simpler queueing with fewer enterprise broker features</w:t>
            </w:r>
          </w:p>
        </w:tc>
      </w:tr>
    </w:tbl>
    <w:p/>
    <w:p>
      <w:r>
        <w:t>Developer decision: Use synchronous HTTP when the caller needs an immediate result. Use messaging when work can happen later, when you need buffering, or when producers and consumers must evolve independently.</w:t>
      </w:r>
    </w:p>
    <w:p>
      <w:pPr>
        <w:pStyle w:val="Heading1"/>
      </w:pPr>
      <w:r>
        <w:t>3. Pricing tiers — capabilities and cost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Typical fit</w:t>
            </w:r>
          </w:p>
        </w:tc>
        <w:tc>
          <w:tcPr>
            <w:tcW w:type="dxa" w:w="2880"/>
          </w:tcPr>
          <w:p>
            <w:r>
              <w:t>Important considerations</w:t>
            </w:r>
          </w:p>
        </w:tc>
      </w:tr>
      <w:tr>
        <w:tc>
          <w:tcPr>
            <w:tcW w:type="dxa" w:w="2880"/>
          </w:tcPr>
          <w:p>
            <w:r>
              <w:t>Basic</w:t>
            </w:r>
          </w:p>
        </w:tc>
        <w:tc>
          <w:tcPr>
            <w:tcW w:type="dxa" w:w="2880"/>
          </w:tcPr>
          <w:p>
            <w:r>
              <w:t>Small queue-based training demos</w:t>
            </w:r>
          </w:p>
        </w:tc>
        <w:tc>
          <w:tcPr>
            <w:tcW w:type="dxa" w:w="2880"/>
          </w:tcPr>
          <w:p>
            <w:r>
              <w:t>Queues only; no topics/subscriptions, sessions or duplicate detection</w:t>
            </w:r>
          </w:p>
        </w:tc>
      </w:tr>
      <w:tr>
        <w:tc>
          <w:tcPr>
            <w:tcW w:type="dxa" w:w="2880"/>
          </w:tcPr>
          <w:p>
            <w:r>
              <w:t>Standard</w:t>
            </w:r>
          </w:p>
        </w:tc>
        <w:tc>
          <w:tcPr>
            <w:tcW w:type="dxa" w:w="2880"/>
          </w:tcPr>
          <w:p>
            <w:r>
              <w:t>Business integration with queues and topics</w:t>
            </w:r>
          </w:p>
        </w:tc>
        <w:tc>
          <w:tcPr>
            <w:tcW w:type="dxa" w:w="2880"/>
          </w:tcPr>
          <w:p>
            <w:r>
              <w:t>Usage-based operations plus base charge; supports richer broker features</w:t>
            </w:r>
          </w:p>
        </w:tc>
      </w:tr>
      <w:tr>
        <w:tc>
          <w:tcPr>
            <w:tcW w:type="dxa" w:w="2880"/>
          </w:tcPr>
          <w:p>
            <w:r>
              <w:t>Premium</w:t>
            </w:r>
          </w:p>
        </w:tc>
        <w:tc>
          <w:tcPr>
            <w:tcW w:type="dxa" w:w="2880"/>
          </w:tcPr>
          <w:p>
            <w:r>
              <w:t>Predictable, isolated capacity for demanding production workloads</w:t>
            </w:r>
          </w:p>
        </w:tc>
        <w:tc>
          <w:tcPr>
            <w:tcW w:type="dxa" w:w="2880"/>
          </w:tcPr>
          <w:p>
            <w:r>
              <w:t>Dedicated messaging units and higher fixed running cost; advanced networking options</w:t>
            </w:r>
          </w:p>
        </w:tc>
      </w:tr>
    </w:tbl>
    <w:p/>
    <w:p>
      <w:r>
        <w:t>Screenshot interpretation: Pricing tier = Basic. That is suitable for a queue-only introduction, but do not choose Basic if the lab later requires topics, sessions or duplicate detection. Verify the exact features and pricing for your selected tier and region in the Azure portal.</w:t>
      </w:r>
    </w:p>
    <w:p>
      <w:r>
        <w:t>Cost tip: A namespace can incur charges even with light traffic depending on tier. Monitor operations, message size, retained messages, dead-letter buildup and the number of namespaces. Delete the training namespace when finished.</w:t>
      </w:r>
    </w:p>
    <w:p>
      <w:pPr>
        <w:pStyle w:val="Heading1"/>
      </w:pPr>
      <w:r>
        <w:t>4. Create the Service Bus namespace in Azure portal</w:t>
      </w:r>
    </w:p>
    <w:p>
      <w:pPr>
        <w:pStyle w:val="ListNumber"/>
      </w:pPr>
      <w:r>
        <w:t>Sign in to https://portal.azure.com. Search for Service Bus and select Create.</w:t>
      </w:r>
    </w:p>
    <w:p>
      <w:pPr>
        <w:pStyle w:val="ListNumber"/>
      </w:pPr>
      <w:r>
        <w:t>Choose the instructor-approved subscription and resource group (Training only if assigned).</w:t>
      </w:r>
    </w:p>
    <w:p>
      <w:pPr>
        <w:pStyle w:val="ListNumber"/>
      </w:pPr>
      <w:r>
        <w:t>Enter a globally unique namespace name, such as lbs-sb-demo-&lt;unique-suffix&gt;. The screenshot uses fristAzureServiceBus.</w:t>
      </w:r>
    </w:p>
    <w:p>
      <w:pPr>
        <w:pStyle w:val="ListNumber"/>
      </w:pPr>
      <w:r>
        <w:t>Select the approved region. The screenshot shows UK South; choose the region appropriate to your training resources and data-residency requirements.</w:t>
      </w:r>
    </w:p>
    <w:p>
      <w:pPr>
        <w:pStyle w:val="ListNumber"/>
      </w:pPr>
      <w:r>
        <w:t>Select Basic for this queue-only lab if approved. Reuse the assigned fristAzureServiceBus namespace when instructed; do not create another namespace just to repeat the lab. Standard/Premium are needed for topics/subscriptions and other unsupported Basic features, not this exercise.</w:t>
      </w:r>
    </w:p>
    <w:p>
      <w:pPr>
        <w:pStyle w:val="ListNumber"/>
      </w:pPr>
      <w:r>
        <w:t>Review Availability Zones. The screenshot shows Enabled, but support and configuration depend on tier and region; do not assume zone redundancy is available or configurable for every Basic namespace.</w:t>
      </w:r>
    </w:p>
    <w:p>
      <w:pPr>
        <w:pStyle w:val="ListNumber"/>
      </w:pPr>
      <w:r>
        <w:t>Under Networking, review Public access and IPv4 settings. For a classroom lab, public connectivity may be used with appropriate authentication; production network restrictions follow platform-team policy.</w:t>
      </w:r>
    </w:p>
    <w:p>
      <w:pPr>
        <w:pStyle w:val="ListNumber"/>
      </w:pPr>
      <w:r>
        <w:t>Under Security, keep minimum TLS at least 1.2. The screenshot shows Local Authentication enabled; discuss why Microsoft Entra ID is preferred for applications.</w:t>
      </w:r>
    </w:p>
    <w:p>
      <w:pPr>
        <w:pStyle w:val="ListNumber"/>
      </w:pPr>
      <w:r>
        <w:t>Add tags such as Environment=Training, Application=BuildingSocietyDemo and Owner=AzureTraining.</w:t>
      </w:r>
    </w:p>
    <w:p>
      <w:pPr>
        <w:pStyle w:val="ListNumber"/>
      </w:pPr>
      <w:r>
        <w:t>Select Review + create, check pricing tier, region, network and security choices, then Create. Open the namespace when deployment succeeds.</w:t>
      </w:r>
    </w:p>
    <w:p>
      <w:pPr>
        <w:pStyle w:val="Heading1"/>
      </w:pPr>
      <w:r>
        <w:t>5. Hands-on: Create a queue</w:t>
      </w:r>
    </w:p>
    <w:p>
      <w:pPr>
        <w:pStyle w:val="ListNumber"/>
      </w:pPr>
      <w:r>
        <w:t>Within the namespace, open Queues and select + Queue.</w:t>
      </w:r>
    </w:p>
    <w:p>
      <w:pPr>
        <w:pStyle w:val="ListNumber"/>
      </w:pPr>
      <w:r>
        <w:t>Name the queue application-submitted-&lt;your-suffix&gt;, replacing the placeholder with an instructor-approved unique suffix. If assigned an existing queue, record and use that exact name. Leave sessions and duplicate detection disabled for Basic; do not select Standard-only options.</w:t>
      </w:r>
    </w:p>
    <w:p>
      <w:pPr>
        <w:pStyle w:val="ListNumber"/>
      </w:pPr>
      <w:r>
        <w:t>Review Max delivery count, message time-to-live (TTL), lock duration and dead-letter behaviour.</w:t>
      </w:r>
    </w:p>
    <w:p>
      <w:pPr>
        <w:pStyle w:val="ListNumber"/>
      </w:pPr>
      <w:r>
        <w:t>Create the queue and open it. Record the queue name and namespace hostname.</w:t>
      </w:r>
    </w:p>
    <w:tbl>
      <w:tblPr>
        <w:tblStyle w:val="LightShading-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What it means / design tip</w:t>
            </w:r>
          </w:p>
        </w:tc>
      </w:tr>
      <w:tr>
        <w:tc>
          <w:tcPr>
            <w:tcW w:type="dxa" w:w="4320"/>
          </w:tcPr>
          <w:p>
            <w:r>
              <w:t>Max delivery count</w:t>
            </w:r>
          </w:p>
        </w:tc>
        <w:tc>
          <w:tcPr>
            <w:tcW w:type="dxa" w:w="4320"/>
          </w:tcPr>
          <w:p>
            <w:r>
              <w:t>After repeated unsuccessful deliveries, a message can move to the dead-letter queue (DLQ).</w:t>
            </w:r>
          </w:p>
        </w:tc>
      </w:tr>
      <w:tr>
        <w:tc>
          <w:tcPr>
            <w:tcW w:type="dxa" w:w="4320"/>
          </w:tcPr>
          <w:p>
            <w:r>
              <w:t>Lock duration</w:t>
            </w:r>
          </w:p>
        </w:tc>
        <w:tc>
          <w:tcPr>
            <w:tcW w:type="dxa" w:w="4320"/>
          </w:tcPr>
          <w:p>
            <w:r>
              <w:t>With Peek-Lock, the receiver temporarily locks a message while processing it. Renew when needed.</w:t>
            </w:r>
          </w:p>
        </w:tc>
      </w:tr>
      <w:tr>
        <w:tc>
          <w:tcPr>
            <w:tcW w:type="dxa" w:w="4320"/>
          </w:tcPr>
          <w:p>
            <w:r>
              <w:t>Message TTL</w:t>
            </w:r>
          </w:p>
        </w:tc>
        <w:tc>
          <w:tcPr>
            <w:tcW w:type="dxa" w:w="4320"/>
          </w:tcPr>
          <w:p>
            <w:r>
              <w:t>Limits how long a message remains available before expiry; select based on business need.</w:t>
            </w:r>
          </w:p>
        </w:tc>
      </w:tr>
      <w:tr>
        <w:tc>
          <w:tcPr>
            <w:tcW w:type="dxa" w:w="4320"/>
          </w:tcPr>
          <w:p>
            <w:r>
              <w:t>Dead-letter queue</w:t>
            </w:r>
          </w:p>
        </w:tc>
        <w:tc>
          <w:tcPr>
            <w:tcW w:type="dxa" w:w="4320"/>
          </w:tcPr>
          <w:p>
            <w:r>
              <w:t>Retains messages that cannot be processed; requires monitoring and a recovery process.</w:t>
            </w:r>
          </w:p>
        </w:tc>
      </w:tr>
      <w:tr>
        <w:tc>
          <w:tcPr>
            <w:tcW w:type="dxa" w:w="4320"/>
          </w:tcPr>
          <w:p>
            <w:r>
              <w:t>Duplicate detection</w:t>
            </w:r>
          </w:p>
        </w:tc>
        <w:tc>
          <w:tcPr>
            <w:tcW w:type="dxa" w:w="4320"/>
          </w:tcPr>
          <w:p>
            <w:r>
              <w:t>Useful for some designs but not available in Basic; application idempotency is still necessary.</w:t>
            </w:r>
          </w:p>
        </w:tc>
      </w:tr>
    </w:tbl>
    <w:p/>
    <w:p>
      <w:pPr>
        <w:pStyle w:val="Heading1"/>
      </w:pPr>
      <w:r>
        <w:t>6. Hands-on: Send, peek and receive a message</w:t>
      </w:r>
    </w:p>
    <w:p>
      <w:r>
        <w:t>Data access prerequisite: an authorised role administrator opens the training namespace &gt; Access control (IAM) &gt; Add role assignment and assigns your attendee identity Azure Service Bus Data Sender AND Azure Service Bus Data Receiver for this disposable namespace, or the instructor-approved narrower scope that supports the portal workflow. You also need management read access to navigate the resource. Resource Contributor is not a substitute for data roles.</w:t>
      </w:r>
    </w:p>
    <w:p>
      <w:r>
        <w:t>Allow role propagation, refresh/re-authenticate if needed, then choose Microsoft Entra ID authentication in Explorer where offered. Do not use RootManageSharedAccessKey or grant Data Owner as a shortcut. If the browser cannot reach the namespace through the approved network route, record blocked and use the prepared demo.</w:t>
      </w:r>
    </w:p>
    <w:p>
      <w:pPr>
        <w:pStyle w:val="ListNumber"/>
      </w:pPr>
      <w:r>
        <w:t>Open the queue and find Service Bus Explorer (portal navigation may vary).</w:t>
      </w:r>
    </w:p>
    <w:p>
      <w:pPr>
        <w:pStyle w:val="ListNumber"/>
      </w:pPr>
      <w:r>
        <w:t>Select Send messages. Use a test message body, for example: {"applicationId":"APP-1001","eventType":"ApplicationSubmitted"}. Do not use real customer data.</w:t>
      </w:r>
    </w:p>
    <w:p>
      <w:pPr>
        <w:pStyle w:val="ListNumber"/>
      </w:pPr>
      <w:r>
        <w:t>Send exactly one fictional message to your own queue. Record its message ID/body and inspect the active count; displayed counts can lag. Do not use purge, send to a shared production queue or start a separate receiver during this test.</w:t>
      </w:r>
    </w:p>
    <w:p>
      <w:pPr>
        <w:pStyle w:val="ListNumber"/>
      </w:pPr>
      <w:r>
        <w:t>Use Peek and find your message by its body/ID. Peek does not lock or remove it. Record that the same message can still be inspected.</w:t>
      </w:r>
    </w:p>
    <w:p>
      <w:pPr>
        <w:pStyle w:val="ListNumber"/>
      </w:pPr>
      <w:r>
        <w:t>Choose Receive &gt; PeekLock mode for one message. Inspect your received message, select it and choose Complete before its lock expires. If you abandon it or the lock expires, it may become available again. ReceiveAndDelete is destructive immediately: use it only as a separately approved test, not accidentally.</w:t>
      </w:r>
    </w:p>
    <w:p>
      <w:pPr>
        <w:pStyle w:val="ListNumber"/>
      </w:pPr>
      <w:r>
        <w:t>Refresh the queue/Explorer and confirm your completed message is no longer available; counters may lag. If others share the namespace, do not assume every count change belongs to your test.</w:t>
      </w:r>
    </w:p>
    <w:p>
      <w:r>
        <w:t>BASIC CHECKPOINT: send one message, Peek it without removal, receive it in PeekLock and Complete it. Explain why Complete removes it while Peek does not. SQL, Functions and .NET client code are not required. Do not claim dead-letter handling was tested just because the DLQ menu exists.</w:t>
      </w:r>
    </w:p>
    <w:p>
      <w:pPr>
        <w:pStyle w:val="Heading1"/>
      </w:pPr>
      <w:r>
        <w:t>7. Security: Microsoft Entra ID, RBAC and local authentication</w:t>
      </w:r>
    </w:p>
    <w:p>
      <w:r>
        <w:t>Authentication identifies the producer or consumer; authorisation controls send, receive or manage operations. In production, prefer Managed Identity and least-privilege Azure Service Bus Data Sender or Data Receiver roles scoped appropriately.</w:t>
      </w:r>
    </w:p>
    <w:tbl>
      <w:tblPr>
        <w:tblStyle w:val="LightShading-Accent1"/>
        <w:tblW w:type="auto" w:w="0"/>
        <w:tblLook w:firstColumn="1" w:firstRow="1" w:lastColumn="0" w:lastRow="0" w:noHBand="0" w:noVBand="1" w:val="04A0"/>
      </w:tblPr>
      <w:tblGrid>
        <w:gridCol w:w="4320"/>
        <w:gridCol w:w="4320"/>
      </w:tblGrid>
      <w:tr>
        <w:tc>
          <w:tcPr>
            <w:tcW w:type="dxa" w:w="4320"/>
          </w:tcPr>
          <w:p>
            <w:r>
              <w:t>Identity / role</w:t>
            </w:r>
          </w:p>
        </w:tc>
        <w:tc>
          <w:tcPr>
            <w:tcW w:type="dxa" w:w="4320"/>
          </w:tcPr>
          <w:p>
            <w:r>
              <w:t>Use</w:t>
            </w:r>
          </w:p>
        </w:tc>
      </w:tr>
      <w:tr>
        <w:tc>
          <w:tcPr>
            <w:tcW w:type="dxa" w:w="4320"/>
          </w:tcPr>
          <w:p>
            <w:r>
              <w:t>Azure Service Bus Data Sender</w:t>
            </w:r>
          </w:p>
        </w:tc>
        <w:tc>
          <w:tcPr>
            <w:tcW w:type="dxa" w:w="4320"/>
          </w:tcPr>
          <w:p>
            <w:r>
              <w:t>Application or API sending messages</w:t>
            </w:r>
          </w:p>
        </w:tc>
      </w:tr>
      <w:tr>
        <w:tc>
          <w:tcPr>
            <w:tcW w:type="dxa" w:w="4320"/>
          </w:tcPr>
          <w:p>
            <w:r>
              <w:t>Azure Service Bus Data Receiver</w:t>
            </w:r>
          </w:p>
        </w:tc>
        <w:tc>
          <w:tcPr>
            <w:tcW w:type="dxa" w:w="4320"/>
          </w:tcPr>
          <w:p>
            <w:r>
              <w:t>Function or worker consuming messages</w:t>
            </w:r>
          </w:p>
        </w:tc>
      </w:tr>
      <w:tr>
        <w:tc>
          <w:tcPr>
            <w:tcW w:type="dxa" w:w="4320"/>
          </w:tcPr>
          <w:p>
            <w:r>
              <w:t>Azure Service Bus Data Owner</w:t>
            </w:r>
          </w:p>
        </w:tc>
        <w:tc>
          <w:tcPr>
            <w:tcW w:type="dxa" w:w="4320"/>
          </w:tcPr>
          <w:p>
            <w:r>
              <w:t>Broad data-plane management; avoid granting by default</w:t>
            </w:r>
          </w:p>
        </w:tc>
      </w:tr>
      <w:tr>
        <w:tc>
          <w:tcPr>
            <w:tcW w:type="dxa" w:w="4320"/>
          </w:tcPr>
          <w:p>
            <w:r>
              <w:t>Shared Access Signature (SAS)</w:t>
            </w:r>
          </w:p>
        </w:tc>
        <w:tc>
          <w:tcPr>
            <w:tcW w:type="dxa" w:w="4320"/>
          </w:tcPr>
          <w:p>
            <w:r>
              <w:t>Key-based alternative; secure and rotate keys if unavoidable</w:t>
            </w:r>
          </w:p>
        </w:tc>
      </w:tr>
    </w:tbl>
    <w:p/>
    <w:p>
      <w:r>
        <w:t>Screenshot note: Local Authentication = Enabled permits SAS-based access. For a production Entra-only design, assess whether local authentication can be disabled after confirming every client supports Entra ID. Do not embed connection strings in source code.</w:t>
      </w:r>
    </w:p>
    <w:p>
      <w:r>
        <w:t>Networking note: Public access controls reachability; it does not by itself authorise a message operation. Private endpoints and advanced network isolation are tier-dependent and belong to the enterprise architecture discussion, not this basic lab.</w:t>
      </w:r>
    </w:p>
    <w:p>
      <w:pPr>
        <w:pStyle w:val="Heading1"/>
      </w:pPr>
      <w:r>
        <w:t>8. Optional .NET developer example</w:t>
      </w:r>
    </w:p>
    <w:p>
      <w:r>
        <w:t>OPTIONAL ONLY: install Azure.Messaging.ServiceBus and Azure.Identity in a separate .NET console project. The identity actually used by DefaultAzureCredential (for example your Azure CLI developer sign-in) needs Azure Service Bus Data Sender; granting only a future app identity does not grant the local developer access. Replace namespace and queue placeholders with your actual values.</w:t>
      </w:r>
    </w:p>
    <w:p>
      <w:r>
        <w:t>Example (C#):</w:t>
      </w:r>
    </w:p>
    <w:p>
      <w:pPr/>
      <w:r>
        <w:t>using Azure.Identity;</w:t>
      </w:r>
    </w:p>
    <w:p>
      <w:pPr/>
      <w:r>
        <w:t>using Azure.Messaging.ServiceBus;</w:t>
      </w:r>
    </w:p>
    <w:p>
      <w:pPr/>
      <w:r>
        <w:t>var client = new ServiceBusClient("&lt;namespace&gt;.servicebus.windows.net", new DefaultAzureCredential());</w:t>
      </w:r>
    </w:p>
    <w:p>
      <w:pPr/>
      <w:r>
        <w:t>var sender = client.CreateSender("&lt;your-actual-queue-name&gt;");</w:t>
      </w:r>
    </w:p>
    <w:p>
      <w:pPr/>
      <w:r>
        <w:t>await sender.SendMessageAsync(new ServiceBusMessage("{\"applicationId\":\"APP-1001\"}"));</w:t>
      </w:r>
    </w:p>
    <w:p>
      <w:pPr/>
      <w:r>
        <w:t>await sender.DisposeAsync();</w:t>
      </w:r>
    </w:p>
    <w:p>
      <w:pPr/>
      <w:r>
        <w:t>await client.DisposeAsync();</w:t>
      </w:r>
    </w:p>
    <w:p>
      <w:r>
        <w:t>For a real application, use a structured message contract, correlation ID, validation, retries with backoff, observability and idempotent processing. Sending a message and updating SQL are separate operations; consider the transactional outbox pattern if consistency matters.</w:t>
      </w:r>
    </w:p>
    <w:p>
      <w:pPr>
        <w:pStyle w:val="Heading1"/>
      </w:pPr>
      <w:r>
        <w:t>9. Reliability, monitoring and troubleshooting</w:t>
      </w:r>
    </w:p>
    <w:p>
      <w:pPr>
        <w:pStyle w:val="ListBullet"/>
      </w:pPr>
      <w:r>
        <w:t>At-least-once processing: a consumer may see a message more than once. Use an idempotency key, for example applicationId plus event type.</w:t>
      </w:r>
    </w:p>
    <w:p>
      <w:pPr>
        <w:pStyle w:val="ListBullet"/>
      </w:pPr>
      <w:r>
        <w:t>Peek-Lock: complete only after successful processing. Abandon or allow retry for transient failures; dead-letter invalid or repeatedly failing messages.</w:t>
      </w:r>
    </w:p>
    <w:p>
      <w:pPr>
        <w:pStyle w:val="ListBullet"/>
      </w:pPr>
      <w:r>
        <w:t>Inspect active, scheduled and dead-letter message counts, incoming/outgoing operations, errors and throttling in Azure Monitor.</w:t>
      </w:r>
    </w:p>
    <w:p>
      <w:pPr>
        <w:pStyle w:val="ListBullet"/>
      </w:pPr>
      <w:r>
        <w:t>Common error — unauthorised: check Entra RBAC data roles, scope and propagation, or SAS permissions if using local auth.</w:t>
      </w:r>
    </w:p>
    <w:p>
      <w:pPr>
        <w:pStyle w:val="ListBullet"/>
      </w:pPr>
      <w:r>
        <w:t>Common error — connection failure: verify namespace name, allowed outbound connectivity and network access settings.</w:t>
      </w:r>
    </w:p>
    <w:p>
      <w:pPr>
        <w:pStyle w:val="ListBullet"/>
      </w:pPr>
      <w:r>
        <w:t>Common error — messages not disappearing: check receiver mode, lock expiry, completion calls and consumer errors.</w:t>
      </w:r>
    </w:p>
    <w:p>
      <w:r>
        <w:t>Optional Functions integration: configure a Service Bus-triggered Azure Function with an identity-based connection and Service Bus Data Receiver permissions. Basic queue processing can be demonstrated without building a full production workflow.</w:t>
      </w:r>
    </w:p>
    <w:p>
      <w:pPr>
        <w:pStyle w:val="Heading1"/>
      </w:pPr>
      <w:r>
        <w:t>10. Cost and architecture exercise</w:t>
      </w:r>
    </w:p>
    <w:p>
      <w:r>
        <w:t>Discuss: 1) Why does Basic suit the queue-only lab? 2) When would Standard be necessary? 3) When is Premium justified? 4) What is the operational cost of an unmonitored DLQ? 5) How do you prevent duplicate application processing?</w:t>
      </w:r>
    </w:p>
    <w:p>
      <w:r>
        <w:t>Use the Azure Pricing Calculator (https://azure.microsoft.com/en-us/pricing/calculator/) for an estimate. Compare region, tier and expected operations. Portal estimates are not guarantees of actual billing.</w:t>
      </w:r>
    </w:p>
    <w:p>
      <w:pPr>
        <w:pStyle w:val="Heading1"/>
      </w:pPr>
      <w:r>
        <w:t>11. Cleanup</w:t>
      </w:r>
    </w:p>
    <w:p>
      <w:pPr>
        <w:pStyle w:val="ListNumber"/>
      </w:pPr>
      <w:r>
        <w:t>Delete only your own disposable queue after its owner approves. Keep the existing shared fristAzureServiceBus namespace and other attendees' queues. Remove a namespace only if it was created exclusively for you and has no remaining dependencies.</w:t>
      </w:r>
    </w:p>
    <w:p>
      <w:pPr>
        <w:pStyle w:val="ListNumber"/>
      </w:pPr>
      <w:r>
        <w:t>Do not delete the shared Training resource group. A dedicated group may be deleted only after the instructor confirms every resource in it is disposable.</w:t>
      </w:r>
    </w:p>
    <w:p>
      <w:pPr>
        <w:pStyle w:val="ListNumber"/>
      </w:pPr>
      <w:r>
        <w:t>Check Cost Management later for any remaining resources and usage charges.</w:t>
      </w:r>
    </w:p>
    <w:p>
      <w:pPr>
        <w:pStyle w:val="Heading1"/>
      </w:pPr>
      <w:r>
        <w:t>12. Attendee knowledge check</w:t>
      </w:r>
    </w:p>
    <w:p>
      <w:pPr>
        <w:pStyle w:val="ListBullet"/>
      </w:pPr>
      <w:r>
        <w:t>What problem does Service Bus solve compared with calling a background worker directly over HTTP?</w:t>
      </w:r>
    </w:p>
    <w:p>
      <w:pPr>
        <w:pStyle w:val="ListBullet"/>
      </w:pPr>
      <w:r>
        <w:t>What is the difference between a queue and a topic?</w:t>
      </w:r>
    </w:p>
    <w:p>
      <w:pPr>
        <w:pStyle w:val="ListBullet"/>
      </w:pPr>
      <w:r>
        <w:t>Why might the Basic tier be insufficient for a publish/subscribe scenario?</w:t>
      </w:r>
    </w:p>
    <w:p>
      <w:pPr>
        <w:pStyle w:val="ListBullet"/>
      </w:pPr>
      <w:r>
        <w:t>What is the difference between Peek and Receive?</w:t>
      </w:r>
    </w:p>
    <w:p>
      <w:pPr>
        <w:pStyle w:val="ListBullet"/>
      </w:pPr>
      <w:r>
        <w:t>Why do we need a dead-letter queue and an operational process for it?</w:t>
      </w:r>
    </w:p>
    <w:p>
      <w:pPr>
        <w:pStyle w:val="ListBullet"/>
      </w:pPr>
      <w:r>
        <w:t>What does at-least-once delivery imply for .NET application code?</w:t>
      </w:r>
    </w:p>
    <w:p>
      <w:pPr>
        <w:pStyle w:val="ListBullet"/>
      </w:pPr>
      <w:r>
        <w:t>Why is Managed Identity preferable to a hard-coded SAS connection string?</w:t>
      </w:r>
    </w:p>
    <w:p>
      <w:r>
        <w:t>Expected outcome: Learners can create a Service Bus namespace and queue, send and inspect test messages, explain pricing/security choices, and identify reliability practices for asynchronous application processing.</w:t>
      </w:r>
    </w:p>
    <w:p>
      <w:pPr>
        <w:pStyle w:val="Heading1"/>
      </w:pPr>
      <w:r>
        <w:t>Microsoft Learn references</w:t>
      </w:r>
    </w:p>
    <w:p>
      <w:r>
        <w:t>https://learn.microsoft.com/en-us/azure/service-bus-messaging/service-bus-messaging-overview</w:t>
      </w:r>
    </w:p>
    <w:p>
      <w:r>
        <w:t>https://learn.microsoft.com/en-us/azure/service-bus-messaging/service-bus-quickstart-portal</w:t>
      </w:r>
    </w:p>
    <w:p>
      <w:r>
        <w:t>https://learn.microsoft.com/en-us/azure/service-bus-messaging/service-bus-authentication-and-authorization</w:t>
      </w:r>
    </w:p>
    <w:p>
      <w:r>
        <w:t>https://learn.microsoft.com/en-us/azure/service-bus-messaging/service-bus-dead-letter-queues-overview</w:t>
      </w:r>
    </w:p>
    <w:p>
      <w:r>
        <w:t>https://learn.microsoft.com/en-us/azure/service-bus-messaging/service-bus-premium-messaging</w:t>
      </w:r>
    </w:p>
    <w:p>
      <w:pPr>
        <w:pStyle w:val="Heading1"/>
      </w:pPr>
      <w:r>
        <w:t>Review references and completion record</w:t>
      </w:r>
    </w:p>
    <w:p>
      <w:r>
        <w:t>Microsoft documentation used for this content review:</w:t>
      </w:r>
    </w:p>
    <w:p>
      <w:r>
        <w:t>https://learn.microsoft.com/en-us/azure/service-bus-messaging/service-bus-quickstart-portal</w:t>
      </w:r>
    </w:p>
    <w:p>
      <w:r>
        <w:t>https://learn.microsoft.com/en-us/azure/service-bus-messaging/explorer</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Attendee observation</w:t>
            </w:r>
          </w:p>
        </w:tc>
      </w:tr>
      <w:tr>
        <w:tc>
          <w:tcPr>
            <w:tcW w:type="dxa" w:w="4320"/>
          </w:tcPr>
          <w:p>
            <w:r>
              <w:t>Actual resource/group/region/tier</w:t>
            </w:r>
          </w:p>
        </w:tc>
        <w:tc>
          <w:tcPr>
            <w:tcW w:type="dxa" w:w="4320"/>
          </w:tcPr>
          <w:p/>
        </w:tc>
      </w:tr>
      <w:tr>
        <w:tc>
          <w:tcPr>
            <w:tcW w:type="dxa" w:w="4320"/>
          </w:tcPr>
          <w:p>
            <w:r>
              <w:t>Identity/permissions and network route</w:t>
            </w:r>
          </w:p>
        </w:tc>
        <w:tc>
          <w:tcPr>
            <w:tcW w:type="dxa" w:w="4320"/>
          </w:tcPr>
          <w:p/>
        </w:tc>
      </w:tr>
      <w:tr>
        <w:tc>
          <w:tcPr>
            <w:tcW w:type="dxa" w:w="4320"/>
          </w:tcPr>
          <w:p>
            <w:r>
              <w:t>Expected versus actual functional result</w:t>
            </w:r>
          </w:p>
        </w:tc>
        <w:tc>
          <w:tcPr>
            <w:tcW w:type="dxa" w:w="4320"/>
          </w:tcPr>
          <w:p/>
        </w:tc>
      </w:tr>
      <w:tr>
        <w:tc>
          <w:tcPr>
            <w:tcW w:type="dxa" w:w="4320"/>
          </w:tcPr>
          <w:p>
            <w:r>
              <w:t>Passed / failed / blocked</w:t>
            </w:r>
          </w:p>
        </w:tc>
        <w:tc>
          <w:tcPr>
            <w:tcW w:type="dxa" w:w="4320"/>
          </w:tcPr>
          <w:p/>
        </w:tc>
      </w:tr>
      <w:tr>
        <w:tc>
          <w:tcPr>
            <w:tcW w:type="dxa" w:w="4320"/>
          </w:tcPr>
          <w:p>
            <w:r>
              <w:t>Cleanup performed or retention owner/deadline</w:t>
            </w:r>
          </w:p>
        </w:tc>
        <w:tc>
          <w:tcPr>
            <w:tcW w:type="dxa" w:w="4320"/>
          </w:tcPr>
          <w:p/>
        </w:tc>
      </w:tr>
    </w:tbl>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Basic portal creation and small verification test; integration optional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