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training - attendee pack</w:t>
      </w:r>
    </w:p>
    <w:p>
      <w:r>
        <w:t>Before the course: read 02_Pre_Course_Setup_And_Prerequisites_Guide.docx. Prepare only the tools required for your chosen route; Day 1 starts with a 15-minute readiness check, not installations.</w:t>
      </w:r>
    </w:p>
    <w:p>
      <w:pPr>
        <w:pStyle w:val="Heading1"/>
      </w:pPr>
      <w:r>
        <w:t>Open these folders in order</w:t>
      </w:r>
    </w:p>
    <w:p>
      <w:r>
        <w:t>Day 1: individual component exercises in the portal and VS Code. Start with Day 1\00_DAY_1_ORDER.docx, then the numbered route in Basic_Lab_00_START_HERE.docx.</w:t>
      </w:r>
    </w:p>
    <w:p>
      <w:r>
        <w:t>Day 2: mandatory Cost Management, Application Insights and KQL, a short standalone Service Bus exercise, the local tracker, and a team incident/cost investigation. Use Day 2\00_DAY_2_ORDER.docx. Both days run 09:45-17:30; see 00_Two_Day_Timetable.docx.</w:t>
      </w:r>
    </w:p>
    <w:p>
      <w:r>
        <w:t>Labs: shared executable projects, sample SQL/text/KQL files and detailed source instructions. Open the required project folder in VS Code; do not run the entire Labs directory as one project.</w:t>
      </w:r>
    </w:p>
    <w:p>
      <w:pPr>
        <w:pStyle w:val="Heading1"/>
      </w:pPr>
      <w:r>
        <w:t>Safety and scope</w:t>
      </w:r>
    </w:p>
    <w:p>
      <w:r>
        <w:t>Use fictional data only and only your assigned Azure targets. Resource creation, access changes, deployments and cleanup require the stated approvals.</w:t>
      </w:r>
    </w:p>
    <w:p>
      <w:r>
        <w:t>The current real tracker is local-only, Development-only and in-memory. Do not host it as-is. Day 2 Azure integration is a target until a separately prepared implementation is supplied and verified.</w:t>
      </w:r>
    </w:p>
    <w:p>
      <w:r>
        <w:t>Instructor slides, cue sheets, deployment records, old duplicate guides and readiness reviews are not included in the student document folders.</w:t>
      </w:r>
    </w:p>
    <w:sectPr w:rsidR="00FC693F" w:rsidRPr="0006063C" w:rsidSect="00034616">
      <w:pgSz w:w="11909" w:h="16834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