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Azure SQL and App Service: passwordless access</w:t>
      </w:r>
    </w:p>
    <w:p>
      <w:pPr>
        <w:pStyle w:val="Subtitle"/>
      </w:pPr>
      <w:r>
        <w:t xml:space="preserve">Portal-first beginner hands-on lab</w:t>
      </w:r>
    </w:p>
    <w:p>
      <w:pPr>
        <w:pStyle w:val="Author"/>
      </w:pPr>
      <w:r>
        <w:t xml:space="preserve">LBS | Attendee edition v2 | 26 October 2026</w:t>
      </w:r>
    </w:p>
    <w:bookmarkStart w:id="14" w:name="before-you-start"/>
    <w:p>
      <w:pPr>
        <w:pStyle w:val="Heading1"/>
      </w:pPr>
      <w:r>
        <w:t xml:space="preserve">Before you start</w:t>
      </w:r>
    </w:p>
    <w:p>
      <w:pPr>
        <w:pStyle w:val="FirstParagraph"/>
      </w:pPr>
      <w:r>
        <w:rPr>
          <w:b/>
          <w:bCs/>
        </w:rPr>
        <w:t xml:space="preserve">Environment:</w:t>
      </w:r>
      <w:r>
        <w:t xml:space="preserve"> </w:t>
      </w:r>
      <w:r>
        <w:t xml:space="preserve">use the instructor-approved sandbox, group, region, tiers and spending limit. Create only your own disposable resources. The walkthrough uses fictional data. No cloud resource is created by reading this document.</w:t>
      </w:r>
    </w:p>
    <w:p>
      <w:pPr>
        <w:pStyle w:val="BodyText"/>
      </w:pPr>
      <w:r>
        <w:t>Materials: copy Labs\AppServiceSqlSample locally when the lab needs the .NET sample. Complete its setup from 02_Windows_And_Local_SQL_Setup.docx. Do not repeat resource creation if you already completed the same lab in the main guide.</w:t>
      </w:r>
    </w:p>
    <w:p>
      <w:pPr>
        <w:pStyle w:val="BodyText"/>
      </w:pPr>
      <w:r>
        <w:rPr>
          <w:b/>
          <w:bCs/>
        </w:rPr>
        <w:t xml:space="preserve">Admin assistance:</w:t>
      </w:r>
      <w:r>
        <w:t xml:space="preserve"> </w:t>
      </w:r>
      <w:r>
        <w:t xml:space="preserve">Contributor does not automatically grant IAM role assignment, SQL SELECT, Blob data access or Service Bus data access. Have the authorised administrator perform only the privileged step. Never bypass policy.</w:t>
      </w:r>
    </w:p>
    <w:p>
      <w:pPr>
        <w:pStyle w:val="CaptionedFigure"/>
      </w:pPr>
      <w:r>
        <w:drawing>
          <wp:inline>
            <wp:extent cx="5334000" cy="1529080"/>
            <wp:effectExtent b="0" l="0" r="0" t="0"/>
            <wp:docPr descr="Learning flow" title="" id="10" name="Picture"/>
            <a:graphic>
              <a:graphicData uri="http://schemas.openxmlformats.org/drawingml/2006/picture">
                <pic:pic>
                  <pic:nvPicPr>
                    <pic:cNvPr descr="C:/Users/meeta/.copilot/session-state/c1d00187-5587-4c8b-bc3b-c0b6e8c45760/files/Azure_SQL_Database_Portal_Lab.png" id="11" name="Picture"/>
                    <pic:cNvPicPr>
                      <a:picLocks noChangeArrowheads="1" noChangeAspect="1"/>
                    </pic:cNvPicPr>
                  </pic:nvPicPr>
                  <pic:blipFill>
                    <a:blip r:embed="rId9"/>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Learning flow</w:t>
      </w:r>
    </w:p>
    <w:bookmarkStart w:id="13" w:name="X2e342f1487762709b514966e9617324b239d79a"/>
    <w:p>
      <w:pPr>
        <w:pStyle w:val="Heading2"/>
      </w:pPr>
      <w:r>
        <w:t>Azure SQL Database | Relational business data</w:t>
      </w:r>
    </w:p>
    <w:p>
      <w:pPr/>
      <w:r>
        <w:t>What: a managed SQL Server-compatible relational database. A logical SQL server groups database management, connection and security settings; it is not a Windows VM you administer.</w:t>
      </w:r>
    </w:p>
    <w:p>
      <w:pPr>
        <w:pStyle w:val="FirstParagraph"/>
      </w:pPr>
      <w:r>
        <w:rPr>
          <w:b/>
          <w:bCs/>
        </w:rPr>
        <w:t xml:space="preserve">Why/when:</w:t>
      </w:r>
      <w:r>
        <w:t xml:space="preserve"> </w:t>
      </w:r>
      <w:r>
        <w:t xml:space="preserve">use relational tables, constraints and transactions for structured records such as application status and reference data. Large uploaded files usually belong in Blob Storage, with metadata in SQL.</w:t>
      </w:r>
    </w:p>
    <w:p>
      <w:pPr>
        <w:pStyle w:val="BodyText"/>
      </w:pPr>
      <w:r>
        <w:rPr>
          <w:b/>
          <w:bCs/>
        </w:rPr>
        <w:t xml:space="preserve">How:</w:t>
      </w:r>
      <w:r>
        <w:t xml:space="preserve"> </w:t>
      </w:r>
      <w:r>
        <w:t xml:space="preserve">create a database/server with an approved tier; establish network access; configure Entra administration; create a contained user for the application identity; grant only required operations; set the app connection string. Follow Lab 3.</w:t>
      </w:r>
    </w:p>
    <w:p>
      <w:pPr>
        <w:pStyle w:val="BodyText"/>
      </w:pPr>
      <w:r>
        <w:rPr>
          <w:b/>
          <w:bCs/>
        </w:rPr>
        <w:t xml:space="preserve">Example:</w:t>
      </w:r>
      <w:r>
        <w:t xml:space="preserve"> </w:t>
      </w:r>
      <w:r>
        <w:rPr>
          <w:rStyle w:val="VerbatimChar"/>
        </w:rPr>
        <w:t xml:space="preserve">dbo.TrainingItems</w:t>
      </w:r>
      <w:r>
        <w:t xml:space="preserve"> </w:t>
      </w:r>
      <w:r>
        <w:t xml:space="preserve">holds structured rows while the API has SELECT only.</w:t>
      </w:r>
    </w:p>
    <w:p>
      <w:pPr>
        <w:pStyle w:val="BodyText"/>
      </w:pPr>
      <w:r>
        <w:rPr>
          <w:b/>
          <w:bCs/>
        </w:rPr>
        <w:t xml:space="preserve">Tips and traps:</w:t>
      </w:r>
      <w:r>
        <w:t xml:space="preserve"> </w:t>
      </w:r>
      <w:r>
        <w:t xml:space="preserve">SQL Express is local, not an Azure resource. Enabling managed identity does not grant SELECT. Azure IAM Contributor does not imply SQL database access. Pool connections, use parameterised SQL, handle timeouts explicitly, and understand backup/restore requirements before production use.</w:t>
      </w:r>
    </w:p>
    <w:p>
      <w:pPr>
        <w:pStyle w:val="BodyText"/>
      </w:pPr>
      <w:r>
        <w:rPr>
          <w:b/>
          <w:bCs/>
        </w:rPr>
        <w:t xml:space="preserve">Reference:</w:t>
      </w:r>
      <w:r>
        <w:t xml:space="preserve"> </w:t>
      </w:r>
      <w:hyperlink r:id="rId12">
        <w:r>
          <w:rPr>
            <w:rStyle w:val="Hyperlink"/>
          </w:rPr>
          <w:t xml:space="preserve">https://learn.microsoft.com/azure/azure-sql/database/sql-database-paas-overview</w:t>
        </w:r>
      </w:hyperlink>
    </w:p>
    <w:bookmarkEnd w:id="13"/>
    <w:bookmarkEnd w:id="14"/>
    <w:bookmarkStart w:id="23" w:name="X71c77f2de51a5bd6e554a03750d6d87a8c62382"/>
    <w:p>
      <w:pPr>
        <w:pStyle w:val="Heading1"/>
      </w:pPr>
      <w:r>
        <w:t xml:space="preserve">Lab 3 | App Service and Azure SQL, portal first</w:t>
      </w:r>
    </w:p>
    <w:p>
      <w:pPr>
        <w:pStyle w:val="FirstParagraph"/>
      </w:pPr>
      <w:r>
        <w:rPr>
          <w:b/>
          <w:bCs/>
        </w:rPr>
        <w:t xml:space="preserve">Time:</w:t>
      </w:r>
      <w:r>
        <w:t xml:space="preserve"> </w:t>
      </w:r>
      <w:r>
        <w:t xml:space="preserve">90 minutes with prepared access.</w:t>
      </w:r>
      <w:r>
        <w:t xml:space="preserve"> </w:t>
      </w:r>
      <w:r>
        <w:rPr>
          <w:b/>
          <w:bCs/>
        </w:rPr>
        <w:t xml:space="preserve">Needs:</w:t>
      </w:r>
      <w:r>
        <w:t xml:space="preserve"> </w:t>
      </w:r>
      <w:r>
        <w:t xml:space="preserve">Lab 1, the .NET sample, Entra SQL administrator assistance and role-assignment permission.</w:t>
      </w:r>
      <w:r>
        <w:t xml:space="preserve"> </w:t>
      </w:r>
      <w:r>
        <w:rPr>
          <w:b/>
          <w:bCs/>
        </w:rPr>
        <w:t xml:space="preserve">Cost:</w:t>
      </w:r>
      <w:r>
        <w:t xml:space="preserve"> </w:t>
      </w:r>
      <w:r>
        <w:t xml:space="preserve">App Service plan, Azure SQL and monitoring may bill while idle.</w:t>
      </w:r>
    </w:p>
    <w:p>
      <w:pPr>
        <w:pStyle w:val="BodyText"/>
      </w:pPr>
      <w:r>
        <w:rPr>
          <w:b/>
          <w:bCs/>
        </w:rPr>
        <w:t xml:space="preserve">Important:</w:t>
      </w:r>
      <w:r>
        <w:t xml:space="preserve"> </w:t>
      </w:r>
      <w:r>
        <w:t xml:space="preserve">local SQL Express does not become Azure SQL when the web app is deployed. Azure App Service cannot use your computer’s Windows identity to access your local instance. This lab creates or uses real cloud resources.</w:t>
      </w:r>
    </w:p>
    <w:bookmarkStart w:id="15" w:name="Xde29c112c3802d6481a5607c457f1dd488ba270"/>
    <w:p>
      <w:pPr>
        <w:pStyle w:val="Heading2"/>
      </w:pPr>
      <w:r>
        <w:t xml:space="preserve">3A. Create Azure SQL (or use the instructor’s assigned database)</w:t>
      </w:r>
    </w:p>
    <w:p>
      <w:pPr>
        <w:pStyle w:val="Compact"/>
        <w:numPr>
          <w:ilvl w:val="0"/>
          <w:numId w:val="1001"/>
        </w:numPr>
      </w:pPr>
      <w:r>
        <w:t xml:space="preserve">In the portal search for</w:t>
      </w:r>
      <w:r>
        <w:t xml:space="preserve"> </w:t>
      </w:r>
      <w:r>
        <w:rPr>
          <w:b/>
          <w:bCs/>
        </w:rPr>
        <w:t xml:space="preserve">SQL databases &gt; Create</w:t>
      </w:r>
      <w:r>
        <w:t xml:space="preserve">. Select your training subscription and group. Name the database</w:t>
      </w:r>
      <w:r>
        <w:t xml:space="preserve"> </w:t>
      </w:r>
      <w:r>
        <w:rPr>
          <w:rStyle w:val="VerbatimChar"/>
        </w:rPr>
        <w:t xml:space="preserve">LbsTraining</w:t>
      </w:r>
      <w:r>
        <w:t xml:space="preserve">.</w:t>
      </w:r>
    </w:p>
    <w:p>
      <w:pPr>
        <w:pStyle w:val="Compact"/>
        <w:numPr>
          <w:ilvl w:val="0"/>
          <w:numId w:val="1001"/>
        </w:numPr>
      </w:pPr>
      <w:r>
        <w:t xml:space="preserve">Create a logical SQL server named</w:t>
      </w:r>
      <w:r>
        <w:t xml:space="preserve"> </w:t>
      </w:r>
      <w:r>
        <w:rPr>
          <w:rStyle w:val="VerbatimChar"/>
        </w:rPr>
        <w:t xml:space="preserve">sql-lbs-&lt;suffix&gt;</w:t>
      </w:r>
      <w:r>
        <w:t xml:space="preserve"> </w:t>
      </w:r>
      <w:r>
        <w:t xml:space="preserve">in the approved region. Select Microsoft Entra authentication and designate the approved Entra administrator. Do not invent or share administrator passwords.</w:t>
      </w:r>
    </w:p>
    <w:p>
      <w:pPr>
        <w:pStyle w:val="Compact"/>
        <w:numPr>
          <w:ilvl w:val="0"/>
          <w:numId w:val="1001"/>
        </w:numPr>
      </w:pPr>
      <w:r>
        <w:t xml:space="preserve">Choose the instructor-approved low-cost configuration. Review compute, storage, minimum serverless capacity and auto-pause if available. Do not accept a costly default or assume serverless/auto-pause means free.</w:t>
      </w:r>
    </w:p>
    <w:p>
      <w:pPr>
        <w:pStyle w:val="Compact"/>
        <w:numPr>
          <w:ilvl w:val="0"/>
          <w:numId w:val="1001"/>
        </w:numPr>
      </w:pPr>
      <w:r>
        <w:t xml:space="preserve">Under networking, use the instructor’s approved connection model. For a short public-endpoint sandbox, an administrator may authorise only the necessary client IPs and App Service outbound IPs. Avoid broad</w:t>
      </w:r>
      <w:r>
        <w:t xml:space="preserve"> </w:t>
      </w:r>
      <w:r>
        <w:t xml:space="preserve">“allow all Azure services”</w:t>
      </w:r>
      <w:r>
        <w:t xml:space="preserve"> </w:t>
      </w:r>
      <w:r>
        <w:t xml:space="preserve">as a shortcut.</w:t>
      </w:r>
    </w:p>
    <w:p>
      <w:pPr>
        <w:pStyle w:val="Compact"/>
        <w:numPr>
          <w:ilvl w:val="0"/>
          <w:numId w:val="1001"/>
        </w:numPr>
      </w:pPr>
      <w:r>
        <w:t xml:space="preserve">If private endpoints are mandated, use the instructor-prepared VNet integration, private DNS and routes. Do not switch to public access to bypass policy; a basic app plan may not provide the required networking features.</w:t>
      </w:r>
    </w:p>
    <w:p>
      <w:pPr>
        <w:pStyle w:val="Compact"/>
        <w:numPr>
          <w:ilvl w:val="0"/>
          <w:numId w:val="1001"/>
        </w:numPr>
      </w:pPr>
      <w:r>
        <w:t xml:space="preserve">Review pricing and create. Record the exact server FQDN and database name from Overview.</w:t>
      </w:r>
    </w:p>
    <w:bookmarkEnd w:id="15"/>
    <w:bookmarkStart w:id="16" w:name="b.-create-the-web-app"/>
    <w:p>
      <w:pPr>
        <w:pStyle w:val="Heading2"/>
      </w:pPr>
      <w:r>
        <w:t xml:space="preserve">3B. Create the web app</w:t>
      </w:r>
    </w:p>
    <w:p>
      <w:pPr>
        <w:pStyle w:val="Compact"/>
        <w:numPr>
          <w:ilvl w:val="0"/>
          <w:numId w:val="1002"/>
        </w:numPr>
      </w:pPr>
      <w:r>
        <w:t xml:space="preserve">Search</w:t>
      </w:r>
      <w:r>
        <w:t xml:space="preserve"> </w:t>
      </w:r>
      <w:r>
        <w:rPr>
          <w:b/>
          <w:bCs/>
        </w:rPr>
        <w:t xml:space="preserve">App Services &gt; Create &gt; Web App</w:t>
      </w:r>
      <w:r>
        <w:t xml:space="preserve">. Use the same group and a unique</w:t>
      </w:r>
      <w:r>
        <w:t xml:space="preserve"> </w:t>
      </w:r>
      <w:r>
        <w:rPr>
          <w:rStyle w:val="VerbatimChar"/>
        </w:rPr>
        <w:t xml:space="preserve">app-lbs-&lt;suffix&gt;</w:t>
      </w:r>
      <w:r>
        <w:t xml:space="preserve"> </w:t>
      </w:r>
      <w:r>
        <w:t xml:space="preserve">name.</w:t>
      </w:r>
    </w:p>
    <w:p>
      <w:pPr>
        <w:pStyle w:val="Compact"/>
        <w:numPr>
          <w:ilvl w:val="0"/>
          <w:numId w:val="1002"/>
        </w:numPr>
      </w:pPr>
      <w:r>
        <w:t xml:space="preserve">Select</w:t>
      </w:r>
      <w:r>
        <w:t xml:space="preserve"> </w:t>
      </w:r>
      <w:r>
        <w:rPr>
          <w:b/>
          <w:bCs/>
        </w:rPr>
        <w:t xml:space="preserve">Code</w:t>
      </w:r>
      <w:r>
        <w:t xml:space="preserve">, a supported</w:t>
      </w:r>
      <w:r>
        <w:t xml:space="preserve"> </w:t>
      </w:r>
      <w:r>
        <w:rPr>
          <w:b/>
          <w:bCs/>
        </w:rPr>
        <w:t xml:space="preserve">.NET 10</w:t>
      </w:r>
      <w:r>
        <w:t xml:space="preserve"> </w:t>
      </w:r>
      <w:r>
        <w:t xml:space="preserve">runtime, and</w:t>
      </w:r>
      <w:r>
        <w:t xml:space="preserve"> </w:t>
      </w:r>
      <w:r>
        <w:rPr>
          <w:b/>
          <w:bCs/>
        </w:rPr>
        <w:t xml:space="preserve">Windows</w:t>
      </w:r>
      <w:r>
        <w:t xml:space="preserve"> </w:t>
      </w:r>
      <w:r>
        <w:t xml:space="preserve">for the portal-based monitoring path in this guide.</w:t>
      </w:r>
    </w:p>
    <w:p>
      <w:pPr>
        <w:pStyle w:val="Compact"/>
        <w:numPr>
          <w:ilvl w:val="0"/>
          <w:numId w:val="1002"/>
        </w:numPr>
      </w:pPr>
      <w:r>
        <w:t xml:space="preserve">Create/select</w:t>
      </w:r>
      <w:r>
        <w:t xml:space="preserve"> </w:t>
      </w:r>
      <w:r>
        <w:rPr>
          <w:rStyle w:val="VerbatimChar"/>
        </w:rPr>
        <w:t xml:space="preserve">plan-lbs-&lt;suffix&gt;</w:t>
      </w:r>
      <w:r>
        <w:t xml:space="preserve"> </w:t>
      </w:r>
      <w:r>
        <w:t xml:space="preserve">in the approved region. The instructor should approve Basic B1 or another suitable tier before creation. Do not assume a paid plan is covered by free credits.</w:t>
      </w:r>
    </w:p>
    <w:p>
      <w:pPr>
        <w:pStyle w:val="Compact"/>
        <w:numPr>
          <w:ilvl w:val="0"/>
          <w:numId w:val="1002"/>
        </w:numPr>
      </w:pPr>
      <w:r>
        <w:t xml:space="preserve">Under monitoring, enable Application Insights and use/create a workspace-based resource. If the wizard does not offer the workspace selection, complete the explicit workspace steps in Lab 7.</w:t>
      </w:r>
    </w:p>
    <w:p>
      <w:pPr>
        <w:pStyle w:val="Compact"/>
        <w:numPr>
          <w:ilvl w:val="0"/>
          <w:numId w:val="1002"/>
        </w:numPr>
      </w:pPr>
      <w:r>
        <w:t xml:space="preserve">Review and create. On the web app, open</w:t>
      </w:r>
      <w:r>
        <w:t xml:space="preserve"> </w:t>
      </w:r>
      <w:r>
        <w:rPr>
          <w:b/>
          <w:bCs/>
        </w:rPr>
        <w:t xml:space="preserve">Identity &gt; System assigned &gt; On &gt; Save</w:t>
      </w:r>
      <w:r>
        <w:t xml:space="preserve">. Record its principal/object ID.</w:t>
      </w:r>
    </w:p>
    <w:bookmarkEnd w:id="16"/>
    <w:bookmarkStart w:id="17" w:name="X8474dfb917b207761bac92313892b7c3acef94e"/>
    <w:p>
      <w:pPr>
        <w:pStyle w:val="Heading2"/>
      </w:pPr>
      <w:r>
        <w:t xml:space="preserve">3C. Grant database access with managed identity</w:t>
      </w:r>
    </w:p>
    <w:p>
      <w:pPr>
        <w:pStyle w:val="FirstParagraph"/>
      </w:pPr>
      <w:r>
        <w:t xml:space="preserve">An authorised Entra SQL administrator connects to the target Azure database using SSMS with Microsoft Entra authentication.</w:t>
      </w:r>
    </w:p>
    <w:p>
      <w:pPr>
        <w:pStyle w:val="Compact"/>
        <w:numPr>
          <w:ilvl w:val="0"/>
          <w:numId w:val="1003"/>
        </w:numPr>
      </w:pPr>
      <w:r>
        <w:t xml:space="preserve">Open the supplied</w:t>
      </w:r>
      <w:r>
        <w:t xml:space="preserve"> </w:t>
      </w:r>
      <w:r>
        <w:rPr>
          <w:rStyle w:val="VerbatimChar"/>
        </w:rPr>
        <w:t xml:space="preserve">sql\setup.sql</w:t>
      </w:r>
      <w:r>
        <w:t xml:space="preserve">. Replace every</w:t>
      </w:r>
      <w:r>
        <w:t xml:space="preserve"> </w:t>
      </w:r>
      <w:r>
        <w:rPr>
          <w:rStyle w:val="VerbatimChar"/>
        </w:rPr>
        <w:t xml:space="preserve">&lt;APP_SERVICE_NAME&gt;</w:t>
      </w:r>
      <w:r>
        <w:t xml:space="preserve"> </w:t>
      </w:r>
      <w:r>
        <w:t xml:space="preserve">with the exact web app’s managed-identity display name.</w:t>
      </w:r>
    </w:p>
    <w:p>
      <w:pPr>
        <w:pStyle w:val="Compact"/>
        <w:numPr>
          <w:ilvl w:val="0"/>
          <w:numId w:val="1003"/>
        </w:numPr>
      </w:pPr>
      <w:r>
        <w:t xml:space="preserve">Execute it against</w:t>
      </w:r>
      <w:r>
        <w:t xml:space="preserve"> </w:t>
      </w:r>
      <w:r>
        <w:rPr>
          <w:b/>
          <w:bCs/>
        </w:rPr>
        <w:t xml:space="preserve">LbsTraining</w:t>
      </w:r>
      <w:r>
        <w:t xml:space="preserve">, not master. It creates/seeds the table and creates the contained user with table-level SELECT.</w:t>
      </w:r>
    </w:p>
    <w:p>
      <w:pPr>
        <w:pStyle w:val="Compact"/>
        <w:numPr>
          <w:ilvl w:val="0"/>
          <w:numId w:val="1003"/>
        </w:numPr>
      </w:pPr>
      <w:r>
        <w:t xml:space="preserve">If user creation fails because the SQL server cannot resolve the identity, ask the administrator to resolve the directory lookup/identity configuration. Do not grant broad directory roles as a learner workaround.</w:t>
      </w:r>
    </w:p>
    <w:p>
      <w:pPr>
        <w:pStyle w:val="Compact"/>
        <w:numPr>
          <w:ilvl w:val="0"/>
          <w:numId w:val="1003"/>
        </w:numPr>
      </w:pPr>
      <w:r>
        <w:t xml:space="preserve">Verify the user and permissions in that database. SQL data permissions are separate from Azure IAM roles.</w:t>
      </w:r>
    </w:p>
    <w:p>
      <w:pPr>
        <w:pStyle w:val="FirstParagraph"/>
      </w:pPr>
      <w:r>
        <w:t xml:space="preserve">In App Service</w:t>
      </w:r>
      <w:r>
        <w:t xml:space="preserve"> </w:t>
      </w:r>
      <w:r>
        <w:rPr>
          <w:b/>
          <w:bCs/>
        </w:rPr>
        <w:t xml:space="preserve">Settings &gt; Environment variables &gt; App settings</w:t>
      </w:r>
      <w:r>
        <w:t xml:space="preserve">, add:</w:t>
      </w:r>
    </w:p>
    <w:p>
      <w:pPr>
        <w:pStyle w:val="SourceCode"/>
      </w:pPr>
      <w:r>
        <w:rPr>
          <w:rStyle w:val="VerbatimChar"/>
        </w:rPr>
        <w:t xml:space="preserve">Name: ConnectionStrings__TrainingDatabase</w:t>
      </w:r>
      <w:r>
        <w:br/>
      </w:r>
      <w:r>
        <w:rPr>
          <w:rStyle w:val="VerbatimChar"/>
        </w:rPr>
        <w:t xml:space="preserve">Value: Server=tcp:&lt;actual-server&gt;.database.windows.net,1433;Initial Catalog=LbsTraining;Authentication=Active Directory Default;Encrypt=True;TrustServerCertificate=False;Connection Timeout=30;</w:t>
      </w:r>
    </w:p>
    <w:p>
      <w:pPr>
        <w:pStyle w:val="FirstParagraph"/>
      </w:pPr>
      <w:r>
        <w:t xml:space="preserve">Replace</w:t>
      </w:r>
      <w:r>
        <w:t xml:space="preserve"> </w:t>
      </w:r>
      <w:r>
        <w:rPr>
          <w:rStyle w:val="VerbatimChar"/>
        </w:rPr>
        <w:t xml:space="preserve">&lt;actual-server&gt;</w:t>
      </w:r>
      <w:r>
        <w:t xml:space="preserve">; it is not a real host. Save/apply. Do not copy the local Windows-authentication string into App Service. Leave the deployed app in its normal Production environment; local user secrets are not deployed.</w:t>
      </w:r>
    </w:p>
    <w:bookmarkEnd w:id="17"/>
    <w:bookmarkStart w:id="18" w:name="d.-deploy-from-vs-code"/>
    <w:p>
      <w:pPr>
        <w:pStyle w:val="Heading2"/>
      </w:pPr>
      <w:r>
        <w:t xml:space="preserve">3D. Deploy from VS Code</w:t>
      </w:r>
    </w:p>
    <w:p>
      <w:pPr>
        <w:pStyle w:val="Compact"/>
        <w:numPr>
          <w:ilvl w:val="0"/>
          <w:numId w:val="1004"/>
        </w:numPr>
      </w:pPr>
      <w:r>
        <w:t xml:space="preserve">Sign into the Azure extension with the training account. Verify the subscription filter.</w:t>
      </w:r>
    </w:p>
    <w:p>
      <w:pPr>
        <w:pStyle w:val="Compact"/>
        <w:numPr>
          <w:ilvl w:val="0"/>
          <w:numId w:val="1004"/>
        </w:numPr>
      </w:pPr>
      <w:r>
        <w:t xml:space="preserve">Build and publish from the sample project folder:</w:t>
      </w:r>
    </w:p>
    <w:p>
      <w:pPr>
        <w:pStyle w:val="SourceCode"/>
      </w:pPr>
      <w:r>
        <w:rPr>
          <w:rStyle w:val="NormalTok"/>
        </w:rPr>
        <w:t xml:space="preserve">dotnet publish </w:t>
      </w:r>
      <w:r>
        <w:rPr>
          <w:rStyle w:val="OperatorTok"/>
        </w:rPr>
        <w:t xml:space="preserve">.</w:t>
      </w:r>
      <w:r>
        <w:rPr>
          <w:rStyle w:val="NormalTok"/>
        </w:rPr>
        <w:t xml:space="preserve">\AppServiceSqlSample</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 </w:t>
      </w:r>
      <w:r>
        <w:rPr>
          <w:rStyle w:val="OperatorTok"/>
        </w:rPr>
        <w:t xml:space="preserve">-</w:t>
      </w:r>
      <w:r>
        <w:rPr>
          <w:rStyle w:val="NormalTok"/>
        </w:rPr>
        <w:t xml:space="preserve">o </w:t>
      </w:r>
      <w:r>
        <w:rPr>
          <w:rStyle w:val="OperatorTok"/>
        </w:rPr>
        <w:t xml:space="preserve">.</w:t>
      </w:r>
      <w:r>
        <w:rPr>
          <w:rStyle w:val="NormalTok"/>
        </w:rPr>
        <w:t xml:space="preserve">\publish</w:t>
      </w:r>
    </w:p>
    <w:p>
      <w:pPr>
        <w:pStyle w:val="Compact"/>
        <w:numPr>
          <w:ilvl w:val="0"/>
          <w:numId w:val="1005"/>
        </w:numPr>
      </w:pPr>
      <w:r>
        <w:t xml:space="preserve">In the Azure App Service extension, choose</w:t>
      </w:r>
      <w:r>
        <w:t xml:space="preserve"> </w:t>
      </w:r>
      <w:r>
        <w:rPr>
          <w:b/>
          <w:bCs/>
        </w:rPr>
        <w:t xml:space="preserve">Deploy to Web App</w:t>
      </w:r>
      <w:r>
        <w:t xml:space="preserve">, select the published</w:t>
      </w:r>
      <w:r>
        <w:t xml:space="preserve"> </w:t>
      </w:r>
      <w:r>
        <w:rPr>
          <w:rStyle w:val="VerbatimChar"/>
        </w:rPr>
        <w:t xml:space="preserve">publish</w:t>
      </w:r>
      <w:r>
        <w:t xml:space="preserve"> </w:t>
      </w:r>
      <w:r>
        <w:t xml:space="preserve">folder, and select only your assigned web app. Confirm overwrite only for that training app.</w:t>
      </w:r>
    </w:p>
    <w:p>
      <w:pPr>
        <w:pStyle w:val="Compact"/>
        <w:numPr>
          <w:ilvl w:val="0"/>
          <w:numId w:val="1005"/>
        </w:numPr>
      </w:pPr>
      <w:r>
        <w:t xml:space="preserve">If your organisation blocks this deployment authentication method, use the instructor-approved Deployment Center/OIDC route. Do not enable basic publishing credentials or weaken policy merely to deploy.</w:t>
      </w:r>
    </w:p>
    <w:p>
      <w:pPr>
        <w:pStyle w:val="Compact"/>
        <w:numPr>
          <w:ilvl w:val="0"/>
          <w:numId w:val="1005"/>
        </w:numPr>
      </w:pPr>
      <w:r>
        <w:t xml:space="preserve">Open the app’s default HTTPS domain from Overview. Test</w:t>
      </w:r>
      <w:r>
        <w:t xml:space="preserve"> </w:t>
      </w:r>
      <w:r>
        <w:rPr>
          <w:rStyle w:val="VerbatimChar"/>
        </w:rPr>
        <w:t xml:space="preserve">/health</w:t>
      </w:r>
      <w:r>
        <w:t xml:space="preserve">, then</w:t>
      </w:r>
      <w:r>
        <w:t xml:space="preserve"> </w:t>
      </w:r>
      <w:r>
        <w:rPr>
          <w:rStyle w:val="VerbatimChar"/>
        </w:rPr>
        <w:t xml:space="preserve">/api/items</w:t>
      </w:r>
      <w:r>
        <w:t xml:space="preserve">.</w:t>
      </w:r>
    </w:p>
    <w:p>
      <w:pPr>
        <w:pStyle w:val="Compact"/>
        <w:numPr>
          <w:ilvl w:val="0"/>
          <w:numId w:val="1005"/>
        </w:numPr>
      </w:pPr>
      <w:r>
        <w:t xml:space="preserve">If data fails, inspect</w:t>
      </w:r>
      <w:r>
        <w:t xml:space="preserve"> </w:t>
      </w:r>
      <w:r>
        <w:rPr>
          <w:b/>
          <w:bCs/>
        </w:rPr>
        <w:t xml:space="preserve">Log stream</w:t>
      </w:r>
      <w:r>
        <w:t xml:space="preserve"> </w:t>
      </w:r>
      <w:r>
        <w:t xml:space="preserve">and</w:t>
      </w:r>
      <w:r>
        <w:t xml:space="preserve"> </w:t>
      </w:r>
      <w:r>
        <w:rPr>
          <w:b/>
          <w:bCs/>
        </w:rPr>
        <w:t xml:space="preserve">Diagnose and solve problems</w:t>
      </w:r>
      <w:r>
        <w:t xml:space="preserve">. Verify the FQDN, database, SQL user, managed identity and network route before editing code.</w:t>
      </w:r>
    </w:p>
    <w:p>
      <w:pPr>
        <w:pStyle w:val="Compact"/>
        <w:numPr>
          <w:ilvl w:val="0"/>
          <w:numId w:val="1005"/>
        </w:numPr>
      </w:pPr>
      <w:r>
        <w:t xml:space="preserve">If Health check is available on the approved plan, set</w:t>
      </w:r>
      <w:r>
        <w:t xml:space="preserve"> </w:t>
      </w:r>
      <w:r>
        <w:rPr>
          <w:rStyle w:val="VerbatimChar"/>
        </w:rPr>
        <w:t xml:space="preserve">/health</w:t>
      </w:r>
      <w:r>
        <w:t xml:space="preserve"> </w:t>
      </w:r>
      <w:r>
        <w:t xml:space="preserve">as its path. Explain that this sample’s check does not verify database readiness.</w:t>
      </w:r>
    </w:p>
    <w:p>
      <w:pPr>
        <w:pStyle w:val="FirstParagraph"/>
      </w:pPr>
      <w:r>
        <w:rPr>
          <w:b/>
          <w:bCs/>
        </w:rPr>
        <w:t xml:space="preserve">Checkpoint:</w:t>
      </w:r>
      <w:r>
        <w:t xml:space="preserve"> </w:t>
      </w:r>
      <w:r>
        <w:t xml:space="preserve">the public training URL returns the SQL row without a SQL username/password. Record its URL and evidence without credentials. If cloud permissions block this lab, retain the working local lab and use instructor-provided telemetry for KQL.</w:t>
      </w:r>
    </w:p>
    <w:bookmarkEnd w:id="18"/>
    <w:bookmarkStart w:id="19" w:name="X60d0022ed87bb4d85174aa3205bf6de2bca60a6"/>
    <w:p>
      <w:pPr>
        <w:pStyle w:val="Heading2"/>
      </w:pPr>
      <w:r>
        <w:t xml:space="preserve">3E. Detailed learner runbook: actual resource creation</w:t>
      </w:r>
    </w:p>
    <w:p>
      <w:pPr>
        <w:pStyle w:val="FirstParagraph"/>
      </w:pPr>
      <w:r>
        <w:t xml:space="preserve">Use this checklist alongside 3A-3D, rather than creating another set of resources. If an instructor supplied a resource, record</w:t>
      </w:r>
      <w:r>
        <w:t xml:space="preserve"> </w:t>
      </w:r>
      <w:r>
        <w:rPr>
          <w:b/>
          <w:bCs/>
        </w:rPr>
        <w:t xml:space="preserve">provided</w:t>
      </w:r>
      <w:r>
        <w:t xml:space="preserve"> </w:t>
      </w:r>
      <w:r>
        <w:t xml:space="preserve">and inspect it; otherwise record</w:t>
      </w:r>
      <w:r>
        <w:t xml:space="preserve"> </w:t>
      </w:r>
      <w:r>
        <w:rPr>
          <w:b/>
          <w:bCs/>
        </w:rPr>
        <w:t xml:space="preserve">created by learner</w:t>
      </w:r>
      <w:r>
        <w:t xml:space="preserve">.</w:t>
      </w:r>
    </w:p>
    <w:p>
      <w:pPr>
        <w:pStyle w:val="Compact"/>
        <w:numPr>
          <w:ilvl w:val="0"/>
          <w:numId w:val="1006"/>
        </w:numPr>
      </w:pPr>
      <w:r>
        <w:t xml:space="preserve">Write down the subscription ID, group, region, SQL server short name, database, web app and plan before clicking Create. Obtain an approved spend estimate and network choice.</w:t>
      </w:r>
    </w:p>
    <w:p>
      <w:pPr>
        <w:pStyle w:val="Compact"/>
        <w:numPr>
          <w:ilvl w:val="0"/>
          <w:numId w:val="1006"/>
        </w:numPr>
      </w:pPr>
      <w:r>
        <w:t xml:space="preserve">In the SQL database creation wizard, select</w:t>
      </w:r>
      <w:r>
        <w:t xml:space="preserve"> </w:t>
      </w:r>
      <w:r>
        <w:rPr>
          <w:b/>
          <w:bCs/>
        </w:rPr>
        <w:t xml:space="preserve">Create new</w:t>
      </w:r>
      <w:r>
        <w:t xml:space="preserve"> </w:t>
      </w:r>
      <w:r>
        <w:t xml:space="preserve">beside Server if one has not been assigned. The server short name does not include</w:t>
      </w:r>
      <w:r>
        <w:t xml:space="preserve"> </w:t>
      </w:r>
      <w:r>
        <w:rPr>
          <w:rStyle w:val="VerbatimChar"/>
        </w:rPr>
        <w:t xml:space="preserve">.database.windows.net</w:t>
      </w:r>
      <w:r>
        <w:t xml:space="preserve">; copy the resulting full FQDN from Overview after deployment.</w:t>
      </w:r>
    </w:p>
    <w:p>
      <w:pPr>
        <w:pStyle w:val="Compact"/>
        <w:numPr>
          <w:ilvl w:val="0"/>
          <w:numId w:val="1006"/>
        </w:numPr>
      </w:pPr>
      <w:r>
        <w:t xml:space="preserve">For the SQL server’s Entra administrator, choose the instructor-approved administrator/group from the current tenant. This is an administrator prerequisite, not a role to assign casually to the app.</w:t>
      </w:r>
    </w:p>
    <w:p>
      <w:pPr>
        <w:pStyle w:val="Compact"/>
        <w:numPr>
          <w:ilvl w:val="0"/>
          <w:numId w:val="1006"/>
        </w:numPr>
      </w:pPr>
      <w:r>
        <w:t xml:space="preserve">Review SQL</w:t>
      </w:r>
      <w:r>
        <w:t xml:space="preserve"> </w:t>
      </w:r>
      <w:r>
        <w:rPr>
          <w:b/>
          <w:bCs/>
        </w:rPr>
        <w:t xml:space="preserve">Compute + storage</w:t>
      </w:r>
      <w:r>
        <w:t xml:space="preserve"> </w:t>
      </w:r>
      <w:r>
        <w:t xml:space="preserve">explicitly. Record the service tier and monthly estimate. Set backup redundancy only as approved; defaults can have cost/resilience implications.</w:t>
      </w:r>
    </w:p>
    <w:p>
      <w:pPr>
        <w:pStyle w:val="Compact"/>
        <w:numPr>
          <w:ilvl w:val="0"/>
          <w:numId w:val="1006"/>
        </w:numPr>
      </w:pPr>
      <w:r>
        <w:t xml:space="preserve">After creation, open</w:t>
      </w:r>
      <w:r>
        <w:t xml:space="preserve"> </w:t>
      </w:r>
      <w:r>
        <w:rPr>
          <w:b/>
          <w:bCs/>
        </w:rPr>
        <w:t xml:space="preserve">SQL database &gt; Overview</w:t>
      </w:r>
      <w:r>
        <w:t xml:space="preserve"> </w:t>
      </w:r>
      <w:r>
        <w:t xml:space="preserve">and follow the</w:t>
      </w:r>
      <w:r>
        <w:t xml:space="preserve"> </w:t>
      </w:r>
      <w:r>
        <w:rPr>
          <w:b/>
          <w:bCs/>
        </w:rPr>
        <w:t xml:space="preserve">Server name</w:t>
      </w:r>
      <w:r>
        <w:t xml:space="preserve"> </w:t>
      </w:r>
      <w:r>
        <w:t xml:space="preserve">link. Configure networking on that logical server, not in the .NET source.</w:t>
      </w:r>
    </w:p>
    <w:p>
      <w:pPr>
        <w:pStyle w:val="Compact"/>
        <w:numPr>
          <w:ilvl w:val="0"/>
          <w:numId w:val="1006"/>
        </w:numPr>
      </w:pPr>
      <w:r>
        <w:t xml:space="preserve">For an approved public sandbox, allow the administrator’s current client IP for SSMS access. After the web app exists, open its</w:t>
      </w:r>
      <w:r>
        <w:t xml:space="preserve"> </w:t>
      </w:r>
      <w:r>
        <w:rPr>
          <w:b/>
          <w:bCs/>
        </w:rPr>
        <w:t xml:space="preserve">Properties</w:t>
      </w:r>
      <w:r>
        <w:t xml:space="preserve"> </w:t>
      </w:r>
      <w:r>
        <w:t xml:space="preserve">and record all current</w:t>
      </w:r>
      <w:r>
        <w:t xml:space="preserve"> </w:t>
      </w:r>
      <w:r>
        <w:rPr>
          <w:b/>
          <w:bCs/>
        </w:rPr>
        <w:t xml:space="preserve">Outbound IP addresses</w:t>
      </w:r>
      <w:r>
        <w:t xml:space="preserve">; the SQL administrator adds individual firewall entries for those addresses. Outbound sets can change after platform/plan changes; recheck them rather than using an unrestricted rule.</w:t>
      </w:r>
    </w:p>
    <w:p>
      <w:pPr>
        <w:pStyle w:val="Compact"/>
        <w:numPr>
          <w:ilvl w:val="0"/>
          <w:numId w:val="1006"/>
        </w:numPr>
      </w:pPr>
      <w:r>
        <w:t xml:space="preserve">For a private-only environment, stop here until the instructor has verified the App Service plan supports the required VNet integration and configured private DNS/routing. This workbook does not substitute a public route for a private-endpoint design.</w:t>
      </w:r>
    </w:p>
    <w:p>
      <w:pPr>
        <w:pStyle w:val="Compact"/>
        <w:numPr>
          <w:ilvl w:val="0"/>
          <w:numId w:val="1006"/>
        </w:numPr>
      </w:pPr>
      <w:r>
        <w:t xml:space="preserve">In the App Service wizard inspect</w:t>
      </w:r>
      <w:r>
        <w:t xml:space="preserve"> </w:t>
      </w:r>
      <w:r>
        <w:rPr>
          <w:b/>
          <w:bCs/>
        </w:rPr>
        <w:t xml:space="preserve">Pricing plan &gt; Explore pricing plans</w:t>
      </w:r>
      <w:r>
        <w:t xml:space="preserve"> </w:t>
      </w:r>
      <w:r>
        <w:t xml:space="preserve">rather than accepting a default. A portal-created plan can be shared by several apps; use your own approved disposable plan or record the shared owner.</w:t>
      </w:r>
    </w:p>
    <w:p>
      <w:pPr>
        <w:pStyle w:val="Compact"/>
        <w:numPr>
          <w:ilvl w:val="0"/>
          <w:numId w:val="1006"/>
        </w:numPr>
      </w:pPr>
      <w:r>
        <w:t xml:space="preserve">Once the app is deployed, open</w:t>
      </w:r>
      <w:r>
        <w:t xml:space="preserve"> </w:t>
      </w:r>
      <w:r>
        <w:rPr>
          <w:b/>
          <w:bCs/>
        </w:rPr>
        <w:t xml:space="preserve">Identity</w:t>
      </w:r>
      <w:r>
        <w:t xml:space="preserve">, enable System assigned and save. Record the principal ID and display name. No SQL password is generated or copied.</w:t>
      </w:r>
    </w:p>
    <w:p>
      <w:pPr>
        <w:pStyle w:val="FirstParagraph"/>
      </w:pPr>
      <w:r>
        <w:rPr>
          <w:b/>
          <w:bCs/>
        </w:rPr>
        <w:t xml:space="preserve">Do not proceed to deployment verification until SQL exists, the network route is approved, and the contained database user is created.</w:t>
      </w:r>
    </w:p>
    <w:bookmarkEnd w:id="19"/>
    <w:bookmarkStart w:id="20" w:name="X402351347a5050376206637557702bf54ed2d74"/>
    <w:p>
      <w:pPr>
        <w:pStyle w:val="Heading2"/>
      </w:pPr>
      <w:r>
        <w:t xml:space="preserve">3F. SSMS connection and permission verification</w:t>
      </w:r>
    </w:p>
    <w:p>
      <w:pPr>
        <w:pStyle w:val="FirstParagraph"/>
      </w:pPr>
      <w:r>
        <w:t xml:space="preserve">An authorised Entra SQL administrator performs the permission-writing steps. Learners observe or execute them only where delegated.</w:t>
      </w:r>
    </w:p>
    <w:p>
      <w:pPr>
        <w:pStyle w:val="Compact"/>
        <w:numPr>
          <w:ilvl w:val="0"/>
          <w:numId w:val="1007"/>
        </w:numPr>
      </w:pPr>
      <w:r>
        <w:t xml:space="preserve">In SSMS choose</w:t>
      </w:r>
      <w:r>
        <w:t xml:space="preserve"> </w:t>
      </w:r>
      <w:r>
        <w:rPr>
          <w:b/>
          <w:bCs/>
        </w:rPr>
        <w:t xml:space="preserve">Database Engine</w:t>
      </w:r>
      <w:r>
        <w:t xml:space="preserve">, server</w:t>
      </w:r>
      <w:r>
        <w:t xml:space="preserve"> </w:t>
      </w:r>
      <w:r>
        <w:rPr>
          <w:rStyle w:val="VerbatimChar"/>
        </w:rPr>
        <w:t xml:space="preserve">&lt;actual-server&gt;.database.windows.net</w:t>
      </w:r>
      <w:r>
        <w:t xml:space="preserve">, and the supported Microsoft Entra interactive/MFA authentication option for the administrator.</w:t>
      </w:r>
    </w:p>
    <w:p>
      <w:pPr>
        <w:pStyle w:val="Compact"/>
        <w:numPr>
          <w:ilvl w:val="0"/>
          <w:numId w:val="1007"/>
        </w:numPr>
      </w:pPr>
      <w:r>
        <w:t xml:space="preserve">In connection properties select</w:t>
      </w:r>
      <w:r>
        <w:t xml:space="preserve"> </w:t>
      </w:r>
      <w:r>
        <w:rPr>
          <w:b/>
          <w:bCs/>
        </w:rPr>
        <w:t xml:space="preserve">LbsTraining</w:t>
      </w:r>
      <w:r>
        <w:t xml:space="preserve"> </w:t>
      </w:r>
      <w:r>
        <w:t xml:space="preserve">as the target database if the administrator’s access is database-scoped. Use encryption and certificate validation; do not enable Trust server certificate to bypass cloud validation.</w:t>
      </w:r>
    </w:p>
    <w:p>
      <w:pPr>
        <w:pStyle w:val="Compact"/>
        <w:numPr>
          <w:ilvl w:val="0"/>
          <w:numId w:val="1007"/>
        </w:numPr>
      </w:pPr>
      <w:r>
        <w:t xml:space="preserve">Connect through the approved network route. If blocked, inspect the SQL firewall/private DNS with the administrator before changing credentials.</w:t>
      </w:r>
    </w:p>
    <w:p>
      <w:pPr>
        <w:pStyle w:val="Compact"/>
        <w:numPr>
          <w:ilvl w:val="0"/>
          <w:numId w:val="1007"/>
        </w:numPr>
      </w:pPr>
      <w:r>
        <w:t xml:space="preserve">Open</w:t>
      </w:r>
      <w:r>
        <w:t xml:space="preserve"> </w:t>
      </w:r>
      <w:r>
        <w:rPr>
          <w:rStyle w:val="VerbatimChar"/>
        </w:rPr>
        <w:t xml:space="preserve">sql\setup.sql</w:t>
      </w:r>
      <w:r>
        <w:t xml:space="preserve"> </w:t>
      </w:r>
      <w:r>
        <w:t xml:space="preserve">from the supplied project. Replace</w:t>
      </w:r>
      <w:r>
        <w:t xml:space="preserve"> </w:t>
      </w:r>
      <w:r>
        <w:rPr>
          <w:rStyle w:val="VerbatimChar"/>
        </w:rPr>
        <w:t xml:space="preserve">&lt;APP_SERVICE_NAME&gt;</w:t>
      </w:r>
      <w:r>
        <w:t xml:space="preserve"> </w:t>
      </w:r>
      <w:r>
        <w:t xml:space="preserve">in every occurrence with the exact managed-identity name. Check the SSMS database dropdown is</w:t>
      </w:r>
      <w:r>
        <w:t xml:space="preserve"> </w:t>
      </w:r>
      <w:r>
        <w:rPr>
          <w:b/>
          <w:bCs/>
        </w:rPr>
        <w:t xml:space="preserve">LbsTraining</w:t>
      </w:r>
      <w:r>
        <w:t xml:space="preserve"> </w:t>
      </w:r>
      <w:r>
        <w:t xml:space="preserve">and run the script.</w:t>
      </w:r>
    </w:p>
    <w:p>
      <w:pPr>
        <w:pStyle w:val="Compact"/>
        <w:numPr>
          <w:ilvl w:val="0"/>
          <w:numId w:val="1007"/>
        </w:numPr>
      </w:pPr>
      <w:r>
        <w:t xml:space="preserve">Run these read-only checks in the same database. Replace the placeholder with the identity’s actual name:</w:t>
      </w:r>
    </w:p>
    <w:p>
      <w:pPr>
        <w:pStyle w:val="SourceCode"/>
      </w:pPr>
      <w:r>
        <w:rPr>
          <w:rStyle w:val="KeywordTok"/>
        </w:rPr>
        <w:t xml:space="preserve">SELECT</w:t>
      </w:r>
      <w:r>
        <w:rPr>
          <w:rStyle w:val="NormalTok"/>
        </w:rPr>
        <w:t xml:space="preserve"> DB_NAME() </w:t>
      </w:r>
      <w:r>
        <w:rPr>
          <w:rStyle w:val="KeywordTok"/>
        </w:rPr>
        <w:t xml:space="preserve">AS</w:t>
      </w:r>
      <w:r>
        <w:rPr>
          <w:rStyle w:val="NormalTok"/>
        </w:rPr>
        <w:t xml:space="preserve"> CurrentDatabase;</w:t>
      </w:r>
      <w:r>
        <w:br/>
      </w:r>
      <w:r>
        <w:rPr>
          <w:rStyle w:val="KeywordTok"/>
        </w:rPr>
        <w:t xml:space="preserve">SELECT</w:t>
      </w:r>
      <w:r>
        <w:rPr>
          <w:rStyle w:val="NormalTok"/>
        </w:rPr>
        <w:t xml:space="preserve"> </w:t>
      </w:r>
      <w:r>
        <w:rPr>
          <w:rStyle w:val="KeywordTok"/>
        </w:rPr>
        <w:t xml:space="preserve">Id</w:t>
      </w:r>
      <w:r>
        <w:rPr>
          <w:rStyle w:val="NormalTok"/>
        </w:rPr>
        <w:t xml:space="preserve">, Name, Description </w:t>
      </w:r>
      <w:r>
        <w:rPr>
          <w:rStyle w:val="KeywordTok"/>
        </w:rPr>
        <w:t xml:space="preserve">FROM</w:t>
      </w:r>
      <w:r>
        <w:rPr>
          <w:rStyle w:val="NormalTok"/>
        </w:rPr>
        <w:t xml:space="preserve"> dbo.TrainingItems;</w:t>
      </w:r>
      <w:r>
        <w:br/>
      </w:r>
      <w:r>
        <w:br/>
      </w:r>
      <w:r>
        <w:rPr>
          <w:rStyle w:val="KeywordTok"/>
        </w:rPr>
        <w:t xml:space="preserve">SELECT</w:t>
      </w:r>
      <w:r>
        <w:rPr>
          <w:rStyle w:val="NormalTok"/>
        </w:rPr>
        <w:t xml:space="preserve"> name, type_desc, authentication_type_desc</w:t>
      </w:r>
      <w:r>
        <w:br/>
      </w:r>
      <w:r>
        <w:rPr>
          <w:rStyle w:val="KeywordTok"/>
        </w:rPr>
        <w:t xml:space="preserve">FROM</w:t>
      </w:r>
      <w:r>
        <w:rPr>
          <w:rStyle w:val="NormalTok"/>
        </w:rPr>
        <w:t xml:space="preserve"> sys.database_principals</w:t>
      </w:r>
      <w:r>
        <w:br/>
      </w:r>
      <w:r>
        <w:rPr>
          <w:rStyle w:val="KeywordTok"/>
        </w:rPr>
        <w:t xml:space="preserve">WHERE</w:t>
      </w:r>
      <w:r>
        <w:rPr>
          <w:rStyle w:val="NormalTok"/>
        </w:rPr>
        <w:t xml:space="preserve"> 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r>
        <w:br/>
      </w:r>
      <w:r>
        <w:br/>
      </w:r>
      <w:r>
        <w:rPr>
          <w:rStyle w:val="KeywordTok"/>
        </w:rPr>
        <w:t xml:space="preserve">SELECT</w:t>
      </w:r>
      <w:r>
        <w:rPr>
          <w:rStyle w:val="NormalTok"/>
        </w:rPr>
        <w:t xml:space="preserve"> principal.name, permission.permission_name,</w:t>
      </w:r>
      <w:r>
        <w:br/>
      </w:r>
      <w:r>
        <w:rPr>
          <w:rStyle w:val="NormalTok"/>
        </w:rPr>
        <w:t xml:space="preserve">       permission.state_desc,</w:t>
      </w:r>
      <w:r>
        <w:br/>
      </w:r>
      <w:r>
        <w:rPr>
          <w:rStyle w:val="NormalTok"/>
        </w:rPr>
        <w:t xml:space="preserve">       OBJECT_SCHEMA_NAME(permission.major_id) </w:t>
      </w:r>
      <w:r>
        <w:rPr>
          <w:rStyle w:val="KeywordTok"/>
        </w:rPr>
        <w:t xml:space="preserve">AS</w:t>
      </w:r>
      <w:r>
        <w:rPr>
          <w:rStyle w:val="NormalTok"/>
        </w:rPr>
        <w:t xml:space="preserve"> SchemaName,</w:t>
      </w:r>
      <w:r>
        <w:br/>
      </w:r>
      <w:r>
        <w:rPr>
          <w:rStyle w:val="NormalTok"/>
        </w:rPr>
        <w:t xml:space="preserve">       OBJECT_NAME(permission.major_id) </w:t>
      </w:r>
      <w:r>
        <w:rPr>
          <w:rStyle w:val="KeywordTok"/>
        </w:rPr>
        <w:t xml:space="preserve">AS</w:t>
      </w:r>
      <w:r>
        <w:rPr>
          <w:rStyle w:val="NormalTok"/>
        </w:rPr>
        <w:t xml:space="preserve"> ObjectName</w:t>
      </w:r>
      <w:r>
        <w:br/>
      </w:r>
      <w:r>
        <w:rPr>
          <w:rStyle w:val="KeywordTok"/>
        </w:rPr>
        <w:t xml:space="preserve">FROM</w:t>
      </w:r>
      <w:r>
        <w:rPr>
          <w:rStyle w:val="NormalTok"/>
        </w:rPr>
        <w:t xml:space="preserve"> sys.database_permissions </w:t>
      </w:r>
      <w:r>
        <w:rPr>
          <w:rStyle w:val="KeywordTok"/>
        </w:rPr>
        <w:t xml:space="preserve">AS</w:t>
      </w:r>
      <w:r>
        <w:rPr>
          <w:rStyle w:val="NormalTok"/>
        </w:rPr>
        <w:t xml:space="preserve"> permission</w:t>
      </w:r>
      <w:r>
        <w:br/>
      </w:r>
      <w:r>
        <w:rPr>
          <w:rStyle w:val="KeywordTok"/>
        </w:rPr>
        <w:t xml:space="preserve">JOIN</w:t>
      </w:r>
      <w:r>
        <w:rPr>
          <w:rStyle w:val="NormalTok"/>
        </w:rPr>
        <w:t xml:space="preserve"> sys.database_principals </w:t>
      </w:r>
      <w:r>
        <w:rPr>
          <w:rStyle w:val="KeywordTok"/>
        </w:rPr>
        <w:t xml:space="preserve">AS</w:t>
      </w:r>
      <w:r>
        <w:rPr>
          <w:rStyle w:val="NormalTok"/>
        </w:rPr>
        <w:t xml:space="preserve"> principal</w:t>
      </w:r>
      <w:r>
        <w:br/>
      </w:r>
      <w:r>
        <w:rPr>
          <w:rStyle w:val="NormalTok"/>
        </w:rPr>
        <w:t xml:space="preserve">  </w:t>
      </w:r>
      <w:r>
        <w:rPr>
          <w:rStyle w:val="KeywordTok"/>
        </w:rPr>
        <w:t xml:space="preserve">ON</w:t>
      </w:r>
      <w:r>
        <w:rPr>
          <w:rStyle w:val="NormalTok"/>
        </w:rPr>
        <w:t xml:space="preserve"> principal.principal_id </w:t>
      </w:r>
      <w:r>
        <w:rPr>
          <w:rStyle w:val="OperatorTok"/>
        </w:rPr>
        <w:t xml:space="preserve">=</w:t>
      </w:r>
      <w:r>
        <w:rPr>
          <w:rStyle w:val="NormalTok"/>
        </w:rPr>
        <w:t xml:space="preserve"> permission.grantee_principal_id</w:t>
      </w:r>
      <w:r>
        <w:br/>
      </w:r>
      <w:r>
        <w:rPr>
          <w:rStyle w:val="KeywordTok"/>
        </w:rPr>
        <w:t xml:space="preserve">WHERE</w:t>
      </w:r>
      <w:r>
        <w:rPr>
          <w:rStyle w:val="NormalTok"/>
        </w:rPr>
        <w:t xml:space="preserve"> principal.name </w:t>
      </w:r>
      <w:r>
        <w:rPr>
          <w:rStyle w:val="OperatorTok"/>
        </w:rPr>
        <w:t xml:space="preserve">=</w:t>
      </w:r>
      <w:r>
        <w:rPr>
          <w:rStyle w:val="NormalTok"/>
        </w:rPr>
        <w:t xml:space="preserve"> N</w:t>
      </w:r>
      <w:r>
        <w:rPr>
          <w:rStyle w:val="StringTok"/>
        </w:rPr>
        <w:t xml:space="preserve">'&lt;actual-managed-identity-name&gt;'</w:t>
      </w:r>
      <w:r>
        <w:rPr>
          <w:rStyle w:val="NormalTok"/>
        </w:rPr>
        <w:t xml:space="preserve">;</w:t>
      </w:r>
    </w:p>
    <w:p>
      <w:pPr>
        <w:pStyle w:val="FirstParagraph"/>
      </w:pPr>
      <w:r>
        <w:t xml:space="preserve">Expected: correct database, one sample row, an external principal for the app, and</w:t>
      </w:r>
      <w:r>
        <w:t xml:space="preserve"> </w:t>
      </w:r>
      <w:r>
        <w:rPr>
          <w:rStyle w:val="VerbatimChar"/>
        </w:rPr>
        <w:t xml:space="preserve">GRANT SELECT</w:t>
      </w:r>
      <w:r>
        <w:t xml:space="preserve"> </w:t>
      </w:r>
      <w:r>
        <w:t xml:space="preserve">on</w:t>
      </w:r>
      <w:r>
        <w:t xml:space="preserve"> </w:t>
      </w:r>
      <w:r>
        <w:rPr>
          <w:rStyle w:val="VerbatimChar"/>
        </w:rPr>
        <w:t xml:space="preserve">dbo.TrainingItems</w:t>
      </w:r>
      <w:r>
        <w:t xml:space="preserve">. Seeing the administrator read a row is not proof that the app identity can read it; the API test below supplies that proof.</w:t>
      </w:r>
    </w:p>
    <w:p>
      <w:pPr>
        <w:pStyle w:val="BodyText"/>
      </w:pPr>
      <w:r>
        <w:t xml:space="preserve">If identity-name lookup fails or names are duplicated in Entra, the authorised administrator must resolve the mapping using the organisation’s supported identity-lookup process. Do not replace managed identity with a SQL administrator login to make the checkpoint pass.</w:t>
      </w:r>
    </w:p>
    <w:bookmarkEnd w:id="20"/>
    <w:bookmarkStart w:id="21" w:name="Xd68d78726e7601820530a5e558ae5ffac3c3b46"/>
    <w:p>
      <w:pPr>
        <w:pStyle w:val="Heading2"/>
      </w:pPr>
      <w:r>
        <w:t xml:space="preserve">3G. Configure, publish and prove the application path</w:t>
      </w:r>
    </w:p>
    <w:p>
      <w:pPr>
        <w:pStyle w:val="Compact"/>
        <w:numPr>
          <w:ilvl w:val="0"/>
          <w:numId w:val="1008"/>
        </w:numPr>
      </w:pPr>
      <w:r>
        <w:t xml:space="preserve">In the web app’s</w:t>
      </w:r>
      <w:r>
        <w:t xml:space="preserve"> </w:t>
      </w:r>
      <w:r>
        <w:rPr>
          <w:b/>
          <w:bCs/>
        </w:rPr>
        <w:t xml:space="preserve">Environment variables &gt; App settings</w:t>
      </w:r>
      <w:r>
        <w:t xml:space="preserve">, add exactly</w:t>
      </w:r>
      <w:r>
        <w:t xml:space="preserve"> </w:t>
      </w:r>
      <w:r>
        <w:rPr>
          <w:rStyle w:val="VerbatimChar"/>
        </w:rPr>
        <w:t xml:space="preserve">ConnectionStrings__TrainingDatabase</w:t>
      </w:r>
      <w:r>
        <w:t xml:space="preserve"> </w:t>
      </w:r>
      <w:r>
        <w:t xml:space="preserve">using the Azure SQL value in 3C. Avoid confusing this app-setting syntax with entries in a separate Connection strings blade.</w:t>
      </w:r>
    </w:p>
    <w:p>
      <w:pPr>
        <w:pStyle w:val="Compact"/>
        <w:numPr>
          <w:ilvl w:val="0"/>
          <w:numId w:val="1008"/>
        </w:numPr>
      </w:pPr>
      <w:r>
        <w:t xml:space="preserve">Save/apply and confirm the app restarts. Verify the value has the real server FQDN,</w:t>
      </w:r>
      <w:r>
        <w:t xml:space="preserve"> </w:t>
      </w:r>
      <w:r>
        <w:rPr>
          <w:rStyle w:val="VerbatimChar"/>
        </w:rPr>
        <w:t xml:space="preserve">Initial Catalog=LbsTraining</w:t>
      </w:r>
      <w:r>
        <w:t xml:space="preserve">,</w:t>
      </w:r>
      <w:r>
        <w:t xml:space="preserve"> </w:t>
      </w:r>
      <w:r>
        <w:rPr>
          <w:rStyle w:val="VerbatimChar"/>
        </w:rPr>
        <w:t xml:space="preserve">Authentication=Active Directory Default</w:t>
      </w:r>
      <w:r>
        <w:t xml:space="preserve">, encryption enabled and certificate validation enabled. Do not expose the full value in shared evidence.</w:t>
      </w:r>
    </w:p>
    <w:p>
      <w:pPr>
        <w:pStyle w:val="Compact"/>
        <w:numPr>
          <w:ilvl w:val="0"/>
          <w:numId w:val="1008"/>
        </w:numPr>
      </w:pPr>
      <w:r>
        <w:t xml:space="preserve">In VS Code’s Azure view select the approved subscription. Publish using 3D, and deploy the publish output to the exact app name in your lab record.</w:t>
      </w:r>
    </w:p>
    <w:p>
      <w:pPr>
        <w:pStyle w:val="Compact"/>
        <w:numPr>
          <w:ilvl w:val="0"/>
          <w:numId w:val="1008"/>
        </w:numPr>
      </w:pPr>
      <w:r>
        <w:t xml:space="preserve">If deployment fails, read the deployment error and confirm the authentication method permitted by the organisation. Have the instructor configure a federated deployment where required; do not enable basic credentials as a workaround.</w:t>
      </w:r>
    </w:p>
    <w:p>
      <w:pPr>
        <w:pStyle w:val="Compact"/>
        <w:numPr>
          <w:ilvl w:val="0"/>
          <w:numId w:val="1008"/>
        </w:numPr>
      </w:pPr>
      <w:r>
        <w:t xml:space="preserve">Copy the default HTTPS domain from App Service Overview. Do not guess the hostname from the short app name; platform-generated domains may include additional segments.</w:t>
      </w:r>
    </w:p>
    <w:p>
      <w:pPr>
        <w:pStyle w:val="Compact"/>
        <w:numPr>
          <w:ilvl w:val="0"/>
          <w:numId w:val="1008"/>
        </w:numPr>
      </w:pPr>
      <w:r>
        <w:t xml:space="preserve">Run in PowerShell, substituting the copied origin without a trailing slash:</w:t>
      </w:r>
    </w:p>
    <w:p>
      <w:pPr>
        <w:pStyle w:val="SourceCode"/>
      </w:pPr>
      <w:r>
        <w:rPr>
          <w:rStyle w:val="VariableTok"/>
        </w:rPr>
        <w:t xml:space="preserve">$baseUrl</w:t>
      </w:r>
      <w:r>
        <w:rPr>
          <w:rStyle w:val="NormalTok"/>
        </w:rPr>
        <w:t xml:space="preserve"> </w:t>
      </w:r>
      <w:r>
        <w:rPr>
          <w:rStyle w:val="OperatorTok"/>
        </w:rPr>
        <w:t xml:space="preserve">=</w:t>
      </w:r>
      <w:r>
        <w:rPr>
          <w:rStyle w:val="NormalTok"/>
        </w:rPr>
        <w:t xml:space="preserve"> </w:t>
      </w:r>
      <w:r>
        <w:rPr>
          <w:rStyle w:val="StringTok"/>
        </w:rPr>
        <w:t xml:space="preserve">"https://&lt;copy-actual-default-domain&gt;"</w:t>
      </w:r>
      <w:r>
        <w:br/>
      </w:r>
      <w:r>
        <w:rPr>
          <w:rStyle w:val="VariableTok"/>
        </w:rPr>
        <w:t xml:space="preserve">$health</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/health"</w:t>
      </w:r>
      <w:r>
        <w:rPr>
          <w:rStyle w:val="NormalTok"/>
        </w:rPr>
        <w:t xml:space="preserve"> </w:t>
      </w:r>
      <w:r>
        <w:rPr>
          <w:rStyle w:val="OperatorTok"/>
        </w:rPr>
        <w:t xml:space="preserve">-</w:t>
      </w:r>
      <w:r>
        <w:rPr>
          <w:rStyle w:val="NormalTok"/>
        </w:rPr>
        <w:t xml:space="preserve">ErrorAction Stop</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rPr>
          <w:rStyle w:val="StringTok"/>
        </w:rPr>
        <w:t xml:space="preserve">"</w:t>
      </w:r>
      <w:r>
        <w:rPr>
          <w:rStyle w:val="VariableTok"/>
        </w:rPr>
        <w:t xml:space="preserve">$baseUrl</w:t>
      </w:r>
      <w:r>
        <w:rPr>
          <w:rStyle w:val="StringTok"/>
        </w:rPr>
        <w:t xml:space="preserve">/api/items"</w:t>
      </w:r>
      <w:r>
        <w:rPr>
          <w:rStyle w:val="NormalTok"/>
        </w:rPr>
        <w:t xml:space="preserve"> </w:t>
      </w:r>
      <w:r>
        <w:rPr>
          <w:rStyle w:val="OperatorTok"/>
        </w:rPr>
        <w:t xml:space="preserve">-</w:t>
      </w:r>
      <w:r>
        <w:rPr>
          <w:rStyle w:val="NormalTok"/>
        </w:rPr>
        <w:t xml:space="preserve">ErrorAction Stop</w:t>
      </w:r>
      <w:r>
        <w:rPr>
          <w:rStyle w:val="OperatorTok"/>
        </w:rPr>
        <w:t xml:space="preserve">)</w:t>
      </w:r>
      <w:r>
        <w:br/>
      </w:r>
      <w:r>
        <w:rPr>
          <w:rStyle w:val="VariableTok"/>
        </w:rPr>
        <w:t xml:space="preserve">$health</w:t>
      </w:r>
      <w:r>
        <w:br/>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Id</w:t>
      </w:r>
      <w:r>
        <w:rPr>
          <w:rStyle w:val="OperatorTok"/>
        </w:rPr>
        <w:t xml:space="preserve">,</w:t>
      </w:r>
      <w:r>
        <w:rPr>
          <w:rStyle w:val="NormalTok"/>
        </w:rPr>
        <w:t xml:space="preserve"> Name</w:t>
      </w:r>
      <w:r>
        <w:rPr>
          <w:rStyle w:val="OperatorTok"/>
        </w:rPr>
        <w:t xml:space="preserve">,</w:t>
      </w:r>
      <w:r>
        <w:rPr>
          <w:rStyle w:val="NormalTok"/>
        </w:rPr>
        <w:t xml:space="preserve"> Description</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Variabl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Name </w:t>
      </w:r>
      <w:r>
        <w:rPr>
          <w:rStyle w:val="OperatorTok"/>
        </w:rPr>
        <w:t xml:space="preserve">-eq</w:t>
      </w:r>
      <w:r>
        <w:rPr>
          <w:rStyle w:val="NormalTok"/>
        </w:rPr>
        <w:t xml:space="preserve"> </w:t>
      </w:r>
      <w:r>
        <w:rPr>
          <w:rStyle w:val="StringTok"/>
        </w:rPr>
        <w:t xml:space="preserve">"Welcome to the lab"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"The expected training row was not returned."</w:t>
      </w:r>
      <w:r>
        <w:br/>
      </w:r>
      <w:r>
        <w:rPr>
          <w:rStyle w:val="OperatorTok"/>
        </w:rPr>
        <w:t xml:space="preserve">}</w:t>
      </w:r>
    </w:p>
    <w:p>
      <w:pPr>
        <w:pStyle w:val="Compact"/>
        <w:numPr>
          <w:ilvl w:val="0"/>
          <w:numId w:val="1009"/>
        </w:numPr>
      </w:pPr>
      <w:r>
        <w:t xml:space="preserve">Stop and restart the cloud web app from its portal controls once, then repeat the checks. This verifies the cloud configuration persists without your terminal or local secrets.</w:t>
      </w:r>
    </w:p>
    <w:p>
      <w:pPr>
        <w:pStyle w:val="Compact"/>
        <w:numPr>
          <w:ilvl w:val="0"/>
          <w:numId w:val="1009"/>
        </w:numPr>
      </w:pPr>
      <w:r>
        <w:t xml:space="preserve">Leave Production mode in Azure. Local</w:t>
      </w:r>
      <w:r>
        <w:t xml:space="preserve"> </w:t>
      </w:r>
      <w:r>
        <w:rPr>
          <w:rStyle w:val="VerbatimChar"/>
        </w:rPr>
        <w:t xml:space="preserve">ASPNETCORE_URLS=localhost:5080</w:t>
      </w:r>
      <w:r>
        <w:t xml:space="preserve"> </w:t>
      </w:r>
      <w:r>
        <w:t xml:space="preserve">settings belong to local launch files, not deployed application settings.</w:t>
      </w:r>
    </w:p>
    <w:bookmarkEnd w:id="21"/>
    <w:bookmarkStart w:id="22" w:name="X54d6d33a8bf682997fdc22e26659dd44fb8996b"/>
    <w:p>
      <w:pPr>
        <w:pStyle w:val="Heading2"/>
      </w:pPr>
      <w:r>
        <w:t xml:space="preserve">3H. Prove least privilege with a reversible exercise</w:t>
      </w:r>
    </w:p>
    <w:p>
      <w:pPr>
        <w:pStyle w:val="FirstParagraph"/>
      </w:pPr>
      <w:r>
        <w:t xml:space="preserve">This exercise is only for your own isolated lab app/database with an administrator available. Skip changes to a shared database; record that limitation.</w:t>
      </w:r>
    </w:p>
    <w:p>
      <w:pPr>
        <w:pStyle w:val="Compact"/>
        <w:numPr>
          <w:ilvl w:val="0"/>
          <w:numId w:val="1010"/>
        </w:numPr>
      </w:pPr>
      <w:r>
        <w:t xml:space="preserve">With a successful baseline, the SQL administrator removes the table-level grant:</w:t>
      </w:r>
    </w:p>
    <w:p>
      <w:pPr>
        <w:pStyle w:val="SourceCode"/>
      </w:pPr>
      <w:r>
        <w:rPr>
          <w:rStyle w:val="KeywordTok"/>
        </w:rPr>
        <w:t xml:space="preserve">REVOKE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FROM</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11"/>
        </w:numPr>
      </w:pPr>
      <w:r>
        <w:t xml:space="preserve">Call the cloud</w:t>
      </w:r>
      <w:r>
        <w:t xml:space="preserve"> </w:t>
      </w:r>
      <w:r>
        <w:rPr>
          <w:rStyle w:val="VerbatimChar"/>
        </w:rPr>
        <w:t xml:space="preserve">/api/items</w:t>
      </w:r>
      <w:r>
        <w:t xml:space="preserve"> </w:t>
      </w:r>
      <w:r>
        <w:t xml:space="preserve">endpoint once. Expect a server-side SQL permission error and a generic 500 response;</w:t>
      </w:r>
      <w:r>
        <w:t xml:space="preserve"> </w:t>
      </w:r>
      <w:r>
        <w:rPr>
          <w:rStyle w:val="VerbatimChar"/>
        </w:rPr>
        <w:t xml:space="preserve">/health</w:t>
      </w:r>
      <w:r>
        <w:t xml:space="preserve"> </w:t>
      </w:r>
      <w:r>
        <w:t xml:space="preserve">should still succeed. Record the time without posting database error details publicly.</w:t>
      </w:r>
    </w:p>
    <w:p>
      <w:pPr>
        <w:pStyle w:val="Compact"/>
        <w:numPr>
          <w:ilvl w:val="0"/>
          <w:numId w:val="1011"/>
        </w:numPr>
      </w:pPr>
      <w:r>
        <w:t xml:space="preserve">Immediately restore the original grant, even if the negative check is inconclusive:</w:t>
      </w:r>
    </w:p>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DataTypeTok"/>
        </w:rPr>
        <w:t xml:space="preserve">OBJECT</w:t>
      </w:r>
      <w:r>
        <w:rPr>
          <w:rStyle w:val="NormalTok"/>
        </w:rPr>
        <w:t xml:space="preserve">:</w:t>
      </w:r>
      <w:r>
        <w:rPr>
          <w:rStyle w:val="CharTok"/>
        </w:rPr>
        <w:t xml:space="preserve">:dbo</w:t>
      </w:r>
      <w:r>
        <w:rPr>
          <w:rStyle w:val="NormalTok"/>
        </w:rPr>
        <w:t xml:space="preserve">.TrainingItems</w:t>
      </w:r>
      <w:r>
        <w:br/>
      </w:r>
      <w:r>
        <w:rPr>
          <w:rStyle w:val="KeywordTok"/>
        </w:rPr>
        <w:t xml:space="preserve">TO</w:t>
      </w:r>
      <w:r>
        <w:rPr>
          <w:rStyle w:val="NormalTok"/>
        </w:rPr>
        <w:t xml:space="preserve"> [</w:t>
      </w:r>
      <w:r>
        <w:rPr>
          <w:rStyle w:val="OperatorTok"/>
        </w:rPr>
        <w:t xml:space="preserve">&lt;</w:t>
      </w:r>
      <w:r>
        <w:rPr>
          <w:rStyle w:val="NormalTok"/>
        </w:rPr>
        <w:t xml:space="preserve">actual</w:t>
      </w:r>
      <w:r>
        <w:rPr>
          <w:rStyle w:val="OperatorTok"/>
        </w:rPr>
        <w:t xml:space="preserve">-</w:t>
      </w:r>
      <w:r>
        <w:rPr>
          <w:rStyle w:val="KeywordTok"/>
        </w:rPr>
        <w:t xml:space="preserve">managed</w:t>
      </w:r>
      <w:r>
        <w:rPr>
          <w:rStyle w:val="OperatorTok"/>
        </w:rPr>
        <w:t xml:space="preserve">-</w:t>
      </w:r>
      <w:r>
        <w:rPr>
          <w:rStyle w:val="NormalTok"/>
        </w:rPr>
        <w:t xml:space="preserve">identity</w:t>
      </w:r>
      <w:r>
        <w:rPr>
          <w:rStyle w:val="OperatorTok"/>
        </w:rPr>
        <w:t xml:space="preserve">-</w:t>
      </w:r>
      <w:r>
        <w:rPr>
          <w:rStyle w:val="NormalTok"/>
        </w:rPr>
        <w:t xml:space="preserve">name</w:t>
      </w:r>
      <w:r>
        <w:rPr>
          <w:rStyle w:val="OperatorTok"/>
        </w:rPr>
        <w:t xml:space="preserve">&gt;</w:t>
      </w:r>
      <w:r>
        <w:rPr>
          <w:rStyle w:val="NormalTok"/>
        </w:rPr>
        <w:t xml:space="preserve">];</w:t>
      </w:r>
    </w:p>
    <w:p>
      <w:pPr>
        <w:pStyle w:val="Compact"/>
        <w:numPr>
          <w:ilvl w:val="0"/>
          <w:numId w:val="1012"/>
        </w:numPr>
      </w:pPr>
      <w:r>
        <w:t xml:space="preserve">Verify the data endpoint succeeds again. If access never failed, another grant or role may provide SELECT: inspect permissions with the administrator rather than adding DENY or removing unrelated permissions.</w:t>
      </w:r>
    </w:p>
    <w:p>
      <w:pPr>
        <w:pStyle w:val="Compact"/>
        <w:numPr>
          <w:ilvl w:val="0"/>
          <w:numId w:val="1012"/>
        </w:numPr>
      </w:pPr>
      <w:r>
        <w:t xml:space="preserve">Explain what changed: authentication stayed the same; SQL authorisation changed. This is not an Azure IAM Contributor test.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 3 acceptance evidence</w:t>
            </w:r>
          </w:p>
        </w:tc>
        <w:tc>
          <w:tcPr/>
          <w:p>
            <w:pPr>
              <w:pStyle w:val="Compact"/>
            </w:pPr>
            <w:r>
              <w:t xml:space="preserve">Learner result</w:t>
            </w:r>
          </w:p>
        </w:tc>
      </w:tr>
      <w:tr>
        <w:tc>
          <w:tcPr/>
          <w:p>
            <w:pPr>
              <w:pStyle w:val="Compact"/>
            </w:pPr>
            <w:r>
              <w:t xml:space="preserve">SQL server/database created or assigned; pricing recorded</w:t>
            </w:r>
          </w:p>
        </w:tc>
        <w:tc>
          <w:tcPr/>
          <w:p>
            <w:pPr>
              <w:pStyle w:val="Compact"/>
            </w:pPr>
          </w:p>
        </w:tc>
      </w:tr>
      <w:tr>
        <w:tc>
          <w:tcPr/>
          <w:p>
            <w:pPr>
              <w:pStyle w:val="Compact"/>
            </w:pPr>
            <w:r>
              <w:t xml:space="preserve">App and plan created or assigned; network route approved</w:t>
            </w:r>
          </w:p>
        </w:tc>
        <w:tc>
          <w:tcPr/>
          <w:p>
            <w:pPr>
              <w:pStyle w:val="Compact"/>
            </w:pPr>
          </w:p>
        </w:tc>
      </w:tr>
      <w:tr>
        <w:tc>
          <w:tcPr/>
          <w:p>
            <w:pPr>
              <w:pStyle w:val="Compact"/>
            </w:pPr>
            <w:r>
              <w:t xml:space="preserve">System identity enabled; principal ID recorded</w:t>
            </w:r>
          </w:p>
        </w:tc>
        <w:tc>
          <w:tcPr/>
          <w:p>
            <w:pPr>
              <w:pStyle w:val="Compact"/>
            </w:pPr>
          </w:p>
        </w:tc>
      </w:tr>
      <w:tr>
        <w:tc>
          <w:tcPr/>
          <w:p>
            <w:pPr>
              <w:pStyle w:val="Compact"/>
            </w:pPr>
            <w:r>
              <w:t xml:space="preserve">External SQL user and table-level SELECT verified</w:t>
            </w:r>
          </w:p>
        </w:tc>
        <w:tc>
          <w:tcPr/>
          <w:p>
            <w:pPr>
              <w:pStyle w:val="Compact"/>
            </w:pPr>
          </w:p>
        </w:tc>
      </w:tr>
      <w:tr>
        <w:tc>
          <w:tcPr/>
          <w:p>
            <w:pPr>
              <w:pStyle w:val="Compact"/>
            </w:pPr>
            <w:r>
              <w:t xml:space="preserve">Real Azure connection setting saved without passwords</w:t>
            </w:r>
          </w:p>
        </w:tc>
        <w:tc>
          <w:tcPr/>
          <w:p>
            <w:pPr>
              <w:pStyle w:val="Compact"/>
            </w:pPr>
          </w:p>
        </w:tc>
      </w:tr>
      <w:tr>
        <w:tc>
          <w:tcPr/>
          <w:p>
            <w:pPr>
              <w:pStyle w:val="Compact"/>
            </w:pPr>
            <w:r>
              <w:t xml:space="preserve">Published application deployed to intended target</w:t>
            </w:r>
          </w:p>
        </w:tc>
        <w:tc>
          <w:tcPr/>
          <w:p>
            <w:pPr>
              <w:pStyle w:val="Compact"/>
            </w:pPr>
          </w:p>
        </w:tc>
      </w:tr>
      <w:tr>
        <w:tc>
          <w:tcPr/>
          <w:p>
            <w:pPr>
              <w:pStyle w:val="Compact"/>
            </w:pPr>
            <w:r>
              <w:t xml:space="preserve">Health and database-backed response both successful</w:t>
            </w:r>
          </w:p>
        </w:tc>
        <w:tc>
          <w:tcPr/>
          <w:p>
            <w:pPr>
              <w:pStyle w:val="Compact"/>
            </w:pPr>
          </w:p>
        </w:tc>
      </w:tr>
      <w:tr>
        <w:tc>
          <w:tcPr/>
          <w:p>
            <w:pPr>
              <w:pStyle w:val="Compact"/>
            </w:pPr>
            <w:r>
              <w:t xml:space="preserve">Permission-removal test and recovery, or documented shared-resource restriction</w:t>
            </w:r>
          </w:p>
        </w:tc>
        <w:tc>
          <w:tcPr/>
          <w:p>
            <w:pPr>
              <w:pStyle w:val="Compact"/>
            </w:pPr>
          </w:p>
        </w:tc>
      </w:tr>
      <w:tr>
        <w:tc>
          <w:tcPr/>
          <w:p>
            <w:pPr>
              <w:pStyle w:val="Compact"/>
            </w:pPr>
            <w:r>
              <w:t xml:space="preserve">Restart preserves working configuration</w:t>
            </w:r>
          </w:p>
        </w:tc>
        <w:tc>
          <w:tcPr/>
          <w:p>
            <w:pPr>
              <w:pStyle w:val="Compact"/>
            </w:pPr>
          </w:p>
        </w:tc>
      </w:tr>
      <w:tr>
        <w:tc>
          <w:tcPr/>
          <w:p>
            <w:pPr>
              <w:pStyle w:val="Compact"/>
            </w:pPr>
            <w:r>
              <w:t xml:space="preserve">Cleanup ownership and deadline agreed</w:t>
            </w:r>
          </w:p>
        </w:tc>
        <w:tc>
          <w:tcPr/>
          <w:p>
            <w:pPr>
              <w:pStyle w:val="Compact"/>
            </w:pPr>
          </w:p>
        </w:tc>
      </w:tr>
    </w:tbl>
    <w:bookmarkEnd w:id="22"/>
    <w:bookmarkEnd w:id="23"/>
    <w:bookmarkStart w:id="24" w:name="completion-record-and-cleanup"/>
    <w:p>
      <w:pPr>
        <w:pStyle w:val="Heading1"/>
      </w:pPr>
      <w:r>
        <w:t xml:space="preserve">Completion record and cleanup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Your observation</w:t>
            </w:r>
          </w:p>
        </w:tc>
      </w:tr>
      <w:tr>
        <w:tc>
          <w:tcPr/>
          <w:p>
            <w:pPr>
              <w:pStyle w:val="Compact"/>
            </w:pPr>
            <w:r>
              <w:t xml:space="preserve">Subscription/group/region and actual resource names</w:t>
            </w:r>
          </w:p>
        </w:tc>
        <w:tc>
          <w:tcPr/>
          <w:p>
            <w:pPr>
              <w:pStyle w:val="Compact"/>
            </w:pPr>
          </w:p>
        </w:tc>
      </w:tr>
      <w:tr>
        <w:tc>
          <w:tcPr/>
          <w:p>
            <w:pPr>
              <w:pStyle w:val="Compact"/>
            </w:pPr>
            <w:r>
              <w:t xml:space="preserve">Expected result and actual result</w:t>
            </w:r>
          </w:p>
        </w:tc>
        <w:tc>
          <w:tcPr/>
          <w:p>
            <w:pPr>
              <w:pStyle w:val="Compact"/>
            </w:pPr>
          </w:p>
        </w:tc>
      </w:tr>
      <w:tr>
        <w:tc>
          <w:tcPr/>
          <w:p>
            <w:pPr>
              <w:pStyle w:val="Compact"/>
            </w:pPr>
            <w:r>
              <w:t xml:space="preserve">Log/table/metric, time range and evidence</w:t>
            </w:r>
          </w:p>
        </w:tc>
        <w:tc>
          <w:tcPr/>
          <w:p>
            <w:pPr>
              <w:pStyle w:val="Compact"/>
            </w:pPr>
          </w:p>
        </w:tc>
      </w:tr>
      <w:tr>
        <w:tc>
          <w:tcPr/>
          <w:p>
            <w:pPr>
              <w:pStyle w:val="Compact"/>
            </w:pPr>
            <w:r>
              <w:t xml:space="preserve">Identity, role/scope and network restrictions</w:t>
            </w:r>
          </w:p>
        </w:tc>
        <w:tc>
          <w:tcPr/>
          <w:p>
            <w:pPr>
              <w:pStyle w:val="Compact"/>
            </w:pPr>
          </w:p>
        </w:tc>
      </w:tr>
      <w:tr>
        <w:tc>
          <w:tcPr/>
          <w:p>
            <w:pPr>
              <w:pStyle w:val="Compact"/>
            </w:pPr>
            <w:r>
              <w:t xml:space="preserve">Idle/usage/logging cost driver</w:t>
            </w:r>
          </w:p>
        </w:tc>
        <w:tc>
          <w:tcPr/>
          <w:p>
            <w:pPr>
              <w:pStyle w:val="Compact"/>
            </w:pPr>
          </w:p>
        </w:tc>
      </w:tr>
      <w:tr>
        <w:tc>
          <w:tcPr/>
          <w:p>
            <w:pPr>
              <w:pStyle w:val="Compact"/>
            </w:pPr>
            <w:r>
              <w:t xml:space="preserve">Cleanup or retention owner/deadline</w:t>
            </w:r>
          </w:p>
        </w:tc>
        <w:tc>
          <w:tcPr/>
          <w:p>
            <w:pPr>
              <w:pStyle w:val="Compact"/>
            </w:pPr>
          </w:p>
        </w:tc>
      </w:tr>
    </w:tbl>
    <w:p>
      <w:pPr>
        <w:pStyle w:val="BodyText"/>
      </w:pPr>
      <w:r>
        <w:t xml:space="preserve">Only mark a lab passed after its functional checkpoint. A deployment success or empty error table alone is not proof. Mark blocked permissions honestly.</w:t>
      </w:r>
    </w:p>
    <w:p>
      <w:pPr>
        <w:pStyle w:val="BodyText"/>
      </w:pPr>
      <w:r>
        <w:t xml:space="preserve">Clean up only your own disposable objects; removing a diagnostic setting does not erase retained logs, and stopping an app does not stop every cost. Follow Lab 13 in the main guide. Keep secrets/customer information out of evidence.</w:t>
      </w:r>
    </w:p>
    <w:p>
      <w:pPr>
        <w:pStyle w:val="BodyText"/>
      </w:pPr>
      <w:r>
        <w:t>Verification scope: these instructions and Word file structure were reviewed. Automated Word pagination could not be completed; preview before printing. Azure execution, prices, policy, permissions, plan/runtime availability and portal labels require instructor rehearsal in the actual training subscription.</w:t>
      </w:r>
    </w:p>
    <w:bookmarkEnd w:id="24"/>
    <w:sectPr>
      <w:headerReference w:type="default" r:id="rId10"/>
      <w:footerReference w:type="default" r:id="rId11"/>
      <w:footnotePr>
        <w:numRestart w:val="eachSect"/>
      </w:footnotePr>
      <w:pgSz w:w="11909" w:h="16834"/>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Attendee handout v2 | Reviewed 26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Azure beginner service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5A9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5A9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5A9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https://learn.microsoft.com/azure/azure-sql/database/sql-database-paas-overview"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learn.microsoft.com/azure/azure-sql/database/sql-database-paa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SQL and App Service: passwordless access</dc:title>
  <dc:creator>LBS | Attendee edition v2 | 26 October 2026</dc:creator>
  <cp:keywords/>
  <dcterms:created xsi:type="dcterms:W3CDTF">2026-10-26T12:58:41Z</dcterms:created>
  <dcterms:modified xsi:type="dcterms:W3CDTF">2026-10-26T12:58:41Z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Portal-first beginner hands-on lab</vt:lpwstr>
  </property>
</Properties>
</file>