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Entra, RBAC, service principals and Key Vault</w:t>
      </w:r>
    </w:p>
    <w:p>
      <w:pPr>
        <w:pStyle w:val="Subtitle"/>
      </w:pPr>
      <w:r>
        <w:t xml:space="preserve">Portal-first beginner hands-on lab</w:t>
      </w:r>
    </w:p>
    <w:p>
      <w:pPr>
        <w:pStyle w:val="Author"/>
      </w:pPr>
      <w:r>
        <w:t xml:space="preserve">LBS | Attendee edition v2 | 26 October 2026</w:t>
      </w:r>
    </w:p>
    <w:bookmarkStart w:id="15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use the instructor-approved sandbox, group, region, tiers and spending limit. Create only your own disposable resources. The walkthrough uses fictional data. No cloud resource is created by reading this document.</w:t>
      </w:r>
    </w:p>
    <w:p>
      <w:pPr>
        <w:pStyle w:val="BodyText"/>
      </w:pPr>
      <w:r>
        <w:t>Materials: copy Labs\AppServiceSqlSample locally when the lab needs the .NET sample. Complete its setup from 02_Windows_And_Local_SQL_Setup.docx. Do not repeat resource creation if you already completed the same lab in the main guide.</w:t>
      </w:r>
    </w:p>
    <w:p>
      <w:pPr>
        <w:pStyle w:val="BodyText"/>
      </w:pPr>
      <w:r>
        <w:rPr>
          <w:b/>
          <w:bCs/>
        </w:rPr>
        <w:t xml:space="preserve">Admin assistance:</w:t>
      </w:r>
      <w:r>
        <w:t xml:space="preserve"> </w:t>
      </w:r>
      <w:r>
        <w:t xml:space="preserve">Contributor does not automatically grant IAM role assignment, SQL SELECT, Blob data access or Service Bus data access. Have the authorised administrator perform only the privileged step. Never bypass policy.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Learning flow" title="" id="10" name="Picture"/>
            <a:graphic>
              <a:graphicData uri="http://schemas.openxmlformats.org/drawingml/2006/picture">
                <pic:pic>
                  <pic:nvPicPr>
                    <pic:cNvPr descr="C:/Users/meeta/.copilot/session-state/c1d00187-5587-4c8b-bc3b-c0b6e8c45760/files/Entra_RBAC_Managed_Identity_Portal_La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flow</w:t>
      </w:r>
    </w:p>
    <w:bookmarkStart w:id="14" w:name="X6840b5ff1388b0889f3cf068008ea553eeac617"/>
    <w:p>
      <w:pPr>
        <w:pStyle w:val="Heading2"/>
      </w:pPr>
      <w:r>
        <w:t>Entra ID, RBAC, service principals and managed identity</w:t>
      </w:r>
    </w:p>
    <w:p>
      <w:pPr/>
      <w:r>
        <w:t>What: Microsoft Entra ID authenticates identities. Azure role-based access control (RBAC) authorises Azure operations through role assignments: principal + role + scope, with applicable conditions/policies. Service principal (SP) is an application’s identity in a tenant. An app registration defines application configuration; it is not the same object as its enterprise application’s service principal.</w:t>
      </w:r>
    </w:p>
    <w:p>
      <w:pPr>
        <w:pStyle w:val="FirstParagraph"/>
      </w:pPr>
      <w:r>
        <w:rPr>
          <w:b/>
          <w:bCs/>
        </w:rPr>
        <w:t xml:space="preserve">Why/when:</w:t>
      </w:r>
      <w:r>
        <w:t xml:space="preserve"> </w:t>
      </w:r>
      <w:r>
        <w:t xml:space="preserve">people, deployed applications and deployment pipelines need different permissions. Distinguishing those identities avoids giving runtime code administrator credentials.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identify the calling principal and target operation; choose the narrowest suitable role/scope; have an authorised administrator assign it; test and remove temporary access. Managed identity lets Azure manage an application’s credential lifecycle. Follow Lab 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Example identity</w:t>
            </w:r>
          </w:p>
        </w:tc>
        <w:tc>
          <w:tcPr/>
          <w:p>
            <w:pPr>
              <w:pStyle w:val="Compact"/>
            </w:pPr>
            <w:r>
              <w:t xml:space="preserve">Needs access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Training Entra user</w:t>
            </w:r>
          </w:p>
        </w:tc>
        <w:tc>
          <w:tcPr/>
          <w:p>
            <w:pPr>
              <w:pStyle w:val="Compact"/>
            </w:pPr>
            <w:r>
              <w:t xml:space="preserve">Tools and permitted lab resources/data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API runtime</w:t>
            </w:r>
          </w:p>
        </w:tc>
        <w:tc>
          <w:tcPr/>
          <w:p>
            <w:pPr>
              <w:pStyle w:val="Compact"/>
            </w:pPr>
            <w:r>
              <w:t xml:space="preserve">App Service managed identity</w:t>
            </w:r>
          </w:p>
        </w:tc>
        <w:tc>
          <w:tcPr/>
          <w:p>
            <w:pPr>
              <w:pStyle w:val="Compact"/>
            </w:pPr>
            <w:r>
              <w:t xml:space="preserve">Required SQL/Blob/queue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runtime</w:t>
            </w:r>
          </w:p>
        </w:tc>
        <w:tc>
          <w:tcPr/>
          <w:p>
            <w:pPr>
              <w:pStyle w:val="Compact"/>
            </w:pPr>
            <w:r>
              <w:t xml:space="preserve">Function App managed identity</w:t>
            </w:r>
          </w:p>
        </w:tc>
        <w:tc>
          <w:tcPr/>
          <w:p>
            <w:pPr>
              <w:pStyle w:val="Compact"/>
            </w:pPr>
            <w:r>
              <w:t xml:space="preserve">Queue receive and required Blob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Federated service principal</w:t>
            </w:r>
          </w:p>
        </w:tc>
        <w:tc>
          <w:tcPr/>
          <w:p>
            <w:pPr>
              <w:pStyle w:val="Compact"/>
            </w:pPr>
            <w:r>
              <w:t xml:space="preserve">Deploy to assigned web app, not blanket business-data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“Who are you?”</w:t>
      </w:r>
      <w:r>
        <w:t xml:space="preserve"> </w:t>
      </w:r>
      <w:r>
        <w:rPr>
          <w:b/>
          <w:bCs/>
        </w:rPr>
        <w:t xml:space="preserve">Authorisation:</w:t>
      </w:r>
      <w:r>
        <w:t xml:space="preserve"> </w:t>
      </w:r>
      <w:r>
        <w:t xml:space="preserve">“May you perform this operation on this resource?”</w:t>
      </w:r>
      <w:r>
        <w:t xml:space="preserve"> </w:t>
      </w:r>
      <w:r>
        <w:t xml:space="preserve">Azure management RBAC and data access are distinct. SQL additionally requires its own users/grants. Role assignment propagation is not always immediate.</w:t>
      </w:r>
    </w:p>
    <w:p>
      <w:pPr>
        <w:pStyle w:val="BodyText"/>
      </w:pPr>
      <w:r>
        <w:rPr>
          <w:b/>
          <w:bCs/>
        </w:rPr>
        <w:t xml:space="preserve">Tips and traps:</w:t>
      </w:r>
      <w:r>
        <w:t xml:space="preserve"> </w:t>
      </w:r>
      <w:r>
        <w:t xml:space="preserve">never grant Owner merely to fix a 403. Contributor normally cannot assign roles. Object IDs, client IDs and tenant IDs are different identifiers, not interchangeable. System-assigned identity lifecycle follows its resource; deleting/recreating the app can change the principal. A function key authenticates possession of a shared secret, not a human’s Entra identity. Use workload federation for pipelines instead of long-lived client secrets.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hyperlink r:id="rId12">
        <w:r>
          <w:rPr>
            <w:rStyle w:val="Hyperlink"/>
          </w:rPr>
          <w:t xml:space="preserve">https://learn.microsoft.com/entra/fundamentals/what-is-entra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https://learn.microsoft.com/azure/role-based-access-control/overview</w:t>
        </w:r>
      </w:hyperlink>
    </w:p>
    <w:bookmarkEnd w:id="14"/>
    <w:bookmarkEnd w:id="15"/>
    <w:bookmarkStart w:id="20" w:name="X4897a3c18d5c4a62816974b2206f980056de18d"/>
    <w:p>
      <w:pPr>
        <w:pStyle w:val="Heading1"/>
      </w:pPr>
      <w:r>
        <w:t xml:space="preserve">Lab 4 | Entra ID, RBAC, service principals and Key Vault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45 minutes.</w:t>
      </w:r>
      <w:r>
        <w:t xml:space="preserve"> </w:t>
      </w:r>
      <w:r>
        <w:rPr>
          <w:b/>
          <w:bCs/>
        </w:rPr>
        <w:t xml:space="preserve">Needs:</w:t>
      </w:r>
      <w:r>
        <w:t xml:space="preserve"> </w:t>
      </w:r>
      <w:r>
        <w:t xml:space="preserve">delegated admin actions where noted.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Key Vault operations may bill.</w:t>
      </w:r>
    </w:p>
    <w:bookmarkStart w:id="16" w:name="Xe7dd7bcc3b1695efe17be1d6773177e98410fac"/>
    <w:p>
      <w:pPr>
        <w:pStyle w:val="Heading2"/>
      </w:pPr>
      <w:r>
        <w:t xml:space="preserve">4A. Inspect control-plane and data-plane permissions</w:t>
      </w:r>
    </w:p>
    <w:p>
      <w:pPr>
        <w:pStyle w:val="Compact"/>
        <w:numPr>
          <w:ilvl w:val="0"/>
          <w:numId w:val="1001"/>
        </w:numPr>
      </w:pPr>
      <w:r>
        <w:t xml:space="preserve">On your resource group, open</w:t>
      </w:r>
      <w:r>
        <w:t xml:space="preserve"> </w:t>
      </w:r>
      <w:r>
        <w:rPr>
          <w:b/>
          <w:bCs/>
        </w:rPr>
        <w:t xml:space="preserve">Access control (IAM) &gt; View my access</w:t>
      </w:r>
      <w:r>
        <w:t xml:space="preserve">. Record your role and scope.</w:t>
      </w:r>
    </w:p>
    <w:p>
      <w:pPr>
        <w:pStyle w:val="Compact"/>
        <w:numPr>
          <w:ilvl w:val="0"/>
          <w:numId w:val="1001"/>
        </w:numPr>
      </w:pPr>
      <w:r>
        <w:t xml:space="preserve">On the web app, inspect its system-assigned identity. It represents the application, not your personal login.</w:t>
      </w:r>
    </w:p>
    <w:p>
      <w:pPr>
        <w:pStyle w:val="Compact"/>
        <w:numPr>
          <w:ilvl w:val="0"/>
          <w:numId w:val="1001"/>
        </w:numPr>
      </w:pPr>
      <w:r>
        <w:t xml:space="preserve">In the Entra portal, locate</w:t>
      </w:r>
      <w:r>
        <w:t xml:space="preserve"> </w:t>
      </w:r>
      <w:r>
        <w:rPr>
          <w:b/>
          <w:bCs/>
        </w:rPr>
        <w:t xml:space="preserve">App registrations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applications</w:t>
      </w:r>
      <w:r>
        <w:t xml:space="preserve">. An app registration describes an application; its service principal represents it in a tenant. A managed identity is a special service principal managed by Azure.</w:t>
      </w:r>
    </w:p>
    <w:p>
      <w:pPr>
        <w:pStyle w:val="Compact"/>
        <w:numPr>
          <w:ilvl w:val="0"/>
          <w:numId w:val="1001"/>
        </w:numPr>
      </w:pPr>
      <w:r>
        <w:t xml:space="preserve">Explain why Contributor can manage a Service Bus namespace but cannot necessarily send a message, and why Azure SQL management access does not grant SELECT.</w:t>
      </w:r>
    </w:p>
    <w:p>
      <w:pPr>
        <w:pStyle w:val="Compact"/>
        <w:numPr>
          <w:ilvl w:val="0"/>
          <w:numId w:val="1001"/>
        </w:numPr>
      </w:pPr>
      <w:r>
        <w:t xml:space="preserve">If authorised, create an app registration named</w:t>
      </w:r>
      <w:r>
        <w:t xml:space="preserve"> </w:t>
      </w:r>
      <w:r>
        <w:rPr>
          <w:rStyle w:val="VerbatimChar"/>
        </w:rPr>
        <w:t xml:space="preserve">lbs-lab-&lt;suffix&gt;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accounts in this organisational directory only</w:t>
      </w:r>
      <w:r>
        <w:t xml:space="preserve"> </w:t>
      </w:r>
      <w:r>
        <w:t xml:space="preserve">and no redirect URI. Record Application (client) ID, Directory (tenant) ID and its enterprise application’s object ID. Do not create a client secret or grant tenant-wide API consent.</w:t>
      </w:r>
    </w:p>
    <w:p>
      <w:pPr>
        <w:pStyle w:val="Compact"/>
        <w:numPr>
          <w:ilvl w:val="0"/>
          <w:numId w:val="1001"/>
        </w:numPr>
      </w:pPr>
      <w:r>
        <w:t xml:space="preserve">Otherwise inspect an instructor-provided registration. Tenant restrictions are expected, not an invitation to bypass controls.</w:t>
      </w:r>
    </w:p>
    <w:bookmarkEnd w:id="16"/>
    <w:bookmarkStart w:id="17" w:name="Xca67bb3e81efe878b44687753a2a39296fe6aae"/>
    <w:p>
      <w:pPr>
        <w:pStyle w:val="Heading2"/>
      </w:pPr>
      <w:r>
        <w:t xml:space="preserve">4B. Key Vault: replace a stored configuration value</w:t>
      </w:r>
    </w:p>
    <w:p>
      <w:pPr>
        <w:pStyle w:val="Compact"/>
        <w:numPr>
          <w:ilvl w:val="0"/>
          <w:numId w:val="1002"/>
        </w:numPr>
      </w:pPr>
      <w:r>
        <w:t xml:space="preserve">In the portal create</w:t>
      </w:r>
      <w:r>
        <w:t xml:space="preserve"> </w:t>
      </w:r>
      <w:r>
        <w:rPr>
          <w:rStyle w:val="VerbatimChar"/>
        </w:rPr>
        <w:t xml:space="preserve">kv-lbs-&lt;suffix&gt;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Azure RBAC</w:t>
      </w:r>
      <w:r>
        <w:t xml:space="preserve"> </w:t>
      </w:r>
      <w:r>
        <w:t xml:space="preserve">permission model and approved network settings. Select the instructor-approved tier.</w:t>
      </w:r>
    </w:p>
    <w:p>
      <w:pPr>
        <w:pStyle w:val="Compact"/>
        <w:numPr>
          <w:ilvl w:val="0"/>
          <w:numId w:val="1002"/>
        </w:numPr>
      </w:pPr>
      <w:r>
        <w:t xml:space="preserve">An authorised role administrator assigns your learner identity</w:t>
      </w:r>
      <w:r>
        <w:t xml:space="preserve"> </w:t>
      </w:r>
      <w:r>
        <w:rPr>
          <w:b/>
          <w:bCs/>
        </w:rPr>
        <w:t xml:space="preserve">Key Vault Secrets Officer</w:t>
      </w:r>
      <w:r>
        <w:t xml:space="preserve"> </w:t>
      </w:r>
      <w:r>
        <w:t xml:space="preserve">at this vault for the exercise. Resource Contributor alone does not let you write secret values.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Objects &gt; Secrets &gt; Generate/Import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LabGreeting</w:t>
      </w:r>
      <w:r>
        <w:t xml:space="preserve"> </w:t>
      </w:r>
      <w:r>
        <w:t xml:space="preserve">with a fictional value such as</w:t>
      </w:r>
      <w:r>
        <w:t xml:space="preserve"> </w:t>
      </w:r>
      <w:r>
        <w:rPr>
          <w:rStyle w:val="VerbatimChar"/>
        </w:rPr>
        <w:t xml:space="preserve">LBS training only</w:t>
      </w:r>
      <w:r>
        <w:t xml:space="preserve">. Do not use a real password.</w:t>
      </w:r>
    </w:p>
    <w:p>
      <w:pPr>
        <w:pStyle w:val="Compact"/>
        <w:numPr>
          <w:ilvl w:val="0"/>
          <w:numId w:val="1002"/>
        </w:numPr>
      </w:pPr>
      <w:r>
        <w:t xml:space="preserve">The role administrator assigns the web app’s managed identity</w:t>
      </w:r>
      <w:r>
        <w:t xml:space="preserve"> </w:t>
      </w:r>
      <w:r>
        <w:rPr>
          <w:b/>
          <w:bCs/>
        </w:rPr>
        <w:t xml:space="preserve">Key Vault Secrets User</w:t>
      </w:r>
      <w:r>
        <w:t xml:space="preserve"> </w:t>
      </w:r>
      <w:r>
        <w:t xml:space="preserve">at the vault scope. Wait for role propagation.</w:t>
      </w:r>
    </w:p>
    <w:p>
      <w:pPr>
        <w:pStyle w:val="Compact"/>
        <w:numPr>
          <w:ilvl w:val="0"/>
          <w:numId w:val="1002"/>
        </w:numPr>
      </w:pPr>
      <w:r>
        <w:t xml:space="preserve">Copy the secret’s</w:t>
      </w:r>
      <w:r>
        <w:t xml:space="preserve"> </w:t>
      </w:r>
      <w:r>
        <w:rPr>
          <w:b/>
          <w:bCs/>
        </w:rPr>
        <w:t xml:space="preserve">versionless</w:t>
      </w:r>
      <w:r>
        <w:t xml:space="preserve"> </w:t>
      </w:r>
      <w:r>
        <w:t xml:space="preserve">URI, shaped like</w:t>
      </w:r>
      <w:r>
        <w:t xml:space="preserve"> </w:t>
      </w:r>
      <w:r>
        <w:rPr>
          <w:rStyle w:val="VerbatimChar"/>
        </w:rPr>
        <w:t xml:space="preserve">https://&lt;vault&gt;.vault.azure.net/secrets/LabGreeting/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Add an App Service application setting</w:t>
      </w:r>
      <w:r>
        <w:t xml:space="preserve"> </w:t>
      </w:r>
      <w:r>
        <w:rPr>
          <w:rStyle w:val="VerbatimChar"/>
        </w:rPr>
        <w:t xml:space="preserve">LabGreeting</w:t>
      </w:r>
      <w:r>
        <w:t xml:space="preserve"> </w:t>
      </w:r>
      <w:r>
        <w:t xml:space="preserve">with a Key Vault reference:</w:t>
      </w:r>
    </w:p>
    <w:p>
      <w:pPr>
        <w:pStyle w:val="SourceCode"/>
      </w:pPr>
      <w:r>
        <w:rPr>
          <w:rStyle w:val="VerbatimChar"/>
        </w:rPr>
        <w:t xml:space="preserve">@Microsoft.KeyVault(SecretUri=https://&lt;vault&gt;.vault.azure.net/secrets/LabGreeting/)</w:t>
      </w:r>
    </w:p>
    <w:p>
      <w:pPr>
        <w:pStyle w:val="Compact"/>
        <w:numPr>
          <w:ilvl w:val="0"/>
          <w:numId w:val="1003"/>
        </w:numPr>
      </w:pPr>
      <w:r>
        <w:t xml:space="preserve">Save and inspect the reference’s resolution status in App Service. It may take time or a configuration refresh. Both identity permissions and network access must succeed.</w:t>
      </w:r>
    </w:p>
    <w:p>
      <w:pPr>
        <w:pStyle w:val="FirstParagraph"/>
      </w:pPr>
      <w:r>
        <w:t xml:space="preserve">The existing sample does not read</w:t>
      </w:r>
      <w:r>
        <w:t xml:space="preserve"> </w:t>
      </w:r>
      <w:r>
        <w:rPr>
          <w:rStyle w:val="VerbatimChar"/>
        </w:rPr>
        <w:t xml:space="preserve">LabGreeting</w:t>
      </w:r>
      <w:r>
        <w:t xml:space="preserve">; this task verifies reference resolution, not an application response change. A managed identity removes the need to store credentials to access the vault.</w:t>
      </w:r>
    </w:p>
    <w:bookmarkEnd w:id="17"/>
    <w:bookmarkStart w:id="18" w:name="X5b8d6c9c584630c231de4adf6de8c9b8c8c11a5"/>
    <w:p>
      <w:pPr>
        <w:pStyle w:val="Heading2"/>
      </w:pPr>
      <w:r>
        <w:t xml:space="preserve">4C. Assign and remove a service-principal role (hands-on)</w:t>
      </w:r>
    </w:p>
    <w:p>
      <w:pPr>
        <w:pStyle w:val="Compact"/>
        <w:numPr>
          <w:ilvl w:val="0"/>
          <w:numId w:val="1004"/>
        </w:numPr>
      </w:pPr>
      <w:r>
        <w:t xml:space="preserve">Use the single-tenant app registration created in 4A. Open</w:t>
      </w:r>
      <w:r>
        <w:t xml:space="preserve"> </w:t>
      </w:r>
      <w:r>
        <w:rPr>
          <w:b/>
          <w:bCs/>
        </w:rPr>
        <w:t xml:space="preserve">Enterprise applications</w:t>
      </w:r>
      <w:r>
        <w:t xml:space="preserve"> </w:t>
      </w:r>
      <w:r>
        <w:t xml:space="preserve">and find its matching service principal by Application ID. Record its object ID; it differs from the app registration object’s ID.</w:t>
      </w:r>
    </w:p>
    <w:p>
      <w:pPr>
        <w:pStyle w:val="Compact"/>
        <w:numPr>
          <w:ilvl w:val="0"/>
          <w:numId w:val="1004"/>
        </w:numPr>
      </w:pPr>
      <w:r>
        <w:t xml:space="preserve">An authorised role administrator opens your</w:t>
      </w:r>
      <w:r>
        <w:t xml:space="preserve"> </w:t>
      </w:r>
      <w:r>
        <w:rPr>
          <w:b/>
          <w:bCs/>
        </w:rPr>
        <w:t xml:space="preserve">training resource group &gt; Access control (IAM) &gt; Add role assignment</w:t>
      </w:r>
      <w:r>
        <w:t xml:space="preserve">, selects</w:t>
      </w:r>
      <w:r>
        <w:t xml:space="preserve"> </w:t>
      </w:r>
      <w:r>
        <w:rPr>
          <w:b/>
          <w:bCs/>
        </w:rPr>
        <w:t xml:space="preserve">Reader</w:t>
      </w:r>
      <w:r>
        <w:t xml:space="preserve">, then</w:t>
      </w:r>
      <w:r>
        <w:t xml:space="preserve"> </w:t>
      </w:r>
      <w:r>
        <w:rPr>
          <w:b/>
          <w:bCs/>
        </w:rPr>
        <w:t xml:space="preserve">User, group, or service principal</w:t>
      </w:r>
      <w:r>
        <w:t xml:space="preserve">, and selects this exact service principal.</w:t>
      </w:r>
    </w:p>
    <w:p>
      <w:pPr>
        <w:pStyle w:val="Compact"/>
        <w:numPr>
          <w:ilvl w:val="0"/>
          <w:numId w:val="1004"/>
        </w:numPr>
      </w:pPr>
      <w:r>
        <w:t xml:space="preserve">Review the assignment scope: it must be your disposable resource group, not the subscription. Save and locate the assignment in</w:t>
      </w:r>
      <w:r>
        <w:t xml:space="preserve"> </w:t>
      </w:r>
      <w:r>
        <w:rPr>
          <w:b/>
          <w:bCs/>
        </w:rPr>
        <w:t xml:space="preserve">Role assignments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From Azure CLI run</w:t>
      </w:r>
      <w:r>
        <w:t xml:space="preserve"> </w:t>
      </w:r>
      <w:r>
        <w:rPr>
          <w:rStyle w:val="VerbatimChar"/>
        </w:rPr>
        <w:t xml:space="preserve">az role assignment list --scope "&lt;actual-resource-group-resource-id&gt;" --all --query "[?principalId=='&lt;actual-service-principal-object-id&gt;'].{Role:roleDefinitionName,Scope:scope,Principal:principalId}" -o table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Record Reader and the expected scope. This inspects an assignment; it does not prove the principal has authenticated or received a token. Federated workload sign-in is exercised in Lab 12E.</w:t>
      </w:r>
    </w:p>
    <w:p>
      <w:pPr>
        <w:pStyle w:val="Compact"/>
        <w:numPr>
          <w:ilvl w:val="0"/>
          <w:numId w:val="1004"/>
        </w:numPr>
      </w:pPr>
      <w:r>
        <w:t xml:space="preserve">Have the role administrator remove this temporary Reader assignment after inspection. Do not delete the service principal yet if you will reuse it for the pipeline.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demonstrate an assignment and removal at a narrowly defined scope without generating a client secret.</w:t>
      </w:r>
    </w:p>
    <w:bookmarkEnd w:id="18"/>
    <w:bookmarkStart w:id="19" w:name="Xeaccc7e4fabd902e0165c3f06619e223bf1dfdd"/>
    <w:p>
      <w:pPr>
        <w:pStyle w:val="Heading2"/>
      </w:pPr>
      <w:r>
        <w:t xml:space="preserve">4D. Rotate the fictional Key Vault value (hands-on)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LabGreeting</w:t>
      </w:r>
      <w:r>
        <w:t xml:space="preserve"> </w:t>
      </w:r>
      <w:r>
        <w:t xml:space="preserve">in the vault and choose</w:t>
      </w:r>
      <w:r>
        <w:t xml:space="preserve"> </w:t>
      </w:r>
      <w:r>
        <w:rPr>
          <w:b/>
          <w:bCs/>
        </w:rPr>
        <w:t xml:space="preserve">New version</w:t>
      </w:r>
      <w:r>
        <w:t xml:space="preserve">. Save</w:t>
      </w:r>
      <w:r>
        <w:t xml:space="preserve"> </w:t>
      </w:r>
      <w:r>
        <w:rPr>
          <w:rStyle w:val="VerbatimChar"/>
        </w:rPr>
        <w:t xml:space="preserve">LBS training version 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Verify both versions exist and the versionless URI did not change. Do not disable the old version until you understand whether a consumer uses a versioned URI.</w:t>
      </w:r>
    </w:p>
    <w:p>
      <w:pPr>
        <w:pStyle w:val="Compact"/>
        <w:numPr>
          <w:ilvl w:val="0"/>
          <w:numId w:val="1005"/>
        </w:numPr>
      </w:pPr>
      <w:r>
        <w:t xml:space="preserve">Refresh the Key Vault reference using the supported portal refresh action where available, or apply a harmless approved app configuration change to trigger reference refresh. Restarting alone is not a universal guarantee that every cached reference refreshes immediately.</w:t>
      </w:r>
    </w:p>
    <w:p>
      <w:pPr>
        <w:pStyle w:val="Compact"/>
        <w:numPr>
          <w:ilvl w:val="0"/>
          <w:numId w:val="1005"/>
        </w:numPr>
      </w:pPr>
      <w:r>
        <w:t xml:space="preserve">Verify the App Service reference reports resolution success. The sample still does not display</w:t>
      </w:r>
      <w:r>
        <w:t xml:space="preserve"> </w:t>
      </w:r>
      <w:r>
        <w:rPr>
          <w:rStyle w:val="VerbatimChar"/>
        </w:rPr>
        <w:t xml:space="preserve">LabGreeting</w:t>
      </w:r>
      <w:r>
        <w:t xml:space="preserve">; do not claim a changed API output.</w:t>
      </w:r>
    </w:p>
    <w:p>
      <w:pPr>
        <w:pStyle w:val="Compact"/>
        <w:numPr>
          <w:ilvl w:val="0"/>
          <w:numId w:val="1005"/>
        </w:numPr>
      </w:pPr>
      <w:r>
        <w:t xml:space="preserve">Record the version identifiers only. Do not put secret values into the lab evidence.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describe authentication versus authorisation and show a resolved Key Vault reference (or document the exact blocked permission). Do not grant Owner to applications.</w:t>
      </w:r>
    </w:p>
    <w:bookmarkEnd w:id="19"/>
    <w:bookmarkEnd w:id="20"/>
    <w:bookmarkStart w:id="23" w:name="Xb8ba6d532f3861b53ac1377b2267b7dc5178036"/>
    <w:p>
      <w:pPr>
        <w:pStyle w:val="Heading1"/>
      </w:pPr>
      <w:r>
        <w:t xml:space="preserve">Lab 19 | Portal security baseline without administrator shortcuts</w:t>
      </w:r>
    </w:p>
    <w:p>
      <w:pPr>
        <w:pStyle w:val="FirstParagraph"/>
      </w:pPr>
      <w:r>
        <w:rPr>
          <w:b/>
          <w:bCs/>
        </w:rPr>
        <w:t xml:space="preserve">What/why:</w:t>
      </w:r>
      <w:r>
        <w:t xml:space="preserve"> </w:t>
      </w:r>
      <w:r>
        <w:t xml:space="preserve">practise inspecting exposure and least privilege before a cloud application is handed to others.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read access to own resources; changes only with instructor approval. No penetration testing, secret harvesting or tenant-wide role changes.</w:t>
      </w:r>
    </w:p>
    <w:p>
      <w:pPr>
        <w:pStyle w:val="Compact"/>
        <w:numPr>
          <w:ilvl w:val="0"/>
          <w:numId w:val="1006"/>
        </w:numPr>
      </w:pPr>
      <w:r>
        <w:t xml:space="preserve">Open your web app</w:t>
      </w:r>
      <w:r>
        <w:t xml:space="preserve"> </w:t>
      </w:r>
      <w:r>
        <w:rPr>
          <w:b/>
          <w:bCs/>
        </w:rPr>
        <w:t xml:space="preserve">Configuration / General settings</w:t>
      </w:r>
      <w:r>
        <w:t xml:space="preserve"> </w:t>
      </w:r>
      <w:r>
        <w:t xml:space="preserve">and inspect</w:t>
      </w:r>
      <w:r>
        <w:t xml:space="preserve"> </w:t>
      </w:r>
      <w:r>
        <w:rPr>
          <w:b/>
          <w:bCs/>
        </w:rPr>
        <w:t xml:space="preserve">HTTPS Only</w:t>
      </w:r>
      <w:r>
        <w:t xml:space="preserve"> </w:t>
      </w:r>
      <w:r>
        <w:t xml:space="preserve">and minimum inbound TLS. Enable HTTPS-only and an approved TLS minimum on your disposable app if not already set.</w:t>
      </w:r>
    </w:p>
    <w:p>
      <w:pPr>
        <w:pStyle w:val="Compact"/>
        <w:numPr>
          <w:ilvl w:val="0"/>
          <w:numId w:val="1006"/>
        </w:numPr>
      </w:pPr>
      <w:r>
        <w:t xml:space="preserve">Inspect web app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. The sample is a training API, not an authenticated customer portal. Record that gap; do not expose real data or assume managed identity secures browser users.</w:t>
      </w:r>
    </w:p>
    <w:p>
      <w:pPr>
        <w:pStyle w:val="Compact"/>
        <w:numPr>
          <w:ilvl w:val="0"/>
          <w:numId w:val="1006"/>
        </w:numPr>
      </w:pPr>
      <w:r>
        <w:t xml:space="preserve">Inspect App Service identity and its actual data permissions. Confirm runtime identity is not granted Owner or unnecessary deployment permissions.</w:t>
      </w:r>
    </w:p>
    <w:p>
      <w:pPr>
        <w:pStyle w:val="Compact"/>
        <w:numPr>
          <w:ilvl w:val="0"/>
          <w:numId w:val="1006"/>
        </w:numPr>
      </w:pPr>
      <w:r>
        <w:t xml:space="preserve">On Storage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, confirm anonymous blob access is disabled, secure transfer is required and TLS follows policy. On the container confirm private access.</w:t>
      </w:r>
    </w:p>
    <w:p>
      <w:pPr>
        <w:pStyle w:val="Compact"/>
        <w:numPr>
          <w:ilvl w:val="0"/>
          <w:numId w:val="1006"/>
        </w:numPr>
      </w:pPr>
      <w:r>
        <w:t xml:space="preserve">On Storage/SQL/Service Bus/Key Vault</w:t>
      </w:r>
      <w:r>
        <w:t xml:space="preserve"> </w:t>
      </w:r>
      <w:r>
        <w:rPr>
          <w:b/>
          <w:bCs/>
        </w:rPr>
        <w:t xml:space="preserve">Networking</w:t>
      </w:r>
      <w:r>
        <w:t xml:space="preserve">, record public/private access and why the current route is permitted. Do not disable public access until the replacement route is verified: that can break the lab.</w:t>
      </w:r>
    </w:p>
    <w:p>
      <w:pPr>
        <w:pStyle w:val="Compact"/>
        <w:numPr>
          <w:ilvl w:val="0"/>
          <w:numId w:val="1006"/>
        </w:numPr>
      </w:pPr>
      <w:r>
        <w:t xml:space="preserve">On Key Vault inspect the RBAC permission model and soft-delete/purge-protection settings. Do not enable irreversible retention controls just to complete a checkbox; review the implications with the instructor.</w:t>
      </w:r>
    </w:p>
    <w:p>
      <w:pPr>
        <w:pStyle w:val="Compact"/>
        <w:numPr>
          <w:ilvl w:val="0"/>
          <w:numId w:val="1006"/>
        </w:numPr>
      </w:pPr>
      <w:r>
        <w:t xml:space="preserve">On the group</w:t>
      </w:r>
      <w:r>
        <w:t xml:space="preserve"> </w:t>
      </w:r>
      <w:r>
        <w:rPr>
          <w:b/>
          <w:bCs/>
        </w:rPr>
        <w:t xml:space="preserve">IAM</w:t>
      </w:r>
      <w:r>
        <w:t xml:space="preserve">, inspect direct and inherited assignments where your access permits. Record which assignments are needed for development, deployment and runtime. Do not remove inherited organisational roles.</w:t>
      </w:r>
    </w:p>
    <w:p>
      <w:pPr>
        <w:pStyle w:val="Compact"/>
        <w:numPr>
          <w:ilvl w:val="0"/>
          <w:numId w:val="1006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Microsoft Defender for Cloud &gt; Recommendations</w:t>
      </w:r>
      <w:r>
        <w:t xml:space="preserve">, inspect available recommendations for your own resources if permitted. Do not enable paid Defender plans or accept all recommendations automatically.</w:t>
      </w:r>
    </w:p>
    <w:p>
      <w:pPr>
        <w:pStyle w:val="Compact"/>
        <w:numPr>
          <w:ilvl w:val="0"/>
          <w:numId w:val="1006"/>
        </w:numPr>
      </w:pPr>
      <w:r>
        <w:t xml:space="preserve">Inspect</w:t>
      </w:r>
      <w:r>
        <w:t xml:space="preserve"> </w:t>
      </w:r>
      <w:r>
        <w:rPr>
          <w:b/>
          <w:bCs/>
        </w:rPr>
        <w:t xml:space="preserve">Azure Policy &gt; Compliance</w:t>
      </w:r>
      <w:r>
        <w:t xml:space="preserve"> </w:t>
      </w:r>
      <w:r>
        <w:t xml:space="preserve">at the permitted scope. Record one policy’s purpose/status, or mark not applicable if none is assigned. Do not create an exemption to bypass a blocked deployment.</w:t>
      </w:r>
    </w:p>
    <w:p>
      <w:pPr>
        <w:pStyle w:val="Compact"/>
        <w:numPr>
          <w:ilvl w:val="0"/>
          <w:numId w:val="1006"/>
        </w:numPr>
      </w:pPr>
      <w:r>
        <w:t xml:space="preserve">Review source/Git ignore rules locally: no secrets, publish profiles, local Functions settings, real documents or sensitive log exports. Do not paste discovered secrets into evidence.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a baseline checklist with pass/gap/not applicable, owner and next action. A portal green status is not certification that an application is secure.</w:t>
      </w:r>
    </w:p>
    <w:p>
      <w:pPr>
        <w:pStyle w:val="BodyText"/>
      </w:pPr>
      <w:r>
        <w:rPr>
          <w:b/>
          <w:bCs/>
        </w:rPr>
        <w:t xml:space="preserve">Monitoring:</w:t>
      </w:r>
      <w:r>
        <w:t xml:space="preserve"> </w:t>
      </w:r>
      <w:r>
        <w:t xml:space="preserve">distinguish platform security recommendations from application exceptions and audit trails.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paid security plans require explicit approval.</w:t>
      </w:r>
      <w:r>
        <w:t xml:space="preserve"> </w:t>
      </w:r>
      <w:r>
        <w:rPr>
          <w:b/>
          <w:bCs/>
        </w:rPr>
        <w:t xml:space="preserve">Cleanup:</w:t>
      </w:r>
      <w:r>
        <w:t xml:space="preserve"> </w:t>
      </w:r>
      <w:r>
        <w:t xml:space="preserve">remove only your temporary test access using an authorised role administrator; retain required security controls.</w:t>
      </w:r>
    </w:p>
    <w:p>
      <w:pPr>
        <w:pStyle w:val="BodyText"/>
      </w:pPr>
      <w:r>
        <w:t xml:space="preserve">References:</w:t>
      </w:r>
      <w:r>
        <w:t xml:space="preserve"> </w:t>
      </w:r>
      <w:hyperlink r:id="rId21">
        <w:r>
          <w:rPr>
            <w:rStyle w:val="Hyperlink"/>
          </w:rPr>
          <w:t xml:space="preserve">https://learn.microsoft.com/azure/security/fundamentals/overview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https://learn.microsoft.com/azure/governance/policy/overview</w:t>
        </w:r>
      </w:hyperlink>
    </w:p>
    <w:bookmarkEnd w:id="23"/>
    <w:bookmarkStart w:id="24" w:name="completion-record-and-cleanup"/>
    <w:p>
      <w:pPr>
        <w:pStyle w:val="Heading1"/>
      </w:pPr>
      <w:r>
        <w:t xml:space="preserve">Completion record and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Your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Subscription/group/region and actual resource names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result and actual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Log/table/metric, time range and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Identity, role/scope and network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Idle/usage/logging cost driver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Cleanup or retention owner/deadline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mark a lab passed after its functional checkpoint. A deployment success or empty error table alone is not proof. Mark blocked permissions honestly.</w:t>
      </w:r>
    </w:p>
    <w:p>
      <w:pPr>
        <w:pStyle w:val="BodyText"/>
      </w:pPr>
      <w:r>
        <w:t xml:space="preserve">Clean up only your own disposable objects; removing a diagnostic setting does not erase retained logs, and stopping an app does not stop every cost. Follow Lab 13 in the main guide. Keep secrets/customer information out of evidence.</w:t>
      </w:r>
    </w:p>
    <w:p>
      <w:pPr>
        <w:pStyle w:val="BodyText"/>
      </w:pPr>
      <w:r>
        <w:t>Verification scope: these instructions and Word file structure were reviewed. Automated Word pagination could not be completed; preview before printing. Azure execution, prices, policy, permissions, plan/runtime availability and portal labels require instructor rehearsal in the actual training subscription.</w:t>
      </w:r>
    </w:p>
    <w:bookmarkEnd w:id="24"/>
    <w:sectPr>
      <w:headerReference w:type="default" r:id="rId10"/>
      <w:footerReference w:type="default" r:id="rId11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handout v2 | Reviewed 26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beginner service lab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https://learn.microsoft.com/azure/governance/policy/overview" TargetMode="External"/><Relationship Id="rId13" Type="http://schemas.openxmlformats.org/officeDocument/2006/relationships/hyperlink" Target="https://learn.microsoft.com/azure/role-based-access-control/overview" TargetMode="External"/><Relationship Id="rId21" Type="http://schemas.openxmlformats.org/officeDocument/2006/relationships/hyperlink" Target="https://learn.microsoft.com/azure/security/fundamentals/overview" TargetMode="External"/><Relationship Id="rId12" Type="http://schemas.openxmlformats.org/officeDocument/2006/relationships/hyperlink" Target="https://learn.microsoft.com/entra/fundamentals/what-is-entra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learn.microsoft.com/azure/governance/policy/overview" TargetMode="External"/><Relationship Id="rId13" Type="http://schemas.openxmlformats.org/officeDocument/2006/relationships/hyperlink" Target="https://learn.microsoft.com/azure/role-based-access-control/overview" TargetMode="External"/><Relationship Id="rId21" Type="http://schemas.openxmlformats.org/officeDocument/2006/relationships/hyperlink" Target="https://learn.microsoft.com/azure/security/fundamentals/overview" TargetMode="External"/><Relationship Id="rId12" Type="http://schemas.openxmlformats.org/officeDocument/2006/relationships/hyperlink" Target="https://learn.microsoft.com/entra/fundamentals/what-is-en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Entra, RBAC, service principals and Key Vault</dc:title>
  <dc:creator>LBS | Attendee edition v2 | 26 October 2026</dc:creator>
  <cp:keywords/>
  <dcterms:created xsi:type="dcterms:W3CDTF">2026-10-26T12:58:45Z</dcterms:created>
  <dcterms:modified xsi:type="dcterms:W3CDTF">2026-10-26T12:58:45Z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Portal-first beginner hands-on lab</vt:lpwstr>
  </property>
</Properties>
</file>