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KQL: first query to troubleshooting evidence</w:t>
      </w:r>
    </w:p>
    <w:p>
      <w:pPr>
        <w:pStyle w:val="Subtitle"/>
      </w:pPr>
      <w:r>
        <w:t xml:space="preserve">Portal-first beginner hands-on lab</w:t>
      </w:r>
    </w:p>
    <w:p>
      <w:pPr>
        <w:pStyle w:val="Author"/>
      </w:pPr>
      <w:r>
        <w:t xml:space="preserve">LBS | Attendee edition v2 | 26 October 2026</w:t>
      </w:r>
    </w:p>
    <w:bookmarkStart w:id="14" w:name="before-you-start"/>
    <w:p>
      <w:pPr>
        <w:pStyle w:val="Heading1"/>
      </w:pPr>
      <w:r>
        <w:t xml:space="preserve">Before you start</w:t>
      </w:r>
    </w:p>
    <w:p>
      <w:pPr>
        <w:pStyle w:val="FirstParagraph"/>
      </w:pPr>
      <w:r>
        <w:rPr>
          <w:b/>
          <w:bCs/>
        </w:rPr>
        <w:t xml:space="preserve">Environment:</w:t>
      </w:r>
      <w:r>
        <w:t xml:space="preserve"> </w:t>
      </w:r>
      <w:r>
        <w:t xml:space="preserve">use the instructor-approved sandbox, group, region, tiers and spending limit. Create only your own disposable resources. The walkthrough uses fictional data. No cloud resource is created by reading this document.</w:t>
      </w:r>
    </w:p>
    <w:p>
      <w:pPr>
        <w:pStyle w:val="BodyText"/>
      </w:pPr>
      <w:r>
        <w:t>Materials: copy Labs\AppServiceSqlSample locally when the lab needs the .NET sample. Complete its setup from 02_Windows_And_Local_SQL_Setup.docx. Do not repeat resource creation if you already completed the same lab in the main guide.</w:t>
      </w:r>
    </w:p>
    <w:p>
      <w:pPr>
        <w:pStyle w:val="BodyText"/>
      </w:pPr>
      <w:r>
        <w:rPr>
          <w:b/>
          <w:bCs/>
        </w:rPr>
        <w:t xml:space="preserve">Admin assistance:</w:t>
      </w:r>
      <w:r>
        <w:t xml:space="preserve"> </w:t>
      </w:r>
      <w:r>
        <w:t xml:space="preserve">Contributor does not automatically grant IAM role assignment, SQL SELECT, Blob data access or Service Bus data access. Have the authorised administrator perform only the privileged step. Never bypass policy.</w:t>
      </w:r>
    </w:p>
    <w:p>
      <w:pPr>
        <w:pStyle w:val="CaptionedFigure"/>
      </w:pPr>
      <w:r>
        <w:drawing>
          <wp:inline>
            <wp:extent cx="5334000" cy="1529080"/>
            <wp:effectExtent b="0" l="0" r="0" t="0"/>
            <wp:docPr descr="Learning flow" title="" id="10" name="Picture"/>
            <a:graphic>
              <a:graphicData uri="http://schemas.openxmlformats.org/drawingml/2006/picture">
                <pic:pic>
                  <pic:nvPicPr>
                    <pic:cNvPr descr="C:/Users/meeta/.copilot/session-state/c1d00187-5587-4c8b-bc3b-c0b6e8c45760/files/KQL_Beginner_Hands_O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9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Learning flow</w:t>
      </w:r>
    </w:p>
    <w:bookmarkStart w:id="13" w:name="Xafca50fe6e456ff0d49fc6ea7d86d22fce112e2"/>
    <w:p>
      <w:pPr>
        <w:pStyle w:val="Heading2"/>
      </w:pPr>
      <w:r>
        <w:t>KQL | Ask questions of telemetry</w:t>
      </w:r>
    </w:p>
    <w:p>
      <w:pPr/>
      <w:r>
        <w:t>What: Kusto Query Language is a read-oriented query language used by Azure Monitor Logs and other products. A pipeline takes a table and applies operators such as where, project, summarize and order by.</w:t>
      </w:r>
    </w:p>
    <w:p>
      <w:pPr>
        <w:pStyle w:val="FirstParagraph"/>
      </w:pPr>
      <w:r>
        <w:rPr>
          <w:b/>
          <w:bCs/>
        </w:rPr>
        <w:t xml:space="preserve">Why/when:</w:t>
      </w:r>
      <w:r>
        <w:t xml:space="preserve"> </w:t>
      </w:r>
      <w:r>
        <w:t xml:space="preserve">quickly filter a failure period, count errors or compare durations without writing an application. It is not T-SQL and is not used here to update business database rows.</w:t>
      </w:r>
    </w:p>
    <w:p>
      <w:pPr>
        <w:pStyle w:val="BodyText"/>
      </w:pPr>
      <w:r>
        <w:rPr>
          <w:b/>
          <w:bCs/>
        </w:rPr>
        <w:t xml:space="preserve">How:</w:t>
      </w:r>
      <w:r>
        <w:t xml:space="preserve"> </w:t>
      </w:r>
      <w:r>
        <w:t xml:space="preserve">select a workspace/time range, inspect a table, filter time and your resource first, then project/group only the needed columns. Follow Lab 8.</w:t>
      </w:r>
    </w:p>
    <w:p>
      <w:pPr>
        <w:pStyle w:val="BodyText"/>
      </w:pPr>
      <w:r>
        <w:rPr>
          <w:b/>
          <w:bCs/>
        </w:rPr>
        <w:t xml:space="preserve">Read this aloud:</w:t>
      </w:r>
      <w:r>
        <w:t xml:space="preserve"> </w:t>
      </w:r>
      <w:r>
        <w:rPr>
          <w:rStyle w:val="VerbatimChar"/>
        </w:rPr>
        <w:t xml:space="preserve">AppRequests | where TimeGenerated &gt; ago(1h) | take 10</w:t>
      </w:r>
      <w:r>
        <w:t xml:space="preserve"> </w:t>
      </w:r>
      <w:r>
        <w:t xml:space="preserve">means</w:t>
      </w:r>
      <w:r>
        <w:t xml:space="preserve"> </w:t>
      </w:r>
      <w:r>
        <w:t xml:space="preserve">“start with stored request telemetry, keep the last hour, return up to ten rows.”</w:t>
      </w:r>
    </w:p>
    <w:p>
      <w:pPr>
        <w:pStyle w:val="BodyText"/>
      </w:pPr>
      <w:r>
        <w:rPr>
          <w:b/>
          <w:bCs/>
        </w:rPr>
        <w:t xml:space="preserve">Tips and traps:</w:t>
      </w:r>
      <w:r>
        <w:t xml:space="preserve"> </w:t>
      </w:r>
      <w:r>
        <w:t xml:space="preserve">KQL is case-sensitive in many places.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compares strings case-sensitively;</w:t>
      </w:r>
      <w:r>
        <w:t xml:space="preserve"> </w:t>
      </w:r>
      <w:r>
        <w:rPr>
          <w:rStyle w:val="VerbatimChar"/>
        </w:rPr>
        <w:t xml:space="preserve">=~</w:t>
      </w:r>
      <w:r>
        <w:t xml:space="preserve"> </w:t>
      </w:r>
      <w:r>
        <w:t xml:space="preserve">is case-insensitive. Use</w:t>
      </w:r>
      <w:r>
        <w:t xml:space="preserve"> </w:t>
      </w:r>
      <w:r>
        <w:rPr>
          <w:rStyle w:val="VerbatimChar"/>
        </w:rPr>
        <w:t xml:space="preserve">has</w:t>
      </w:r>
      <w:r>
        <w:t xml:space="preserve"> </w:t>
      </w:r>
      <w:r>
        <w:t xml:space="preserve">for term matching where suitable, and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 </w:t>
      </w:r>
      <w:r>
        <w:t xml:space="preserve">for substring matching. A count of stored rows is not necessarily a total request count under sampling. Filter early; avoid an unbounded search of every table.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12">
        <w:r>
          <w:rPr>
            <w:rStyle w:val="Hyperlink"/>
          </w:rPr>
          <w:t xml:space="preserve">https://learn.microsoft.com/kusto/query/tutorials/learn-common-operators</w:t>
        </w:r>
      </w:hyperlink>
    </w:p>
    <w:bookmarkEnd w:id="13"/>
    <w:bookmarkEnd w:id="14"/>
    <w:bookmarkStart w:id="22" w:name="X3435ad0cd35de9ddf3eee14285ae552dfa9abe0"/>
    <w:p>
      <w:pPr>
        <w:pStyle w:val="Heading1"/>
      </w:pPr>
      <w:r>
        <w:t xml:space="preserve">Lab 8 | KQL investigation and troubleshooting (core)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75-90 minutes.</w:t>
      </w:r>
      <w:r>
        <w:t xml:space="preserve"> </w:t>
      </w:r>
      <w:r>
        <w:rPr>
          <w:b/>
          <w:bCs/>
        </w:rPr>
        <w:t xml:space="preserve">Needs:</w:t>
      </w:r>
      <w:r>
        <w:t xml:space="preserve"> </w:t>
      </w:r>
      <w:r>
        <w:t xml:space="preserve">Lab 7, query access and generated traffic.</w:t>
      </w:r>
    </w:p>
    <w:p>
      <w:pPr>
        <w:pStyle w:val="BodyText"/>
      </w:pPr>
      <w:r>
        <w:t xml:space="preserve">These queries use</w:t>
      </w:r>
      <w:r>
        <w:t xml:space="preserve"> </w:t>
      </w:r>
      <w:r>
        <w:rPr>
          <w:b/>
          <w:bCs/>
        </w:rPr>
        <w:t xml:space="preserve">Log Analytics workspace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AppDependencies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AppExceptions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AppTraces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TimeGenerated</w:t>
      </w:r>
      <w:r>
        <w:t xml:space="preserve">. Application Insights resource-context queries can instead use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. Do not mix their column names. If tables are missing, inspect the selected workspace and connected resource.</w:t>
      </w:r>
    </w:p>
    <w:bookmarkStart w:id="15" w:name="a.-find-requests-and-identify-your-app"/>
    <w:p>
      <w:pPr>
        <w:pStyle w:val="Heading2"/>
      </w:pPr>
      <w:r>
        <w:t xml:space="preserve">8A. Find requests and identify your app</w:t>
      </w:r>
    </w:p>
    <w:p>
      <w:pPr>
        <w:pStyle w:val="SourceCode"/>
      </w:pPr>
      <w:r>
        <w:rPr>
          <w:rStyle w:val="VerbatimChar"/>
        </w:rPr>
        <w:t xml:space="preserve">AppRequests</w:t>
      </w:r>
      <w:r>
        <w:br/>
      </w:r>
      <w:r>
        <w:rPr>
          <w:rStyle w:val="VerbatimChar"/>
        </w:rPr>
        <w:t xml:space="preserve">| where TimeGenerated &gt; ago(2h)</w:t>
      </w:r>
      <w:r>
        <w:br/>
      </w:r>
      <w:r>
        <w:rPr>
          <w:rStyle w:val="VerbatimChar"/>
        </w:rPr>
        <w:t xml:space="preserve">| project TimeGenerated, AppRoleName, Name, ResultCode,</w:t>
      </w:r>
      <w:r>
        <w:br/>
      </w:r>
      <w:r>
        <w:rPr>
          <w:rStyle w:val="VerbatimChar"/>
        </w:rPr>
        <w:t xml:space="preserve">          Success, DurationMs, OperationId, _ResourceId</w:t>
      </w:r>
      <w:r>
        <w:br/>
      </w:r>
      <w:r>
        <w:rPr>
          <w:rStyle w:val="VerbatimChar"/>
        </w:rPr>
        <w:t xml:space="preserve">| order by TimeGenerated desc</w:t>
      </w:r>
      <w:r>
        <w:br/>
      </w:r>
      <w:r>
        <w:rPr>
          <w:rStyle w:val="VerbatimChar"/>
        </w:rPr>
        <w:t xml:space="preserve">| take 50</w:t>
      </w:r>
    </w:p>
    <w:p>
      <w:pPr>
        <w:pStyle w:val="FirstParagraph"/>
      </w:pPr>
      <w:r>
        <w:t xml:space="preserve">Select a row from your app. In a shared workspace, add</w:t>
      </w:r>
      <w:r>
        <w:t xml:space="preserve"> </w:t>
      </w:r>
      <w:r>
        <w:rPr>
          <w:rStyle w:val="VerbatimChar"/>
        </w:rPr>
        <w:t xml:space="preserve">| where AppRoleName == "&lt;actual-role-name&gt;"</w:t>
      </w:r>
      <w:r>
        <w:t xml:space="preserve"> </w:t>
      </w:r>
      <w:r>
        <w:t xml:space="preserve">or filter</w:t>
      </w:r>
      <w:r>
        <w:t xml:space="preserve"> </w:t>
      </w:r>
      <w:r>
        <w:rPr>
          <w:rStyle w:val="VerbatimChar"/>
        </w:rPr>
        <w:t xml:space="preserve">_ResourceId</w:t>
      </w:r>
      <w:r>
        <w:t xml:space="preserve"> </w:t>
      </w:r>
      <w:r>
        <w:t xml:space="preserve">to your Application Insights resource ID immediately after the time filter in every relevant query. Do not read other learners’ telemetry unnecessarily.</w:t>
      </w:r>
    </w:p>
    <w:bookmarkEnd w:id="15"/>
    <w:bookmarkStart w:id="16" w:name="Xb69a3798c8477027a4396a578d5c8b6d6398311"/>
    <w:p>
      <w:pPr>
        <w:pStyle w:val="Heading2"/>
      </w:pPr>
      <w:r>
        <w:t xml:space="preserve">8B. Request volume, failure count and latency</w:t>
      </w:r>
    </w:p>
    <w:p>
      <w:pPr>
        <w:pStyle w:val="SourceCode"/>
      </w:pPr>
      <w:r>
        <w:rPr>
          <w:rStyle w:val="VerbatimChar"/>
        </w:rPr>
        <w:t xml:space="preserve">AppRequests</w:t>
      </w:r>
      <w:r>
        <w:br/>
      </w:r>
      <w:r>
        <w:rPr>
          <w:rStyle w:val="VerbatimChar"/>
        </w:rPr>
        <w:t xml:space="preserve">| where TimeGenerated &gt; ago(2h)</w:t>
      </w:r>
      <w:r>
        <w:br/>
      </w:r>
      <w:r>
        <w:rPr>
          <w:rStyle w:val="VerbatimChar"/>
        </w:rPr>
        <w:t xml:space="preserve">| summarize SampledRows=count(),</w:t>
      </w:r>
      <w:r>
        <w:br/>
      </w:r>
      <w:r>
        <w:rPr>
          <w:rStyle w:val="VerbatimChar"/>
        </w:rPr>
        <w:t xml:space="preserve">            FailedRows=countif(Success == false),</w:t>
      </w:r>
      <w:r>
        <w:br/>
      </w:r>
      <w:r>
        <w:rPr>
          <w:rStyle w:val="VerbatimChar"/>
        </w:rPr>
        <w:t xml:space="preserve">            P95Ms=percentile(DurationMs, 95)</w:t>
      </w:r>
      <w:r>
        <w:br/>
      </w:r>
      <w:r>
        <w:rPr>
          <w:rStyle w:val="VerbatimChar"/>
        </w:rPr>
        <w:t xml:space="preserve">            by bin(TimeGenerated, 5m)</w:t>
      </w:r>
      <w:r>
        <w:br/>
      </w:r>
      <w:r>
        <w:rPr>
          <w:rStyle w:val="VerbatimChar"/>
        </w:rPr>
        <w:t xml:space="preserve">| order by TimeGenerated asc</w:t>
      </w:r>
    </w:p>
    <w:p>
      <w:pPr>
        <w:pStyle w:val="FirstParagraph"/>
      </w:pPr>
      <w:r>
        <w:t xml:space="preserve">These are stored-row counts, not guaranteed total traffic counts when sampling is enabled. For an approximate represented total, inspect and sum</w:t>
      </w:r>
      <w:r>
        <w:t xml:space="preserve"> </w:t>
      </w:r>
      <w:r>
        <w:rPr>
          <w:rStyle w:val="VerbatimChar"/>
        </w:rPr>
        <w:t xml:space="preserve">ItemCount</w:t>
      </w:r>
      <w:r>
        <w:t xml:space="preserve">; do not label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 </w:t>
      </w:r>
      <w:r>
        <w:t xml:space="preserve">as all production requests without checking sampling.</w:t>
      </w:r>
    </w:p>
    <w:bookmarkEnd w:id="16"/>
    <w:bookmarkStart w:id="17" w:name="c.-find-sql-dependencies"/>
    <w:p>
      <w:pPr>
        <w:pStyle w:val="Heading2"/>
      </w:pPr>
      <w:r>
        <w:t xml:space="preserve">8C. Find SQL dependencies</w:t>
      </w:r>
    </w:p>
    <w:p>
      <w:pPr>
        <w:pStyle w:val="SourceCode"/>
      </w:pPr>
      <w:r>
        <w:rPr>
          <w:rStyle w:val="VerbatimChar"/>
        </w:rPr>
        <w:t xml:space="preserve">AppDependencies</w:t>
      </w:r>
      <w:r>
        <w:br/>
      </w:r>
      <w:r>
        <w:rPr>
          <w:rStyle w:val="VerbatimChar"/>
        </w:rPr>
        <w:t xml:space="preserve">| where TimeGenerated &gt; ago(2h)</w:t>
      </w:r>
      <w:r>
        <w:br/>
      </w:r>
      <w:r>
        <w:rPr>
          <w:rStyle w:val="VerbatimChar"/>
        </w:rPr>
        <w:t xml:space="preserve">| where DependencyType contains "SQL"</w:t>
      </w:r>
      <w:r>
        <w:br/>
      </w:r>
      <w:r>
        <w:rPr>
          <w:rStyle w:val="VerbatimChar"/>
        </w:rPr>
        <w:t xml:space="preserve">| project TimeGenerated, Name, Target, Success,</w:t>
      </w:r>
      <w:r>
        <w:br/>
      </w:r>
      <w:r>
        <w:rPr>
          <w:rStyle w:val="VerbatimChar"/>
        </w:rPr>
        <w:t xml:space="preserve">          DurationMs, OperationId</w:t>
      </w:r>
      <w:r>
        <w:br/>
      </w:r>
      <w:r>
        <w:rPr>
          <w:rStyle w:val="VerbatimChar"/>
        </w:rPr>
        <w:t xml:space="preserve">| order by DurationMs desc</w:t>
      </w:r>
      <w:r>
        <w:br/>
      </w:r>
      <w:r>
        <w:rPr>
          <w:rStyle w:val="VerbatimChar"/>
        </w:rPr>
        <w:t xml:space="preserve">| take 20</w:t>
      </w:r>
    </w:p>
    <w:p>
      <w:pPr>
        <w:pStyle w:val="FirstParagraph"/>
      </w:pPr>
      <w:r>
        <w:t xml:space="preserve">No rows may mean the API did not call SQL, the instrumentation does not collect the dependency, the time filter is wrong, or ingestion is delayed. Do not infer</w:t>
      </w:r>
      <w:r>
        <w:t xml:space="preserve"> </w:t>
      </w:r>
      <w:r>
        <w:t xml:space="preserve">“SQL is healthy”</w:t>
      </w:r>
      <w:r>
        <w:t xml:space="preserve"> </w:t>
      </w:r>
      <w:r>
        <w:t xml:space="preserve">from an empty table.</w:t>
      </w:r>
    </w:p>
    <w:bookmarkEnd w:id="17"/>
    <w:bookmarkStart w:id="18" w:name="d.-exceptions"/>
    <w:p>
      <w:pPr>
        <w:pStyle w:val="Heading2"/>
      </w:pPr>
      <w:r>
        <w:t xml:space="preserve">8D. Exceptions</w:t>
      </w:r>
    </w:p>
    <w:p>
      <w:pPr>
        <w:pStyle w:val="SourceCode"/>
      </w:pPr>
      <w:r>
        <w:rPr>
          <w:rStyle w:val="VerbatimChar"/>
        </w:rPr>
        <w:t xml:space="preserve">AppExceptions</w:t>
      </w:r>
      <w:r>
        <w:br/>
      </w:r>
      <w:r>
        <w:rPr>
          <w:rStyle w:val="VerbatimChar"/>
        </w:rPr>
        <w:t xml:space="preserve">| where TimeGenerated &gt; ago(2h)</w:t>
      </w:r>
      <w:r>
        <w:br/>
      </w:r>
      <w:r>
        <w:rPr>
          <w:rStyle w:val="VerbatimChar"/>
        </w:rPr>
        <w:t xml:space="preserve">| project TimeGenerated, ExceptionType, OuterMessage,</w:t>
      </w:r>
      <w:r>
        <w:br/>
      </w:r>
      <w:r>
        <w:rPr>
          <w:rStyle w:val="VerbatimChar"/>
        </w:rPr>
        <w:t xml:space="preserve">          InnermostMessage, OperationId</w:t>
      </w:r>
      <w:r>
        <w:br/>
      </w:r>
      <w:r>
        <w:rPr>
          <w:rStyle w:val="VerbatimChar"/>
        </w:rPr>
        <w:t xml:space="preserve">| order by TimeGenerated desc</w:t>
      </w:r>
      <w:r>
        <w:br/>
      </w:r>
      <w:r>
        <w:rPr>
          <w:rStyle w:val="VerbatimChar"/>
        </w:rPr>
        <w:t xml:space="preserve">| take 20</w:t>
      </w:r>
    </w:p>
    <w:bookmarkEnd w:id="18"/>
    <w:bookmarkStart w:id="19" w:name="e.-correlate-one-operation"/>
    <w:p>
      <w:pPr>
        <w:pStyle w:val="Heading2"/>
      </w:pPr>
      <w:r>
        <w:t xml:space="preserve">8E. Correlate one operation</w:t>
      </w:r>
    </w:p>
    <w:p>
      <w:pPr>
        <w:pStyle w:val="FirstParagraph"/>
      </w:pPr>
      <w:r>
        <w:t xml:space="preserve">Copy an OperationId from a failed request:</w:t>
      </w:r>
    </w:p>
    <w:p>
      <w:pPr>
        <w:pStyle w:val="SourceCode"/>
      </w:pPr>
      <w:r>
        <w:rPr>
          <w:rStyle w:val="VerbatimChar"/>
        </w:rPr>
        <w:t xml:space="preserve">let operation = "&lt;paste-operation-id&gt;";</w:t>
      </w:r>
      <w:r>
        <w:br/>
      </w:r>
      <w:r>
        <w:rPr>
          <w:rStyle w:val="VerbatimChar"/>
        </w:rPr>
        <w:t xml:space="preserve">union withsource=TableName</w:t>
      </w:r>
      <w:r>
        <w:br/>
      </w:r>
      <w:r>
        <w:rPr>
          <w:rStyle w:val="VerbatimChar"/>
        </w:rPr>
        <w:t xml:space="preserve">    AppRequests, AppDependencies, AppExceptions, AppTraces</w:t>
      </w:r>
      <w:r>
        <w:br/>
      </w:r>
      <w:r>
        <w:rPr>
          <w:rStyle w:val="VerbatimChar"/>
        </w:rPr>
        <w:t xml:space="preserve">| where TimeGenerated &gt; ago(2h)</w:t>
      </w:r>
      <w:r>
        <w:br/>
      </w:r>
      <w:r>
        <w:rPr>
          <w:rStyle w:val="VerbatimChar"/>
        </w:rPr>
        <w:t xml:space="preserve">| where OperationId == operation</w:t>
      </w:r>
      <w:r>
        <w:br/>
      </w:r>
      <w:r>
        <w:rPr>
          <w:rStyle w:val="VerbatimChar"/>
        </w:rPr>
        <w:t xml:space="preserve">| order by TimeGenerated asc</w:t>
      </w:r>
    </w:p>
    <w:p>
      <w:pPr>
        <w:pStyle w:val="FirstParagraph"/>
      </w:pPr>
      <w:r>
        <w:t xml:space="preserve">Explain the sequence: incoming request, SQL dependency, exception, returned response. The sample’s log TraceId is not automatically the same field as every telemetry OperationId; use actual stored correlation values.</w:t>
      </w:r>
    </w:p>
    <w:bookmarkEnd w:id="19"/>
    <w:bookmarkStart w:id="20" w:name="X43ef07f79d443a48922a060452ec7e1758b9472"/>
    <w:p>
      <w:pPr>
        <w:pStyle w:val="Heading2"/>
      </w:pPr>
      <w:r>
        <w:t xml:space="preserve">8F. Controlled failure in your sandbox only</w:t>
      </w:r>
    </w:p>
    <w:p>
      <w:pPr>
        <w:pStyle w:val="Compact"/>
        <w:numPr>
          <w:ilvl w:val="0"/>
          <w:numId w:val="1001"/>
        </w:numPr>
      </w:pPr>
      <w:r>
        <w:t xml:space="preserve">Do this only in your own disposable web app with instructor approval. Never break a shared or production app.</w:t>
      </w:r>
    </w:p>
    <w:p>
      <w:pPr>
        <w:pStyle w:val="Compact"/>
        <w:numPr>
          <w:ilvl w:val="0"/>
          <w:numId w:val="1001"/>
        </w:numPr>
      </w:pPr>
      <w:r>
        <w:t xml:space="preserve">Record the original configuration securely. Temporarily change the app setting’s database name to</w:t>
      </w:r>
      <w:r>
        <w:t xml:space="preserve"> </w:t>
      </w:r>
      <w:r>
        <w:rPr>
          <w:rStyle w:val="VerbatimChar"/>
        </w:rPr>
        <w:t xml:space="preserve">LbsTrainingMissing</w:t>
      </w:r>
      <w:r>
        <w:t xml:space="preserve">, apply and call</w:t>
      </w:r>
      <w:r>
        <w:t xml:space="preserve"> </w:t>
      </w:r>
      <w:r>
        <w:rPr>
          <w:rStyle w:val="VerbatimChar"/>
        </w:rPr>
        <w:t xml:space="preserve">/api/items</w:t>
      </w:r>
      <w:r>
        <w:t xml:space="preserve"> </w:t>
      </w:r>
      <w:r>
        <w:t xml:space="preserve">once.</w:t>
      </w:r>
    </w:p>
    <w:p>
      <w:pPr>
        <w:pStyle w:val="Compact"/>
        <w:numPr>
          <w:ilvl w:val="0"/>
          <w:numId w:val="1001"/>
        </w:numPr>
      </w:pPr>
      <w:r>
        <w:t xml:space="preserve">Restore the original setting immediately, apply, and verify</w:t>
      </w:r>
      <w:r>
        <w:t xml:space="preserve"> </w:t>
      </w:r>
      <w:r>
        <w:rPr>
          <w:rStyle w:val="VerbatimChar"/>
        </w:rPr>
        <w:t xml:space="preserve">/api/items</w:t>
      </w:r>
      <w:r>
        <w:t xml:space="preserve"> </w:t>
      </w:r>
      <w:r>
        <w:t xml:space="preserve">succeeds before investigating.</w:t>
      </w:r>
    </w:p>
    <w:p>
      <w:pPr>
        <w:pStyle w:val="Compact"/>
        <w:numPr>
          <w:ilvl w:val="0"/>
          <w:numId w:val="1001"/>
        </w:numPr>
      </w:pPr>
      <w:r>
        <w:t xml:space="preserve">Find the failed request and related SQL dependency/exception. Record time range, result code, operation ID, cause and verification of recovery.</w:t>
      </w:r>
    </w:p>
    <w:p>
      <w:pPr>
        <w:pStyle w:val="FirstParagraph"/>
      </w:pPr>
      <w:r>
        <w:t xml:space="preserve">If permissions do not permit fault injection, use the instructor’s prepared failure. Do not invent a result if telemetry did not arrive.</w:t>
      </w:r>
    </w:p>
    <w:bookmarkEnd w:id="20"/>
    <w:bookmarkStart w:id="21" w:name="g.-offline-kql-fallback"/>
    <w:p>
      <w:pPr>
        <w:pStyle w:val="Heading2"/>
      </w:pPr>
      <w:r>
        <w:t xml:space="preserve">8G. Offline KQL fallback</w:t>
      </w:r>
    </w:p>
    <w:p>
      <w:pPr>
        <w:pStyle w:val="FirstParagraph"/>
      </w:pPr>
      <w:r>
        <w:t xml:space="preserve">If live application telemetry is unavailable but you have workspace query access, this self-contained query practises filtering and summarising without ingesting data:</w:t>
      </w:r>
    </w:p>
    <w:p>
      <w:pPr>
        <w:pStyle w:val="SourceCode"/>
      </w:pPr>
      <w:r>
        <w:rPr>
          <w:rStyle w:val="VerbatimChar"/>
        </w:rPr>
        <w:t xml:space="preserve">let Demo = datatable(Name:string, Success:bool, DurationMs:real)</w:t>
      </w:r>
      <w:r>
        <w:br/>
      </w: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  "GET /health", true, 10.0,</w:t>
      </w:r>
      <w:r>
        <w:br/>
      </w:r>
      <w:r>
        <w:rPr>
          <w:rStyle w:val="VerbatimChar"/>
        </w:rPr>
        <w:t xml:space="preserve">    "GET /api/items", true, 42.0,</w:t>
      </w:r>
      <w:r>
        <w:br/>
      </w:r>
      <w:r>
        <w:rPr>
          <w:rStyle w:val="VerbatimChar"/>
        </w:rPr>
        <w:t xml:space="preserve">    "GET /api/items", false, 300.0</w:t>
      </w:r>
      <w:r>
        <w:br/>
      </w:r>
      <w:r>
        <w:rPr>
          <w:rStyle w:val="VerbatimChar"/>
        </w:rPr>
        <w:t xml:space="preserve">];</w:t>
      </w:r>
      <w:r>
        <w:br/>
      </w:r>
      <w:r>
        <w:rPr>
          <w:rStyle w:val="VerbatimChar"/>
        </w:rPr>
        <w:t xml:space="preserve">Demo</w:t>
      </w:r>
      <w:r>
        <w:br/>
      </w:r>
      <w:r>
        <w:rPr>
          <w:rStyle w:val="VerbatimChar"/>
        </w:rPr>
        <w:t xml:space="preserve">| summarize Rows=count(), Failures=countif(Success == false),</w:t>
      </w:r>
      <w:r>
        <w:br/>
      </w:r>
      <w:r>
        <w:rPr>
          <w:rStyle w:val="VerbatimChar"/>
        </w:rPr>
        <w:t xml:space="preserve">            AverageMs=avg(DurationMs) by Name</w:t>
      </w:r>
    </w:p>
    <w:p>
      <w:pPr>
        <w:pStyle w:val="FirstParagraph"/>
      </w:pPr>
      <w:r>
        <w:t xml:space="preserve">This validates KQL syntax practice only, not live monitoring. If no query workspace is available, review the query and predicted result with the instructor.</w:t>
      </w:r>
    </w:p>
    <w:p>
      <w:pPr>
        <w:pStyle w:val="BodyText"/>
      </w:pPr>
      <w:r>
        <w:rPr>
          <w:b/>
          <w:bCs/>
        </w:rPr>
        <w:t xml:space="preserve">Checkpoint:</w:t>
      </w:r>
      <w:r>
        <w:t xml:space="preserve"> </w:t>
      </w:r>
      <w:r>
        <w:t xml:space="preserve">save three working queries and a short incident record with evidence and a verified recovery.</w:t>
      </w:r>
    </w:p>
    <w:bookmarkEnd w:id="21"/>
    <w:bookmarkEnd w:id="22"/>
    <w:bookmarkStart w:id="24" w:name="X8a67595c4964158933bda8ff5f747819485cc22"/>
    <w:p>
      <w:pPr>
        <w:pStyle w:val="Heading1"/>
      </w:pPr>
      <w:r>
        <w:t xml:space="preserve">Lab 16 | KQL from first result to a saved visualisation</w:t>
      </w:r>
    </w:p>
    <w:p>
      <w:pPr>
        <w:pStyle w:val="FirstParagraph"/>
      </w:pPr>
      <w:r>
        <w:rPr>
          <w:b/>
          <w:bCs/>
        </w:rPr>
        <w:t xml:space="preserve">What/why:</w:t>
      </w:r>
      <w:r>
        <w:t xml:space="preserve"> </w:t>
      </w:r>
      <w:r>
        <w:t xml:space="preserve">move from viewing isolated rows to answering a question that another engineer can repeat.</w:t>
      </w:r>
    </w:p>
    <w:p>
      <w:pPr>
        <w:pStyle w:val="BodyText"/>
      </w:pPr>
      <w:r>
        <w:rPr>
          <w:b/>
          <w:bCs/>
        </w:rPr>
        <w:t xml:space="preserve">Needs:</w:t>
      </w:r>
      <w:r>
        <w:t xml:space="preserve"> </w:t>
      </w:r>
      <w:r>
        <w:t xml:space="preserve">Lab 8 telemetry and workspace query access.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query costs depend on table plan/features; use the approved Analytics tables, bounded time ranges and small results.</w:t>
      </w:r>
    </w:p>
    <w:p>
      <w:pPr>
        <w:pStyle w:val="Compact"/>
        <w:numPr>
          <w:ilvl w:val="0"/>
          <w:numId w:val="1002"/>
        </w:numPr>
      </w:pPr>
      <w:r>
        <w:t xml:space="preserve">Open the correct workspace</w:t>
      </w:r>
      <w:r>
        <w:t xml:space="preserve"> </w:t>
      </w:r>
      <w:r>
        <w:rPr>
          <w:b/>
          <w:bCs/>
        </w:rPr>
        <w:t xml:space="preserve">Logs</w:t>
      </w:r>
      <w:r>
        <w:t xml:space="preserve">, switch to the query editor and inspect</w:t>
      </w:r>
      <w:r>
        <w:t xml:space="preserve"> </w:t>
      </w:r>
      <w:r>
        <w:rPr>
          <w:rStyle w:val="VerbatimChar"/>
        </w:rPr>
        <w:t xml:space="preserve">AppRequests</w:t>
      </w:r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02"/>
        </w:numPr>
      </w:pPr>
      <w:r>
        <w:t xml:space="preserve">Start with</w:t>
      </w:r>
      <w:r>
        <w:t xml:space="preserve"> </w:t>
      </w:r>
      <w:r>
        <w:rPr>
          <w:rStyle w:val="VerbatimChar"/>
        </w:rPr>
        <w:t xml:space="preserve">AppRequests | where TimeGenerated &gt; ago(30m) | take 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Add a resource/role filter for your own app, using an actual value from a row.</w:t>
      </w:r>
    </w:p>
    <w:p>
      <w:pPr>
        <w:pStyle w:val="Compact"/>
        <w:numPr>
          <w:ilvl w:val="0"/>
          <w:numId w:val="1002"/>
        </w:numPr>
      </w:pPr>
      <w:r>
        <w:t xml:space="preserve">Generate ten bounded requests as in Lab 7, then run:</w:t>
      </w:r>
    </w:p>
    <w:p>
      <w:pPr>
        <w:pStyle w:val="SourceCode"/>
      </w:pPr>
      <w:r>
        <w:rPr>
          <w:rStyle w:val="VerbatimChar"/>
        </w:rPr>
        <w:t xml:space="preserve">AppRequests</w:t>
      </w:r>
      <w:r>
        <w:br/>
      </w:r>
      <w:r>
        <w:rPr>
          <w:rStyle w:val="VerbatimChar"/>
        </w:rPr>
        <w:t xml:space="preserve">| where TimeGenerated &gt; ago(30m)</w:t>
      </w:r>
      <w:r>
        <w:br/>
      </w:r>
      <w:r>
        <w:rPr>
          <w:rStyle w:val="VerbatimChar"/>
        </w:rPr>
        <w:t xml:space="preserve">| where AppRoleName == "&lt;actual-app-role-name&gt;"</w:t>
      </w:r>
      <w:r>
        <w:br/>
      </w:r>
      <w:r>
        <w:rPr>
          <w:rStyle w:val="VerbatimChar"/>
        </w:rPr>
        <w:t xml:space="preserve">| summarize StoredRows=count() by bin(TimeGenerated, 5m)</w:t>
      </w:r>
      <w:r>
        <w:br/>
      </w:r>
      <w:r>
        <w:rPr>
          <w:rStyle w:val="VerbatimChar"/>
        </w:rPr>
        <w:t xml:space="preserve">| order by TimeGenerated asc</w:t>
      </w:r>
      <w:r>
        <w:br/>
      </w:r>
      <w:r>
        <w:rPr>
          <w:rStyle w:val="VerbatimChar"/>
        </w:rPr>
        <w:t xml:space="preserve">| render timechart</w:t>
      </w:r>
    </w:p>
    <w:p>
      <w:pPr>
        <w:pStyle w:val="Compact"/>
        <w:numPr>
          <w:ilvl w:val="0"/>
          <w:numId w:val="1003"/>
        </w:numPr>
      </w:pPr>
      <w:r>
        <w:t xml:space="preserve">Select the chart view if the editor does not switch automatically. Explain that StoredRows can differ from generated requests because of sampling/time filters/ingestion.</w:t>
      </w:r>
    </w:p>
    <w:p>
      <w:pPr>
        <w:pStyle w:val="Compact"/>
        <w:numPr>
          <w:ilvl w:val="0"/>
          <w:numId w:val="1003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Save as query</w:t>
      </w:r>
      <w:r>
        <w:t xml:space="preserve">. Use your personal/approved query pack if available; creating a query pack may require additional permission. Name it</w:t>
      </w:r>
      <w:r>
        <w:t xml:space="preserve"> </w:t>
      </w:r>
      <w:r>
        <w:rPr>
          <w:rStyle w:val="VerbatimChar"/>
        </w:rPr>
        <w:t xml:space="preserve">LBS request rows last 30 minutes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 saving centrally is blocked, save the query text in your own course notes. That is a fallback, not a successful shared query-pack deployment.</w:t>
      </w:r>
    </w:p>
    <w:p>
      <w:pPr>
        <w:pStyle w:val="Compact"/>
        <w:numPr>
          <w:ilvl w:val="0"/>
          <w:numId w:val="1003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Azure Monitor &gt; Workbooks</w:t>
      </w:r>
      <w:r>
        <w:t xml:space="preserve">, create a new workbook if authorised. Select</w:t>
      </w:r>
      <w:r>
        <w:t xml:space="preserve"> </w:t>
      </w:r>
      <w:r>
        <w:rPr>
          <w:b/>
          <w:bCs/>
        </w:rPr>
        <w:t xml:space="preserve">Edit &gt; Add query</w:t>
      </w:r>
      <w:r>
        <w:t xml:space="preserve">, choose</w:t>
      </w:r>
      <w:r>
        <w:t xml:space="preserve"> </w:t>
      </w:r>
      <w:r>
        <w:rPr>
          <w:b/>
          <w:bCs/>
        </w:rPr>
        <w:t xml:space="preserve">Logs</w:t>
      </w:r>
      <w:r>
        <w:t xml:space="preserve">, the correct workspace and the same query without the final</w:t>
      </w:r>
      <w:r>
        <w:t xml:space="preserve"> </w:t>
      </w:r>
      <w:r>
        <w:rPr>
          <w:rStyle w:val="VerbatimChar"/>
        </w:rPr>
        <w:t xml:space="preserve">render</w:t>
      </w:r>
      <w:r>
        <w:t xml:space="preserve"> </w:t>
      </w:r>
      <w:r>
        <w:t xml:space="preserve">line if the workbook’s visualisation control expects it separately.</w:t>
      </w:r>
    </w:p>
    <w:p>
      <w:pPr>
        <w:pStyle w:val="Compact"/>
        <w:numPr>
          <w:ilvl w:val="0"/>
          <w:numId w:val="1003"/>
        </w:numPr>
      </w:pPr>
      <w:r>
        <w:t xml:space="preserve">Select a timechart visualisation, run and save in your group with an explicit title such as</w:t>
      </w:r>
      <w:r>
        <w:t xml:space="preserve"> </w:t>
      </w:r>
      <w:r>
        <w:rPr>
          <w:rStyle w:val="VerbatimChar"/>
        </w:rPr>
        <w:t xml:space="preserve">LBS lab requests</w:t>
      </w:r>
      <w:r>
        <w:t xml:space="preserve">. Verify the saved workbook loads and respects access.</w:t>
      </w:r>
    </w:p>
    <w:p>
      <w:pPr>
        <w:pStyle w:val="Compact"/>
        <w:numPr>
          <w:ilvl w:val="0"/>
          <w:numId w:val="1003"/>
        </w:numPr>
      </w:pPr>
      <w:r>
        <w:t xml:space="preserve">Share only with the intended training audience. A workbook does not bypass the underlying data permissions.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a working filtered chart and a saved query; a workbook if your access permits.</w:t>
      </w:r>
    </w:p>
    <w:p>
      <w:pPr>
        <w:pStyle w:val="BodyText"/>
      </w:pPr>
      <w:r>
        <w:rPr>
          <w:b/>
          <w:bCs/>
        </w:rPr>
        <w:t xml:space="preserve">Security/log notes:</w:t>
      </w:r>
      <w:r>
        <w:t xml:space="preserve"> </w:t>
      </w:r>
      <w:r>
        <w:t xml:space="preserve">filter shared workspaces to your app, use UTC/time-zone awareness, never put tokens in query literals, and do not export all raw rows for convenience.</w:t>
      </w:r>
    </w:p>
    <w:p>
      <w:pPr>
        <w:pStyle w:val="BodyText"/>
      </w:pPr>
      <w:r>
        <w:rPr>
          <w:b/>
          <w:bCs/>
        </w:rPr>
        <w:t xml:space="preserve">Cleanup:</w:t>
      </w:r>
      <w:r>
        <w:t xml:space="preserve"> </w:t>
      </w:r>
      <w:r>
        <w:t xml:space="preserve">delete only your practice workbook/query if no longer needed; retain useful non-sensitive KQL text.</w:t>
      </w:r>
    </w:p>
    <w:p>
      <w:pPr>
        <w:pStyle w:val="BodyText"/>
      </w:pPr>
      <w:r>
        <w:t xml:space="preserve">Reference:</w:t>
      </w:r>
      <w:r>
        <w:t xml:space="preserve"> </w:t>
      </w:r>
      <w:hyperlink r:id="rId23">
        <w:r>
          <w:rPr>
            <w:rStyle w:val="Hyperlink"/>
          </w:rPr>
          <w:t xml:space="preserve">https://learn.microsoft.com/azure/azure-monitor/visualize/workbooks-overview</w:t>
        </w:r>
      </w:hyperlink>
    </w:p>
    <w:bookmarkEnd w:id="24"/>
    <w:bookmarkStart w:id="25" w:name="completion-record-and-cleanup"/>
    <w:p>
      <w:pPr>
        <w:pStyle w:val="Heading1"/>
      </w:pPr>
      <w:r>
        <w:t xml:space="preserve">Completion record and cleanup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Your 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Subscription/group/region and actual resource names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Expected result and actual result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Log/table/metric, time range and evidence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Identity, role/scope and network restrictions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Idle/usage/logging cost driver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Cleanup or retention owner/deadline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Only mark a lab passed after its functional checkpoint. A deployment success or empty error table alone is not proof. Mark blocked permissions honestly.</w:t>
      </w:r>
    </w:p>
    <w:p>
      <w:pPr>
        <w:pStyle w:val="BodyText"/>
      </w:pPr>
      <w:r>
        <w:t xml:space="preserve">Clean up only your own disposable objects; removing a diagnostic setting does not erase retained logs, and stopping an app does not stop every cost. Follow Lab 13 in the main guide. Keep secrets/customer information out of evidence.</w:t>
      </w:r>
    </w:p>
    <w:p>
      <w:pPr>
        <w:pStyle w:val="BodyText"/>
      </w:pPr>
      <w:r>
        <w:t>Verification scope: these instructions and Word file structure were reviewed. Automated Word pagination could not be completed; preview before printing. Azure execution, prices, policy, permissions, plan/runtime availability and portal labels require instructor rehearsal in the actual training subscription.</w:t>
      </w:r>
    </w:p>
    <w:bookmarkEnd w:id="25"/>
    <w:sectPr>
      <w:headerReference w:type="default" r:id="rId10"/>
      <w:footerReference w:type="default" r:id="rId11"/>
      <w:footnotePr>
        <w:numRestart w:val="eachSect"/>
      </w:footnotePr>
      <w:pgSz w:w="11909" w:h="16834"/>
      <w:pgMar w:left="1008" w:right="1008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Attendee handout v2 | Reviewed 26 October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LBS | Azure beginner service lab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color w:val="005A9E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05A9E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5A9E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5A9E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https://learn.microsoft.com/azure/azure-monitor/visualize/workbooks-overview" TargetMode="External"/><Relationship Id="rId12" Type="http://schemas.openxmlformats.org/officeDocument/2006/relationships/hyperlink" Target="https://learn.microsoft.com/kusto/query/tutorials/learn-common-operators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learn.microsoft.com/azure/azure-monitor/visualize/workbooks-overview" TargetMode="External"/><Relationship Id="rId12" Type="http://schemas.openxmlformats.org/officeDocument/2006/relationships/hyperlink" Target="https://learn.microsoft.com/kusto/query/tutorials/learn-common-opera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KQL: first query to troubleshooting evidence</dc:title>
  <dc:creator>LBS | Attendee edition v2 | 26 October 2026</dc:creator>
  <cp:keywords/>
  <dcterms:created xsi:type="dcterms:W3CDTF">2026-10-26T12:58:43Z</dcterms:created>
  <dcterms:modified xsi:type="dcterms:W3CDTF">2026-10-26T12:58:43Z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Portal-first beginner hands-on lab</vt:lpwstr>
  </property>
</Properties>
</file>