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pPr>
      <w:r>
        <w:t>AZURE CLOUD &amp; ARCHITECTURE | Reviewed attendee copy v2 - October 2026</w:t>
      </w:r>
    </w:p>
    <w:p>
      <w:r>
        <w:rPr>
          <w:rFonts w:ascii="Verdana" w:hAnsi="Verdana"/>
          <w:b/>
          <w:color w:val="17365D"/>
          <w:sz w:val="60"/>
        </w:rPr>
        <w:t>Developer Learner Handbook</w:t>
      </w:r>
    </w:p>
    <w:p>
      <w:r>
        <w:t>From experienced software developer to confident Azure engineer</w:t>
      </w:r>
    </w:p>
    <w:p>
      <w:r>
        <w:br/>
      </w:r>
    </w:p>
    <w:tbl>
      <w:tblPr>
        <w:tblW w:type="auto" w:w="0"/>
        <w:jc w:val="center"/>
        <w:tblLayout w:type="fixed"/>
        <w:tblLook w:firstColumn="1" w:firstRow="1" w:lastColumn="0" w:lastRow="0" w:noHBand="0" w:noVBand="1" w:val="04A0"/>
      </w:tblPr>
      <w:tblGrid>
        <w:gridCol w:w="9792"/>
      </w:tblGrid>
      <w:tr>
        <w:trPr>
          <w:cantSplit/>
        </w:trPr>
        <w:tc>
          <w:tcPr>
            <w:tcW w:type="dxa" w:w="10166"/>
            <w:shd w:fill="EAF4FB"/>
            <w:tcMar>
              <w:top w:w="90" w:type="dxa"/>
              <w:start w:w="110" w:type="dxa"/>
              <w:bottom w:w="90" w:type="dxa"/>
              <w:end w:w="110" w:type="dxa"/>
            </w:tcMar>
            <w:vAlign w:val="center"/>
          </w:tcPr>
          <w:p>
            <w:r/>
            <w:r>
              <w:rPr>
                <w:rFonts w:ascii="Verdana" w:hAnsi="Verdana"/>
                <w:b/>
                <w:color w:val="17365D"/>
                <w:sz w:val="19"/>
              </w:rPr>
              <w:t>Audience</w:t>
            </w:r>
          </w:p>
          <w:p>
            <w:pPr>
              <w:spacing w:after="0"/>
            </w:pPr>
            <w:r>
              <w:rPr>
                <w:rFonts w:ascii="Verdana" w:hAnsi="Verdana"/>
                <w:color w:val="263442"/>
                <w:sz w:val="17"/>
              </w:rPr>
              <w:t>Experienced C#/.NET and software engineers who understand APIs, SQL, Git and testing, but are new to Azure and cloud-native engineering.</w:t>
            </w:r>
          </w:p>
        </w:tc>
      </w:tr>
    </w:tbl>
    <w:p>
      <w:pPr>
        <w:spacing w:after="0"/>
      </w:pPr>
    </w:p>
    <w:p>
      <w:r>
        <w:t>Learning vehicle: a fictional Building Society application used consistently to connect architecture decisions to implementation.</w:t>
      </w:r>
    </w:p>
    <w:p>
      <w:r>
        <w:t>Course structure: Day 1 — Azure &amp; Cloud Foundations | Day 2 — Practical Azure Implementation</w:t>
      </w:r>
    </w:p>
    <w:p>
      <w:r>
        <w:t>Version: October 2026</w:t>
      </w:r>
    </w:p>
    <w:p>
      <w:r>
        <w:br w:type="page"/>
      </w:r>
    </w:p>
    <w:p>
      <w:pPr>
        <w:pStyle w:val="Heading1"/>
        <w:keepNext/>
      </w:pPr>
      <w:r>
        <w:t>1. How to Use This Handbook</w:t>
      </w:r>
    </w:p>
    <w:p>
      <w:r>
        <w:t>This is not a catalogue of Azure services. It is a decision guide for developers who need to take an application from requirements to a secure, observable and repeatable Azure deployment.</w:t>
      </w:r>
    </w:p>
    <w:p>
      <w:pPr>
        <w:pStyle w:val="Heading2"/>
        <w:keepNext/>
      </w:pPr>
      <w:r>
        <w:t>The learning pattern</w:t>
      </w:r>
    </w:p>
    <w:p>
      <w:r>
        <w:t>Every major topic follows the same pattern: developer problem → Azure concept → Building Society example → architecture decision → implementation → production considerations → troubleshooting.</w:t>
      </w:r>
    </w:p>
    <w:p>
      <w:pPr>
        <w:spacing w:after="5760"/>
        <w:jc w:val="center"/>
      </w:pPr>
      <w:r>
        <w:pict>
          <v:roundrect id="Figure 1._0" style="position:absolute;left:20.0pt;top:20pt;width:96.0pt;height:72pt;z-index:2" arcsize="8%" fillcolor="#EAF3FB" strokecolor="#0078D4" strokeweight="1.3pt">
            <v:textbox inset="6pt,5pt,6pt,4pt">
              <w:txbxContent>
                <w:p>
                  <w:pPr>
                    <w:jc w:val="center"/>
                    <w:spacing w:after="0"/>
                  </w:pPr>
                  <w:r>
                    <w:rPr>
                      <w:rFonts w:ascii="Verdana" w:hAnsi="Verdana"/>
                      <w:b/>
                      <w:color w:val="17365D"/>
                      <w:sz w:val="24"/>
                    </w:rPr>
                    <w:t>Understand</w:t>
                  </w:r>
                </w:p>
                <w:p>
                  <w:pPr>
                    <w:jc w:val="center"/>
                    <w:spacing w:before="0" w:after="0"/>
                  </w:pPr>
                  <w:r>
                    <w:rPr>
                      <w:rFonts w:ascii="Verdana" w:hAnsi="Verdana"/>
                      <w:color w:val="5B6573"/>
                      <w:sz w:val="16"/>
                    </w:rPr>
                    <w:t>Workload</w:t>
                  </w:r>
                </w:p>
              </w:txbxContent>
            </v:textbox>
          </v:roundrect>
        </w:pict>
      </w:r>
      <w:r>
        <w:pict>
          <v:roundrect id="Figure 1._1" style="position:absolute;left:138.0pt;top:20pt;width:96.0pt;height:72pt;z-index:2" arcsize="8%" fillcolor="#EAF3FB" strokecolor="#0078D4" strokeweight="1.3pt">
            <v:textbox inset="6pt,5pt,6pt,4pt">
              <w:txbxContent>
                <w:p>
                  <w:pPr>
                    <w:jc w:val="center"/>
                    <w:spacing w:after="0"/>
                  </w:pPr>
                  <w:r>
                    <w:rPr>
                      <w:rFonts w:ascii="Verdana" w:hAnsi="Verdana"/>
                      <w:b/>
                      <w:color w:val="17365D"/>
                      <w:sz w:val="24"/>
                    </w:rPr>
                    <w:t>Requirements</w:t>
                  </w:r>
                </w:p>
                <w:p>
                  <w:pPr>
                    <w:jc w:val="center"/>
                    <w:spacing w:before="0" w:after="0"/>
                  </w:pPr>
                  <w:r>
                    <w:rPr>
                      <w:rFonts w:ascii="Verdana" w:hAnsi="Verdana"/>
                      <w:color w:val="5B6573"/>
                      <w:sz w:val="16"/>
                    </w:rPr>
                    <w:t>NFRs</w:t>
                  </w:r>
                </w:p>
              </w:txbxContent>
            </v:textbox>
          </v:roundrect>
        </w:pict>
      </w:r>
      <w:r>
        <w:pict>
          <v:roundrect id="Figure 1._2" style="position:absolute;left:256.0pt;top:20pt;width:96.0pt;height:72pt;z-index:2" arcsize="8%" fillcolor="#EAF3FB" strokecolor="#0078D4" strokeweight="1.3pt">
            <v:textbox inset="6pt,5pt,6pt,4pt">
              <w:txbxContent>
                <w:p>
                  <w:pPr>
                    <w:jc w:val="center"/>
                    <w:spacing w:after="0"/>
                  </w:pPr>
                  <w:r>
                    <w:rPr>
                      <w:rFonts w:ascii="Verdana" w:hAnsi="Verdana"/>
                      <w:b/>
                      <w:color w:val="17365D"/>
                      <w:sz w:val="24"/>
                    </w:rPr>
                    <w:t>Architecture</w:t>
                  </w:r>
                </w:p>
                <w:p>
                  <w:pPr>
                    <w:jc w:val="center"/>
                    <w:spacing w:before="0" w:after="0"/>
                  </w:pPr>
                  <w:r>
                    <w:rPr>
                      <w:rFonts w:ascii="Verdana" w:hAnsi="Verdana"/>
                      <w:color w:val="5B6573"/>
                      <w:sz w:val="16"/>
                    </w:rPr>
                    <w:t>Service choices</w:t>
                  </w:r>
                </w:p>
              </w:txbxContent>
            </v:textbox>
          </v:roundrect>
        </w:pict>
      </w:r>
      <w:r>
        <w:pict>
          <v:roundrect id="Figure 1._3" style="position:absolute;left:374.0pt;top:20pt;width:96.0pt;height:72pt;z-index:2" arcsize="8%" fillcolor="#EAF3FB" strokecolor="#0078D4" strokeweight="1.3pt">
            <v:textbox inset="6pt,5pt,6pt,4pt">
              <w:txbxContent>
                <w:p>
                  <w:pPr>
                    <w:jc w:val="center"/>
                    <w:spacing w:after="0"/>
                  </w:pPr>
                  <w:r>
                    <w:rPr>
                      <w:rFonts w:ascii="Verdana" w:hAnsi="Verdana"/>
                      <w:b/>
                      <w:color w:val="17365D"/>
                      <w:sz w:val="24"/>
                    </w:rPr>
                    <w:t>Build</w:t>
                  </w:r>
                </w:p>
                <w:p>
                  <w:pPr>
                    <w:jc w:val="center"/>
                    <w:spacing w:before="0" w:after="0"/>
                  </w:pPr>
                  <w:r>
                    <w:rPr>
                      <w:rFonts w:ascii="Verdana" w:hAnsi="Verdana"/>
                      <w:color w:val="5B6573"/>
                      <w:sz w:val="16"/>
                    </w:rPr>
                    <w:t>App + IaC</w:t>
                  </w:r>
                </w:p>
              </w:txbxContent>
            </v:textbox>
          </v:roundrect>
        </w:pict>
      </w:r>
      <w:r>
        <w:pict>
          <v:roundrect id="Figure 1._4" style="position:absolute;left:374.0pt;top:145pt;width:96.0pt;height:72pt;z-index:2" arcsize="8%" fillcolor="#EAF3FB" strokecolor="#0078D4" strokeweight="1.3pt">
            <v:textbox inset="6pt,5pt,6pt,4pt">
              <w:txbxContent>
                <w:p>
                  <w:pPr>
                    <w:jc w:val="center"/>
                    <w:spacing w:after="0"/>
                  </w:pPr>
                  <w:r>
                    <w:rPr>
                      <w:rFonts w:ascii="Verdana" w:hAnsi="Verdana"/>
                      <w:b/>
                      <w:color w:val="17365D"/>
                      <w:sz w:val="24"/>
                    </w:rPr>
                    <w:t>Secure</w:t>
                  </w:r>
                </w:p>
                <w:p>
                  <w:pPr>
                    <w:jc w:val="center"/>
                    <w:spacing w:before="0" w:after="0"/>
                  </w:pPr>
                  <w:r>
                    <w:rPr>
                      <w:rFonts w:ascii="Verdana" w:hAnsi="Verdana"/>
                      <w:color w:val="5B6573"/>
                      <w:sz w:val="16"/>
                    </w:rPr>
                    <w:t>Identity + network</w:t>
                  </w:r>
                </w:p>
              </w:txbxContent>
            </v:textbox>
          </v:roundrect>
        </w:pict>
      </w:r>
      <w:r>
        <w:pict>
          <v:roundrect id="Figure 1._5" style="position:absolute;left:256.0pt;top:145pt;width:96.0pt;height:72pt;z-index:2" arcsize="8%" fillcolor="#EAF3FB" strokecolor="#0078D4" strokeweight="1.3pt">
            <v:textbox inset="6pt,5pt,6pt,4pt">
              <w:txbxContent>
                <w:p>
                  <w:pPr>
                    <w:jc w:val="center"/>
                    <w:spacing w:after="0"/>
                  </w:pPr>
                  <w:r>
                    <w:rPr>
                      <w:rFonts w:ascii="Verdana" w:hAnsi="Verdana"/>
                      <w:b/>
                      <w:color w:val="17365D"/>
                      <w:sz w:val="24"/>
                    </w:rPr>
                    <w:t>Observe</w:t>
                  </w:r>
                </w:p>
                <w:p>
                  <w:pPr>
                    <w:jc w:val="center"/>
                    <w:spacing w:before="0" w:after="0"/>
                  </w:pPr>
                  <w:r>
                    <w:rPr>
                      <w:rFonts w:ascii="Verdana" w:hAnsi="Verdana"/>
                      <w:color w:val="5B6573"/>
                      <w:sz w:val="16"/>
                    </w:rPr>
                    <w:t>Telemetry</w:t>
                  </w:r>
                </w:p>
              </w:txbxContent>
            </v:textbox>
          </v:roundrect>
        </w:pict>
      </w:r>
      <w:r>
        <w:pict>
          <v:roundrect id="Figure 1._6" style="position:absolute;left:138.0pt;top:145pt;width:96.0pt;height:72pt;z-index:2" arcsize="8%" fillcolor="#EAF3FB" strokecolor="#0078D4" strokeweight="1.3pt">
            <v:textbox inset="6pt,5pt,6pt,4pt">
              <w:txbxContent>
                <w:p>
                  <w:pPr>
                    <w:jc w:val="center"/>
                    <w:spacing w:after="0"/>
                  </w:pPr>
                  <w:r>
                    <w:rPr>
                      <w:rFonts w:ascii="Verdana" w:hAnsi="Verdana"/>
                      <w:b/>
                      <w:color w:val="17365D"/>
                      <w:sz w:val="24"/>
                    </w:rPr>
                    <w:t>Automate</w:t>
                  </w:r>
                </w:p>
                <w:p>
                  <w:pPr>
                    <w:jc w:val="center"/>
                    <w:spacing w:before="0" w:after="0"/>
                  </w:pPr>
                  <w:r>
                    <w:rPr>
                      <w:rFonts w:ascii="Verdana" w:hAnsi="Verdana"/>
                      <w:color w:val="5B6573"/>
                      <w:sz w:val="16"/>
                    </w:rPr>
                    <w:t>CI/CD</w:t>
                  </w:r>
                </w:p>
              </w:txbxContent>
            </v:textbox>
          </v:roundrect>
        </w:pict>
      </w:r>
      <w:r>
        <w:pict>
          <v:roundrect id="Figure 1._7" style="position:absolute;left:20.0pt;top:145pt;width:96.0pt;height:72pt;z-index:2" arcsize="8%" fillcolor="#EAF3FB" strokecolor="#0078D4" strokeweight="1.3pt">
            <v:textbox inset="6pt,5pt,6pt,4pt">
              <w:txbxContent>
                <w:p>
                  <w:pPr>
                    <w:jc w:val="center"/>
                    <w:spacing w:after="0"/>
                  </w:pPr>
                  <w:r>
                    <w:rPr>
                      <w:rFonts w:ascii="Verdana" w:hAnsi="Verdana"/>
                      <w:b/>
                      <w:color w:val="17365D"/>
                      <w:sz w:val="24"/>
                    </w:rPr>
                    <w:t>Operate</w:t>
                  </w:r>
                </w:p>
                <w:p>
                  <w:pPr>
                    <w:jc w:val="center"/>
                    <w:spacing w:before="0" w:after="0"/>
                  </w:pPr>
                  <w:r>
                    <w:rPr>
                      <w:rFonts w:ascii="Verdana" w:hAnsi="Verdana"/>
                      <w:color w:val="5B6573"/>
                      <w:sz w:val="16"/>
                    </w:rPr>
                    <w:t>Support</w:t>
                  </w:r>
                </w:p>
              </w:txbxContent>
            </v:textbox>
          </v:roundrect>
        </w:pict>
      </w:r>
      <w:r>
        <w:pict>
          <v:line id="Figure 1._a0" from="116.0pt,56.0pt" to="138.0pt,56.0pt" style="position:absolute;z-index:1" strokecolor="#0078D4" strokeweight="1.4pt">
            <v:stroke endarrow="block"/>
          </v:line>
        </w:pict>
      </w:r>
      <w:r>
        <w:pict>
          <v:line id="Figure 1._a1" from="234.0pt,56.0pt" to="256.0pt,56.0pt" style="position:absolute;z-index:1" strokecolor="#0078D4" strokeweight="1.4pt">
            <v:stroke endarrow="block"/>
          </v:line>
        </w:pict>
      </w:r>
      <w:r>
        <w:pict>
          <v:line id="Figure 1._a2" from="352.0pt,56.0pt" to="374.0pt,56.0pt" style="position:absolute;z-index:1" strokecolor="#0078D4" strokeweight="1.4pt">
            <v:stroke endarrow="block"/>
          </v:line>
        </w:pict>
      </w:r>
      <w:r>
        <w:pict>
          <v:line id="Figure 1._a3" from="422.0pt,92pt" to="422.0pt,145pt" style="position:absolute;z-index:1" strokecolor="#0078D4" strokeweight="1.4pt">
            <v:stroke endarrow="block"/>
          </v:line>
        </w:pict>
      </w:r>
      <w:r>
        <w:pict>
          <v:line id="Figure 1._a4" from="374.0pt,181.0pt" to="352.0pt,181.0pt" style="position:absolute;z-index:1" strokecolor="#0078D4" strokeweight="1.4pt">
            <v:stroke endarrow="block"/>
          </v:line>
        </w:pict>
      </w:r>
      <w:r>
        <w:pict>
          <v:line id="Figure 1._a5" from="256.0pt,181.0pt" to="234.0pt,181.0pt" style="position:absolute;z-index:1" strokecolor="#0078D4" strokeweight="1.4pt">
            <v:stroke endarrow="block"/>
          </v:line>
        </w:pict>
      </w:r>
      <w:r>
        <w:pict>
          <v:line id="Figure 1._a6" from="138.0pt,181.0pt" to="116.0pt,181.0pt" style="position:absolute;z-index:1" strokecolor="#0078D4" strokeweight="1.4pt">
            <v:stroke endarrow="block"/>
          </v:line>
        </w:pict>
      </w:r>
    </w:p>
    <w:p>
      <w:pPr>
        <w:jc w:val="center"/>
      </w:pPr>
      <w:r>
        <w:rPr>
          <w:rFonts w:ascii="Verdana" w:hAnsi="Verdana"/>
        </w:rPr>
        <w:t>Figure 1. A reusable Azure developer journey used throughout the handbook — native editable Word objects.</w:t>
      </w:r>
    </w:p>
    <w:tbl>
      <w:tblPr>
        <w:tblW w:type="auto" w:w="0"/>
        <w:jc w:val="center"/>
        <w:tblLayout w:type="fixed"/>
        <w:tblLook w:firstColumn="1" w:firstRow="1" w:lastColumn="0" w:lastRow="0" w:noHBand="0" w:noVBand="1" w:val="04A0"/>
      </w:tblPr>
      <w:tblGrid>
        <w:gridCol w:w="9792"/>
      </w:tblGrid>
      <w:tr>
        <w:trPr>
          <w:cantSplit/>
        </w:trPr>
        <w:tc>
          <w:tcPr>
            <w:tcW w:type="dxa" w:w="10166"/>
            <w:shd w:fill="E8F3E3"/>
            <w:tcMar>
              <w:top w:w="90" w:type="dxa"/>
              <w:start w:w="110" w:type="dxa"/>
              <w:bottom w:w="90" w:type="dxa"/>
              <w:end w:w="110" w:type="dxa"/>
            </w:tcMar>
            <w:vAlign w:val="center"/>
          </w:tcPr>
          <w:p>
            <w:r/>
            <w:r>
              <w:rPr>
                <w:rFonts w:ascii="Verdana" w:hAnsi="Verdana"/>
                <w:b/>
                <w:color w:val="17365D"/>
                <w:sz w:val="19"/>
              </w:rPr>
              <w:t>Developer mindset</w:t>
            </w:r>
          </w:p>
          <w:p>
            <w:pPr>
              <w:spacing w:after="0"/>
            </w:pPr>
            <w:r>
              <w:rPr>
                <w:rFonts w:ascii="Verdana" w:hAnsi="Verdana"/>
                <w:color w:val="263442"/>
                <w:sz w:val="17"/>
              </w:rPr>
              <w:t>Do not begin with “Which Azure service should I use?” Begin with “What does the workload need from compute, data, identity, network, resilience, observability and delivery?”</w:t>
            </w:r>
          </w:p>
        </w:tc>
      </w:tr>
    </w:tbl>
    <w:p>
      <w:pPr>
        <w:spacing w:after="0"/>
      </w:pPr>
    </w:p>
    <w:p>
      <w:r>
        <w:br w:type="page"/>
      </w:r>
    </w:p>
    <w:p>
      <w:pPr>
        <w:pStyle w:val="Heading1"/>
        <w:keepNext/>
      </w:pPr>
      <w:r>
        <w:t>2. Why Cloud? Why Azure?</w:t>
      </w:r>
    </w:p>
    <w:p>
      <w:r>
        <w:t>Cloud changes the operating model, not only the hosting location. The value comes from faster provisioning, managed capabilities, automation and elastic capacity—but only when the application and operating model use those capabilities deliberately.</w:t>
      </w:r>
    </w:p>
    <w:p>
      <w:pPr>
        <w:pStyle w:val="Heading2"/>
        <w:keepNext/>
      </w:pPr>
      <w:r>
        <w:t>What Azure can improve</w:t>
      </w:r>
    </w:p>
    <w:p>
      <w:pPr>
        <w:pStyle w:val="ListBullet"/>
        <w:ind w:left="317" w:hanging="173"/>
      </w:pPr>
      <w:r>
        <w:t>Provision environments in minutes rather than waiting for physical infrastructure.</w:t>
      </w:r>
    </w:p>
    <w:p>
      <w:pPr>
        <w:pStyle w:val="ListBullet"/>
        <w:ind w:left="317" w:hanging="173"/>
      </w:pPr>
      <w:r>
        <w:t>Use managed PaaS services so teams spend less time patching operating systems and database platforms.</w:t>
      </w:r>
    </w:p>
    <w:p>
      <w:pPr>
        <w:pStyle w:val="ListBullet"/>
        <w:ind w:left="317" w:hanging="173"/>
      </w:pPr>
      <w:r>
        <w:t>Scale capacity as demand changes instead of permanently sizing for peak load.</w:t>
      </w:r>
    </w:p>
    <w:p>
      <w:pPr>
        <w:pStyle w:val="ListBullet"/>
        <w:ind w:left="317" w:hanging="173"/>
      </w:pPr>
      <w:r>
        <w:t>Use Microsoft Entra ID and Managed Identity to reduce credential handling.</w:t>
      </w:r>
    </w:p>
    <w:p>
      <w:pPr>
        <w:pStyle w:val="ListBullet"/>
        <w:ind w:left="317" w:hanging="173"/>
      </w:pPr>
      <w:r>
        <w:t>Make environments repeatable with Infrastructure as Code and CI/CD.</w:t>
      </w:r>
    </w:p>
    <w:p>
      <w:pPr>
        <w:pStyle w:val="ListBullet"/>
        <w:ind w:left="317" w:hanging="173"/>
      </w:pPr>
      <w:r>
        <w:t>Centralise logs, metrics, traces and alerts through Azure Monitor.</w:t>
      </w:r>
    </w:p>
    <w:p>
      <w:pPr>
        <w:pStyle w:val="ListBullet"/>
        <w:ind w:left="317" w:hanging="173"/>
      </w:pPr>
      <w:r>
        <w:t>Choose regions and resilience patterns that match business recovery requirements.</w:t>
      </w:r>
    </w:p>
    <w:tbl>
      <w:tblPr>
        <w:tblW w:type="auto" w:w="0"/>
        <w:jc w:val="center"/>
        <w:tblLayout w:type="fixed"/>
        <w:tblLook w:firstColumn="1" w:firstRow="1" w:lastColumn="0" w:lastRow="0" w:noHBand="0" w:noVBand="1" w:val="04A0"/>
      </w:tblPr>
      <w:tblGrid>
        <w:gridCol w:w="9792"/>
      </w:tblGrid>
      <w:tr>
        <w:trPr>
          <w:cantSplit/>
        </w:trPr>
        <w:tc>
          <w:tcPr>
            <w:tcW w:type="dxa" w:w="10166"/>
            <w:shd w:fill="FFF4D6"/>
            <w:tcMar>
              <w:top w:w="90" w:type="dxa"/>
              <w:start w:w="110" w:type="dxa"/>
              <w:bottom w:w="90" w:type="dxa"/>
              <w:end w:w="110" w:type="dxa"/>
            </w:tcMar>
            <w:vAlign w:val="center"/>
          </w:tcPr>
          <w:p>
            <w:r/>
            <w:r>
              <w:rPr>
                <w:rFonts w:ascii="Verdana" w:hAnsi="Verdana"/>
                <w:b/>
                <w:color w:val="17365D"/>
                <w:sz w:val="19"/>
              </w:rPr>
              <w:t>Important</w:t>
            </w:r>
          </w:p>
          <w:p>
            <w:pPr>
              <w:spacing w:after="0"/>
            </w:pPr>
            <w:r>
              <w:rPr>
                <w:rFonts w:ascii="Verdana" w:hAnsi="Verdana"/>
                <w:color w:val="263442"/>
                <w:sz w:val="17"/>
              </w:rPr>
              <w:t>Azure is not automatically cheaper, secure, highly available or resilient. Architecture, configuration, usage and operational discipline determine the outcome.</w:t>
            </w:r>
          </w:p>
        </w:tc>
      </w:tr>
    </w:tbl>
    <w:p>
      <w:pPr>
        <w:spacing w:after="0"/>
      </w:pPr>
    </w:p>
    <w:p>
      <w:pPr>
        <w:pStyle w:val="Heading2"/>
        <w:keepNext/>
      </w:pPr>
      <w:r>
        <w:t>Shared responsibility</w:t>
      </w:r>
    </w:p>
    <w:p>
      <w:r>
        <w:t>Moving from a VM to PaaS changes who manages which layer. With App Service and Azure SQL, Microsoft operates more of the platform, while your team remains responsible for application code, data, identities, permissions, configuration, network choices, monitoring and recovery requirements.</w:t>
      </w:r>
    </w:p>
    <w:p>
      <w:r>
        <w:br w:type="page"/>
      </w:r>
    </w:p>
    <w:p>
      <w:pPr>
        <w:pStyle w:val="Heading2"/>
      </w:pPr>
      <w:r>
        <w:t>What changes for an experienced developer</w:t>
      </w:r>
    </w:p>
    <w:p>
      <w:pPr>
        <w:pStyle w:val="Heading2"/>
      </w:pPr>
      <w:r>
        <w:t>Region, availability and responsibility decisions</w:t>
      </w:r>
    </w:p>
    <w:p>
      <w:r>
        <w:t>Azure removes some infrastructure work, but it does not remove architecture decisions. Before creating resources, decide where the workload should run, what level of availability it needs and which responsibilities remain with the application team.</w:t>
      </w:r>
    </w:p>
    <w:p>
      <w:pPr>
        <w:pStyle w:val="ListBullet"/>
      </w:pPr>
      <w:r>
        <w:t>Region selection: choose a region based on user latency, data residency, organisational policy, service availability and dependency location. A nearby region is not automatically the right answer if a required service or compliance constraint points elsewhere.</w:t>
      </w:r>
    </w:p>
    <w:p>
      <w:pPr>
        <w:pStyle w:val="ListBullet"/>
      </w:pPr>
      <w:r>
        <w:t>Availability Zones: where the selected service supports zones, they can reduce exposure to a single datacentre failure. The application still needs to tolerate dependency failures and understand whether its chosen SKU is zone-redundant.</w:t>
      </w:r>
    </w:p>
    <w:p>
      <w:pPr>
        <w:pStyle w:val="ListBullet"/>
      </w:pPr>
      <w:r>
        <w:t>Shared responsibility: with PaaS, Microsoft manages more of the platform, but the team still owns application code, identities, permissions, data protection, configuration, monitoring and architecture.</w:t>
      </w:r>
    </w:p>
    <w:p>
      <w:r>
        <w:t>Architecture decision: write the region, availability target and data-residency requirement down before deployment. These are requirements, not portal defaults.</w:t>
      </w:r>
    </w:p>
    <w:p>
      <w:pPr/>
      <w:r>
        <w:t>Cloud adoption changes the operating model as much as the hosting location. In a traditional environment, a developer may request a server, wait for infrastructure teams to configure it, and then deploy an application. In Azure, the same developer can describe the required platform in code, deploy it repeatedly, observe it immediately, and scale it without owning the underlying operating system.</w:t>
      </w:r>
    </w:p>
    <w:p>
      <w:pPr/>
      <w:r>
        <w:t>The important shift is from thinking about individual servers to thinking about capabilities and responsibilities. Ask: Who patches the platform? Where does state live? How is identity established? How is traffic controlled? How will the team know that the service is unhealthy? How is the environment reproduced? Azure services are useful when they reduce undifferentiated operational work while still meeting the workload requirements.</w:t>
      </w:r>
    </w:p>
    <w:p>
      <w:pPr/>
      <w:r>
        <w:t>For the Building Society scenario, the goal is not simply to move IIS and SQL Server into somebody else’s datacentre. The goal is to choose managed Azure services that let the engineering team spend more time on member-facing functionality while still making security, resilience, observability and cost explicit architecture decisions.</w:t>
      </w:r>
    </w:p>
    <w:p>
      <w:pPr>
        <w:pStyle w:val="Heading1"/>
        <w:keepNext/>
      </w:pPr>
      <w:r>
        <w:t>3. Azure Foundations for Developers</w:t>
      </w:r>
    </w:p>
    <w:p>
      <w:r>
        <w:t>Before deploying code, understand the boundaries around identity, governance, billing and resource lifecycle. These concepts explain where your application lives and who can change it.</w:t>
      </w:r>
    </w:p>
    <w:p>
      <w:pPr>
        <w:spacing w:after="7416"/>
        <w:jc w:val="center"/>
      </w:pPr>
      <w:r>
        <w:pict>
          <v:roundrect id="f2_0" style="position:absolute;left:80pt;top:5pt;width:320pt;height:54pt;z-index:2" arcsize="8%" fillcolor="#F1ECFA" strokecolor="#0078D4" strokeweight="1.3pt">
            <v:textbox inset="6pt,5pt,6pt,4pt">
              <w:txbxContent>
                <w:p>
                  <w:pPr>
                    <w:jc w:val="center"/>
                    <w:spacing w:after="0"/>
                  </w:pPr>
                  <w:r>
                    <w:rPr>
                      <w:rFonts w:ascii="Verdana" w:hAnsi="Verdana"/>
                      <w:b/>
                      <w:color w:val="17365D"/>
                      <w:sz w:val="26"/>
                    </w:rPr>
                    <w:t>Microsoft Entra tenant</w:t>
                  </w:r>
                </w:p>
                <w:p>
                  <w:pPr>
                    <w:jc w:val="center"/>
                    <w:spacing w:before="0" w:after="0"/>
                  </w:pPr>
                  <w:r>
                    <w:rPr>
                      <w:rFonts w:ascii="Verdana" w:hAnsi="Verdana"/>
                      <w:color w:val="5B6573"/>
                      <w:sz w:val="18"/>
                    </w:rPr>
                    <w:t>Identity and directory boundary</w:t>
                  </w:r>
                </w:p>
              </w:txbxContent>
            </v:textbox>
          </v:roundrect>
        </w:pict>
      </w:r>
      <w:r>
        <w:pict>
          <v:roundrect id="f2_1" style="position:absolute;left:80pt;top:75pt;width:320pt;height:54pt;z-index:2" arcsize="8%" fillcolor="#EAF3FB" strokecolor="#0078D4" strokeweight="1.3pt">
            <v:textbox inset="6pt,5pt,6pt,4pt">
              <w:txbxContent>
                <w:p>
                  <w:pPr>
                    <w:jc w:val="center"/>
                    <w:spacing w:after="0"/>
                  </w:pPr>
                  <w:r>
                    <w:rPr>
                      <w:rFonts w:ascii="Verdana" w:hAnsi="Verdana"/>
                      <w:b/>
                      <w:color w:val="17365D"/>
                      <w:sz w:val="26"/>
                    </w:rPr>
                    <w:t>Management group</w:t>
                  </w:r>
                </w:p>
                <w:p>
                  <w:pPr>
                    <w:jc w:val="center"/>
                    <w:spacing w:before="0" w:after="0"/>
                  </w:pPr>
                  <w:r>
                    <w:rPr>
                      <w:rFonts w:ascii="Verdana" w:hAnsi="Verdana"/>
                      <w:color w:val="5B6573"/>
                      <w:sz w:val="18"/>
                    </w:rPr>
                    <w:t>Governance across subscriptions</w:t>
                  </w:r>
                </w:p>
              </w:txbxContent>
            </v:textbox>
          </v:roundrect>
        </w:pict>
      </w:r>
      <w:r>
        <w:pict>
          <v:roundrect id="f2_2" style="position:absolute;left:80pt;top:145pt;width:320pt;height:54pt;z-index:2" arcsize="8%" fillcolor="#EAF3FB" strokecolor="#0078D4" strokeweight="1.3pt">
            <v:textbox inset="6pt,5pt,6pt,4pt">
              <w:txbxContent>
                <w:p>
                  <w:pPr>
                    <w:jc w:val="center"/>
                    <w:spacing w:after="0"/>
                  </w:pPr>
                  <w:r>
                    <w:rPr>
                      <w:rFonts w:ascii="Verdana" w:hAnsi="Verdana"/>
                      <w:b/>
                      <w:color w:val="17365D"/>
                      <w:sz w:val="26"/>
                    </w:rPr>
                    <w:t>Subscription</w:t>
                  </w:r>
                </w:p>
                <w:p>
                  <w:pPr>
                    <w:jc w:val="center"/>
                    <w:spacing w:before="0" w:after="0"/>
                  </w:pPr>
                  <w:r>
                    <w:rPr>
                      <w:rFonts w:ascii="Verdana" w:hAnsi="Verdana"/>
                      <w:color w:val="5B6573"/>
                      <w:sz w:val="18"/>
                    </w:rPr>
                    <w:t>Billing, quota and policy boundary</w:t>
                  </w:r>
                </w:p>
              </w:txbxContent>
            </v:textbox>
          </v:roundrect>
        </w:pict>
      </w:r>
      <w:r>
        <w:pict>
          <v:roundrect id="f2_3" style="position:absolute;left:80pt;top:215pt;width:320pt;height:54pt;z-index:2" arcsize="8%" fillcolor="#EAF5E4" strokecolor="#0078D4" strokeweight="1.3pt">
            <v:textbox inset="6pt,5pt,6pt,4pt">
              <w:txbxContent>
                <w:p>
                  <w:pPr>
                    <w:jc w:val="center"/>
                    <w:spacing w:after="0"/>
                  </w:pPr>
                  <w:r>
                    <w:rPr>
                      <w:rFonts w:ascii="Verdana" w:hAnsi="Verdana"/>
                      <w:b/>
                      <w:color w:val="17365D"/>
                      <w:sz w:val="26"/>
                    </w:rPr>
                    <w:t>Resource group</w:t>
                  </w:r>
                </w:p>
                <w:p>
                  <w:pPr>
                    <w:jc w:val="center"/>
                    <w:spacing w:before="0" w:after="0"/>
                  </w:pPr>
                  <w:r>
                    <w:rPr>
                      <w:rFonts w:ascii="Verdana" w:hAnsi="Verdana"/>
                      <w:color w:val="5B6573"/>
                      <w:sz w:val="18"/>
                    </w:rPr>
                    <w:t>Lifecycle grouping for related resources</w:t>
                  </w:r>
                </w:p>
              </w:txbxContent>
            </v:textbox>
          </v:roundrect>
        </w:pict>
      </w:r>
      <w:r>
        <w:pict>
          <v:roundrect id="f2_4" style="position:absolute;left:80pt;top:285pt;width:320pt;height:54pt;z-index:2" arcsize="8%" fillcolor="#FFF4D6" strokecolor="#0078D4" strokeweight="1.3pt">
            <v:textbox inset="6pt,5pt,6pt,4pt">
              <w:txbxContent>
                <w:p>
                  <w:pPr>
                    <w:jc w:val="center"/>
                    <w:spacing w:after="0"/>
                  </w:pPr>
                  <w:r>
                    <w:rPr>
                      <w:rFonts w:ascii="Verdana" w:hAnsi="Verdana"/>
                      <w:b/>
                      <w:color w:val="17365D"/>
                      <w:sz w:val="26"/>
                    </w:rPr>
                    <w:t>Azure resources</w:t>
                  </w:r>
                </w:p>
                <w:p>
                  <w:pPr>
                    <w:jc w:val="center"/>
                    <w:spacing w:before="0" w:after="0"/>
                  </w:pPr>
                  <w:r>
                    <w:rPr>
                      <w:rFonts w:ascii="Verdana" w:hAnsi="Verdana"/>
                      <w:color w:val="5B6573"/>
                      <w:sz w:val="18"/>
                    </w:rPr>
                    <w:t>App Service • Azure SQL • Storage • Key Vault</w:t>
                  </w:r>
                </w:p>
              </w:txbxContent>
            </v:textbox>
          </v:roundrect>
        </w:pict>
      </w:r>
      <w:r>
        <w:pict>
          <v:line id="f2_a0" from="240pt,59pt" to="240pt,75pt" style="position:absolute;z-index:1" strokecolor="#0078D4" strokeweight="1.4pt">
            <v:stroke endarrow="block"/>
          </v:line>
          <v:rect id="f2_a0_label" style="position:absolute;left:208.0pt;top:58.0pt;width:64pt;height:18pt;z-index:4" fillcolor="#FFFFFF" stroked="f">
            <v:textbox inset="2pt,1pt,2pt,1pt">
              <w:txbxContent>
                <w:p>
                  <w:pPr>
                    <w:jc w:val="center"/>
                    <w:spacing w:after="0"/>
                  </w:pPr>
                  <w:r>
                    <w:rPr>
                      <w:rFonts w:ascii="Verdana" w:hAnsi="Verdana"/>
                      <w:color w:val="687386"/>
                      <w:sz w:val="12"/>
                    </w:rPr>
                    <w:t>governs</w:t>
                  </w:r>
                </w:p>
              </w:txbxContent>
            </v:textbox>
          </v:rect>
        </w:pict>
      </w:r>
      <w:r>
        <w:pict>
          <v:line id="f2_a1" from="240pt,129pt" to="240pt,145pt" style="position:absolute;z-index:1" strokecolor="#0078D4" strokeweight="1.4pt">
            <v:stroke endarrow="block"/>
          </v:line>
          <v:rect id="f2_a1_label" style="position:absolute;left:208.0pt;top:128.0pt;width:64pt;height:18pt;z-index:4" fillcolor="#FFFFFF" stroked="f">
            <v:textbox inset="2pt,1pt,2pt,1pt">
              <w:txbxContent>
                <w:p>
                  <w:pPr>
                    <w:jc w:val="center"/>
                    <w:spacing w:after="0"/>
                  </w:pPr>
                  <w:r>
                    <w:rPr>
                      <w:rFonts w:ascii="Verdana" w:hAnsi="Verdana"/>
                      <w:color w:val="687386"/>
                      <w:sz w:val="12"/>
                    </w:rPr>
                    <w:t>contains</w:t>
                  </w:r>
                </w:p>
              </w:txbxContent>
            </v:textbox>
          </v:rect>
        </w:pict>
      </w:r>
      <w:r>
        <w:pict>
          <v:line id="f2_a2" from="240pt,199pt" to="240pt,215pt" style="position:absolute;z-index:1" strokecolor="#0078D4" strokeweight="1.4pt">
            <v:stroke endarrow="block"/>
          </v:line>
          <v:rect id="f2_a2_label" style="position:absolute;left:208.0pt;top:198.0pt;width:64pt;height:18pt;z-index:4" fillcolor="#FFFFFF" stroked="f">
            <v:textbox inset="2pt,1pt,2pt,1pt">
              <w:txbxContent>
                <w:p>
                  <w:pPr>
                    <w:jc w:val="center"/>
                    <w:spacing w:after="0"/>
                  </w:pPr>
                  <w:r>
                    <w:rPr>
                      <w:rFonts w:ascii="Verdana" w:hAnsi="Verdana"/>
                      <w:color w:val="687386"/>
                      <w:sz w:val="12"/>
                    </w:rPr>
                    <w:t>contains</w:t>
                  </w:r>
                </w:p>
              </w:txbxContent>
            </v:textbox>
          </v:rect>
        </w:pict>
      </w:r>
      <w:r>
        <w:pict>
          <v:line id="f2_a3" from="240pt,269pt" to="240pt,285pt" style="position:absolute;z-index:1" strokecolor="#0078D4" strokeweight="1.4pt">
            <v:stroke endarrow="block"/>
          </v:line>
          <v:rect id="f2_a3_label" style="position:absolute;left:208.0pt;top:268.0pt;width:64pt;height:18pt;z-index:4" fillcolor="#FFFFFF" stroked="f">
            <v:textbox inset="2pt,1pt,2pt,1pt">
              <w:txbxContent>
                <w:p>
                  <w:pPr>
                    <w:jc w:val="center"/>
                    <w:spacing w:after="0"/>
                  </w:pPr>
                  <w:r>
                    <w:rPr>
                      <w:rFonts w:ascii="Verdana" w:hAnsi="Verdana"/>
                      <w:color w:val="687386"/>
                      <w:sz w:val="12"/>
                    </w:rPr>
                    <w:t>contains</w:t>
                  </w:r>
                </w:p>
              </w:txbxContent>
            </v:textbox>
          </v:rect>
        </w:pict>
      </w:r>
    </w:p>
    <w:p>
      <w:pPr>
        <w:jc w:val="center"/>
      </w:pPr>
      <w:r>
        <w:rPr>
          <w:rFonts w:ascii="Verdana" w:hAnsi="Verdana"/>
        </w:rPr>
        <w:t>Figure 2. Azure organisational hierarchy. Every box, connector and label is a separate, editable Word object.</w:t>
      </w:r>
    </w:p>
    <w:p>
      <w:pPr>
        <w:pStyle w:val="Heading2"/>
        <w:keepNext/>
      </w:pPr>
      <w:r>
        <w:t>Tenant</w:t>
      </w:r>
    </w:p>
    <w:p>
      <w:r>
        <w:t>A Microsoft Entra tenant is the organisation’s cloud identity directory. Users, groups, enterprise applications, service principals and Managed Identities are represented here. Think identity boundary—not “a folder for Azure resources”.</w:t>
      </w:r>
    </w:p>
    <w:p>
      <w:pPr>
        <w:pStyle w:val="Heading2"/>
        <w:keepNext/>
      </w:pPr>
      <w:r>
        <w:t>Subscription</w:t>
      </w:r>
    </w:p>
    <w:p>
      <w:r>
        <w:t>A subscription is a deployment, billing, quota and governance boundary. Teams often separate environments or business areas with subscriptions when that gives useful control over cost, policy, permissions or blast radius.</w:t>
      </w:r>
    </w:p>
    <w:p>
      <w:pPr>
        <w:pStyle w:val="Heading2"/>
        <w:keepNext/>
      </w:pPr>
      <w:r>
        <w:t>Resource group</w:t>
      </w:r>
    </w:p>
    <w:p>
      <w:r>
        <w:t>A resource group is a logical management and lifecycle container. Put resources together when they are managed, deployed or retired together; do not treat it as a network boundary.</w:t>
      </w:r>
    </w:p>
    <w:tbl>
      <w:tblPr>
        <w:tblW w:type="auto" w:w="0"/>
        <w:jc w:val="center"/>
        <w:tblLayout w:type="fixed"/>
        <w:tblLook w:firstColumn="1" w:firstRow="1" w:lastColumn="0" w:lastRow="0" w:noHBand="0" w:noVBand="1" w:val="04A0"/>
      </w:tblPr>
      <w:tblGrid>
        <w:gridCol w:w="9792"/>
      </w:tblGrid>
      <w:tr>
        <w:trPr>
          <w:cantSplit/>
        </w:trPr>
        <w:tc>
          <w:tcPr>
            <w:tcW w:type="dxa" w:w="10166"/>
            <w:shd w:fill="EAF4FB"/>
            <w:tcMar>
              <w:top w:w="90" w:type="dxa"/>
              <w:start w:w="110" w:type="dxa"/>
              <w:bottom w:w="90" w:type="dxa"/>
              <w:end w:w="110" w:type="dxa"/>
            </w:tcMar>
            <w:vAlign w:val="center"/>
          </w:tcPr>
          <w:p>
            <w:r/>
            <w:r>
              <w:rPr>
                <w:rFonts w:ascii="Verdana" w:hAnsi="Verdana"/>
                <w:b/>
                <w:color w:val="17365D"/>
                <w:sz w:val="19"/>
              </w:rPr>
              <w:t>Building Society example</w:t>
            </w:r>
          </w:p>
          <w:p>
            <w:pPr>
              <w:spacing w:after="0"/>
            </w:pPr>
            <w:r>
              <w:rPr>
                <w:rFonts w:ascii="Verdana" w:hAnsi="Verdana"/>
                <w:color w:val="263442"/>
                <w:sz w:val="17"/>
              </w:rPr>
              <w:t>Tenant: Contoso | Subscription: Digital Banking DEV | Resource group: rg-bsportal-dev-uks-001 | Resources: App Service, Azure SQL, Storage, Application Insights.</w:t>
            </w:r>
          </w:p>
        </w:tc>
      </w:tr>
    </w:tbl>
    <w:p>
      <w:pPr>
        <w:spacing w:after="0"/>
      </w:pPr>
    </w:p>
    <w:p>
      <w:r>
        <w:br w:type="page"/>
      </w:r>
    </w:p>
    <w:p>
      <w:pPr>
        <w:pStyle w:val="Heading2"/>
      </w:pPr>
      <w:r>
        <w:t>A practical way to think about Azure scope</w:t>
      </w:r>
    </w:p>
    <w:p>
      <w:pPr>
        <w:pStyle w:val="Heading2"/>
      </w:pPr>
      <w:r>
        <w:t>Governance controls a developer should recognise</w:t>
      </w:r>
    </w:p>
    <w:p>
      <w:r>
        <w:t>Azure governance is not only an administrator concern. A developer can have valid code and still be unable to deploy because policy, quota, naming, region or permissions prevent the requested resource.</w:t>
      </w:r>
    </w:p>
    <w:p>
      <w:pPr>
        <w:pStyle w:val="ListBullet"/>
      </w:pPr>
      <w:r>
        <w:t>Azure Policy evaluates resource configuration against organisational rules. A policy can deny a region, require a tag, restrict a SKU or audit an insecure configuration.</w:t>
      </w:r>
    </w:p>
    <w:p>
      <w:pPr>
        <w:pStyle w:val="ListBullet"/>
      </w:pPr>
      <w:r>
        <w:t>Tags add business metadata such as Environment, Application, CostCentre and Owner. They help reporting and operations but are not a security boundary.</w:t>
      </w:r>
    </w:p>
    <w:p>
      <w:pPr>
        <w:pStyle w:val="ListBullet"/>
      </w:pPr>
      <w:r>
        <w:t>Resource locks protect important resources from accidental deletion or modification. They should be used deliberately because they can also block legitimate automation.</w:t>
      </w:r>
    </w:p>
    <w:p>
      <w:pPr>
        <w:pStyle w:val="ListBullet"/>
      </w:pPr>
      <w:r>
        <w:t>Naming conventions make resources easier to recognise in logs, cost reports and support conversations. Names should encode useful context without becoming excessively long.</w:t>
      </w:r>
    </w:p>
    <w:p>
      <w:r>
        <w:t>Example: if deployment of an Azure SQL resource is denied, read the deployment error before changing the Bicep template. The failure may be an Azure Policy decision rather than a syntax or application problem.</w:t>
      </w:r>
    </w:p>
    <w:p>
      <w:pPr/>
      <w:r>
        <w:t>When you deploy an application, always be able to answer four questions: which tenant contains the identities, which subscription owns the cost and policy boundary, which resource group owns the lifecycle of the workload resources, and which region hosts the service. These decisions affect access, billing, policy, naming, diagnostics and later support.</w:t>
      </w:r>
    </w:p>
    <w:p>
      <w:pPr/>
      <w:r>
        <w:t>A resource group is not a folder for everything owned by a team. It is a lifecycle boundary. Resources that are normally deployed, changed and removed together are good candidates to share a resource group. A shared monitoring workspace, networking hub or central Key Vault might have a different lifecycle and therefore belong elsewhere.</w:t>
      </w:r>
    </w:p>
    <w:p>
      <w:pPr/>
      <w:r>
        <w:t>For training, keep the model simple: one Building Society application, one environment, one subscription and one workload resource group. In production, the same principles scale to multiple subscriptions and environments without changing the developer’s mental model.</w:t>
      </w:r>
    </w:p>
    <w:p>
      <w:pPr>
        <w:pStyle w:val="Heading1"/>
      </w:pPr>
      <w:r>
        <w:t>3A. Enterprise Azure Landing Zones: Where Developers Fit</w:t>
      </w:r>
    </w:p>
    <w:p>
      <w:pPr/>
      <w:r>
        <w:t>In most enterprises, application teams do not create the Azure estate from scratch. They deploy into an existing Azure Landing Zone: a governed Azure environment where subscriptions, identity, policy, connectivity, logging and shared platform capabilities have already been established. For a developer, the key skill is understanding the boundary between the platform and application teams.</w:t>
      </w:r>
    </w:p>
    <w:p>
      <w:pPr>
        <w:pStyle w:val="Heading2"/>
      </w:pPr>
      <w:r>
        <w:t>What a developer should recognise</w:t>
      </w:r>
    </w:p>
    <w:p>
      <w:pPr>
        <w:pStyle w:val="ListBullet"/>
      </w:pPr>
      <w:r>
        <w:t>Management Groups organise subscriptions so governance can be applied consistently at scale.</w:t>
      </w:r>
    </w:p>
    <w:p>
      <w:pPr>
        <w:pStyle w:val="ListBullet"/>
      </w:pPr>
      <w:r>
        <w:t>Subscriptions provide deployment, billing and governance boundaries. Application teams are normally given an approved subscription or environment rather than creating one themselves.</w:t>
      </w:r>
    </w:p>
    <w:p>
      <w:pPr>
        <w:pStyle w:val="ListBullet"/>
      </w:pPr>
      <w:r>
        <w:t>Azure Policy can enforce or audit rules such as permitted regions, required tags, approved resource types, diagnostic settings or network restrictions.</w:t>
      </w:r>
    </w:p>
    <w:p>
      <w:pPr>
        <w:pStyle w:val="ListBullet"/>
      </w:pPr>
      <w:r>
        <w:t>RBAC determines who can deploy, configure or operate resources at management-group, subscription, resource-group or resource scope.</w:t>
      </w:r>
    </w:p>
    <w:p>
      <w:pPr>
        <w:pStyle w:val="ListBullet"/>
      </w:pPr>
      <w:r>
        <w:t>Shared platform services may include central monitoring, connectivity, DNS, security tooling, private connectivity and common automation.</w:t>
      </w:r>
    </w:p>
    <w:p>
      <w:pPr>
        <w:pStyle w:val="ListBullet"/>
      </w:pPr>
      <w:r>
        <w:t>Hub-and-spoke is a common enterprise networking pattern. Developers should understand that their application may run in a spoke connected to shared services; detailed hub routing and firewall design remains a platform/network responsibility.</w:t>
      </w:r>
    </w:p>
    <w:p>
      <w:pPr>
        <w:pStyle w:val="Heading2"/>
      </w:pPr>
      <w:r>
        <w:t>Platform team versus application team</w:t>
      </w:r>
    </w:p>
    <w:p>
      <w:pPr/>
      <w:r>
        <w:t>Platform teams typically own the Azure foundation: tenant-level governance, management groups, subscription vending, enterprise connectivity, shared security controls and baseline policy. Application teams own the workload: application code, service selection within approved guardrails, configuration, workload identity, data access, telemetry, deployment and application-level reliability.</w:t>
      </w:r>
    </w:p>
    <w:p>
      <w:pPr/>
      <w:r>
        <w:t>Building Society example: the platform team may provide a DEV subscription, approved UK region, policy, central logging and network connectivity. The application team then deploys the member application, App Service, Azure SQL and workload-specific configuration using the approved standards. The developer should not bypass the landing-zone controls simply because a portal option allows it.</w:t>
      </w:r>
    </w:p>
    <w:p>
      <w:pPr>
        <w:pStyle w:val="Heading2"/>
      </w:pPr>
      <w:r>
        <w:t>Developer questions before the first deployment</w:t>
      </w:r>
    </w:p>
    <w:p>
      <w:pPr>
        <w:pStyle w:val="ListBullet"/>
      </w:pPr>
      <w:r>
        <w:t>Which subscription and Resource Group should this workload use?</w:t>
      </w:r>
    </w:p>
    <w:p>
      <w:pPr>
        <w:pStyle w:val="ListBullet"/>
      </w:pPr>
      <w:r>
        <w:t>Which Azure regions and SKUs are permitted?</w:t>
      </w:r>
    </w:p>
    <w:p>
      <w:pPr>
        <w:pStyle w:val="ListBullet"/>
      </w:pPr>
      <w:r>
        <w:t>Which tags, naming rules and diagnostic settings are mandatory?</w:t>
      </w:r>
    </w:p>
    <w:p>
      <w:pPr>
        <w:pStyle w:val="ListBullet"/>
      </w:pPr>
      <w:r>
        <w:t>Can the application use public PaaS endpoints, or is private connectivity required?</w:t>
      </w:r>
    </w:p>
    <w:p>
      <w:pPr>
        <w:pStyle w:val="ListBullet"/>
      </w:pPr>
      <w:r>
        <w:t>Which permissions does the deployment identity have, and which permissions does the runtime identity need?</w:t>
      </w:r>
    </w:p>
    <w:p>
      <w:pPr>
        <w:pStyle w:val="ListBullet"/>
      </w:pPr>
      <w:r>
        <w:t>Which responsibilities belong to the application team and which should be requested from the platform team?</w:t>
      </w:r>
    </w:p>
    <w:p>
      <w:pPr>
        <w:pStyle w:val="Heading1"/>
        <w:keepNext/>
      </w:pPr>
      <w:r>
        <w:t>4. How Azure Is Managed</w:t>
      </w:r>
    </w:p>
    <w:p>
      <w:r>
        <w:t>Portal, CLI, PowerShell, SDKs and Bicep are different interfaces over Azure management APIs. Developers should learn the Portal for exploration, then automate repeatable work.</w:t>
      </w:r>
    </w:p>
    <w:p>
      <w:pPr>
        <w:pStyle w:val="Heading2"/>
        <w:keepNext/>
      </w:pPr>
      <w:r>
        <w:t>Portal → script → IaC</w:t>
      </w:r>
    </w:p>
    <w:p>
      <w:pPr>
        <w:pStyle w:val="ListBullet"/>
        <w:ind w:left="317" w:hanging="173"/>
      </w:pPr>
      <w:r>
        <w:t>Portal: useful for learning, inspection and one-off investigation.</w:t>
      </w:r>
    </w:p>
    <w:p>
      <w:pPr>
        <w:pStyle w:val="ListBullet"/>
        <w:ind w:left="317" w:hanging="173"/>
      </w:pPr>
      <w:r>
        <w:t>Azure CLI / PowerShell: useful for scripting, diagnostics and automation.</w:t>
      </w:r>
    </w:p>
    <w:p>
      <w:pPr>
        <w:pStyle w:val="ListBullet"/>
        <w:ind w:left="317" w:hanging="173"/>
      </w:pPr>
      <w:r>
        <w:t>Bicep: declarative Infrastructure as Code for repeatable Azure environments.</w:t>
      </w:r>
    </w:p>
    <w:p>
      <w:pPr>
        <w:pStyle w:val="ListBullet"/>
        <w:ind w:left="317" w:hanging="173"/>
      </w:pPr>
      <w:r>
        <w:t>CI/CD: runs validated deployment steps consistently and audibly.</w:t>
      </w:r>
    </w:p>
    <w:tbl>
      <w:tblPr>
        <w:tblW w:type="auto" w:w="0"/>
        <w:tblLook w:firstColumn="1" w:firstRow="1" w:lastColumn="0" w:lastRow="0" w:noHBand="0" w:noVBand="1" w:val="04A0"/>
      </w:tblPr>
      <w:tblGrid>
        <w:gridCol w:w="10166"/>
      </w:tblGrid>
      <w:tr>
        <w:trPr>
          <w:cantSplit/>
        </w:trPr>
        <w:tc>
          <w:tcPr>
            <w:tcW w:type="dxa" w:w="10166"/>
            <w:shd w:fill="F3F5F7"/>
            <w:tcMar>
              <w:top w:w="120" w:type="dxa"/>
              <w:start w:w="140" w:type="dxa"/>
              <w:bottom w:w="120" w:type="dxa"/>
              <w:end w:w="140" w:type="dxa"/>
            </w:tcMar>
          </w:tcPr>
          <w:p>
            <w:pPr>
              <w:spacing w:after="0"/>
            </w:pPr>
            <w:r/>
            <w:r>
              <w:rPr>
                <w:rFonts w:ascii="Consolas" w:hAnsi="Consolas"/>
                <w:color w:val="263442"/>
                <w:sz w:val="16"/>
              </w:rPr>
              <w:t>az login</w:t>
              <w:br/>
              <w:t>az account set --subscription "&lt;subscription-id&gt;"</w:t>
              <w:br/>
              <w:t>az group create --name rg-bsportal-dev-uks-001 --location uksouth</w:t>
            </w:r>
          </w:p>
        </w:tc>
      </w:tr>
    </w:tbl>
    <w:tbl>
      <w:tblPr>
        <w:tblW w:type="auto" w:w="0"/>
        <w:jc w:val="center"/>
        <w:tblLayout w:type="fixed"/>
        <w:tblLook w:firstColumn="1" w:firstRow="1" w:lastColumn="0" w:lastRow="0" w:noHBand="0" w:noVBand="1" w:val="04A0"/>
      </w:tblPr>
      <w:tblGrid>
        <w:gridCol w:w="9792"/>
      </w:tblGrid>
      <w:tr>
        <w:trPr>
          <w:cantSplit/>
        </w:trPr>
        <w:tc>
          <w:tcPr>
            <w:tcW w:type="dxa" w:w="10166"/>
            <w:shd w:fill="E8F3E3"/>
            <w:tcMar>
              <w:top w:w="90" w:type="dxa"/>
              <w:start w:w="110" w:type="dxa"/>
              <w:bottom w:w="90" w:type="dxa"/>
              <w:end w:w="110" w:type="dxa"/>
            </w:tcMar>
            <w:vAlign w:val="center"/>
          </w:tcPr>
          <w:p>
            <w:r/>
            <w:r>
              <w:rPr>
                <w:rFonts w:ascii="Verdana" w:hAnsi="Verdana"/>
                <w:b/>
                <w:color w:val="17365D"/>
                <w:sz w:val="19"/>
              </w:rPr>
              <w:t>Developer note</w:t>
            </w:r>
          </w:p>
          <w:p>
            <w:pPr>
              <w:spacing w:after="0"/>
            </w:pPr>
            <w:r>
              <w:rPr>
                <w:rFonts w:ascii="Verdana" w:hAnsi="Verdana"/>
                <w:color w:val="263442"/>
                <w:sz w:val="17"/>
              </w:rPr>
              <w:t>If a task must be repeated across DEV, TEST and PROD, capture it as code rather than relying on screenshots of Portal clicks.</w:t>
            </w:r>
          </w:p>
        </w:tc>
      </w:tr>
    </w:tbl>
    <w:p>
      <w:pPr>
        <w:spacing w:after="0"/>
      </w:pPr>
    </w:p>
    <w:p>
      <w:r>
        <w:br w:type="page"/>
      </w:r>
    </w:p>
    <w:p>
      <w:pPr>
        <w:pStyle w:val="Heading2"/>
      </w:pPr>
      <w:r>
        <w:t>Portal first, automation next</w:t>
      </w:r>
    </w:p>
    <w:p>
      <w:pPr/>
      <w:r>
        <w:t>The Azure portal is excellent for learning because it exposes the available settings and shows the resulting resource state. It is not a replacement for repeatable deployment. Once a team understands which resources and settings are required, capture them in Bicep or another approved Infrastructure as Code tool.</w:t>
      </w:r>
    </w:p>
    <w:p>
      <w:pPr/>
      <w:r>
        <w:t>Azure CLI and Azure PowerShell are useful for inspection, scripting and operational tasks. Bicep is better suited to declaring the desired Azure resource configuration. CI/CD then applies that declaration consistently. The tools are complementary: use the portal to explore, CLI or PowerShell to query and automate small tasks, and IaC to create repeatable environments.</w:t>
      </w:r>
    </w:p>
    <w:p>
      <w:pPr/>
      <w:r>
        <w:t>A useful developer habit is to avoid making an unexplained production-only portal change. If a setting matters to the application, decide whether it belongs in source-controlled infrastructure, application configuration or an operational runbook.</w:t>
      </w:r>
    </w:p>
    <w:p>
      <w:pPr>
        <w:pStyle w:val="Heading1"/>
        <w:keepNext/>
      </w:pPr>
      <w:r>
        <w:t>5. Architecture Before Services</w:t>
      </w:r>
    </w:p>
    <w:p>
      <w:r>
        <w:t>Architecture is the set of decisions that make the workload meet functional and non-functional requirements. Service selection is one consequence of those decisions.</w:t>
      </w:r>
    </w:p>
    <w:p>
      <w:pPr>
        <w:pStyle w:val="Heading2"/>
        <w:keepNext/>
      </w:pPr>
      <w:r>
        <w:t>Think in layers</w:t>
      </w:r>
    </w:p>
    <w:p>
      <w:pPr>
        <w:pStyle w:val="ListBullet"/>
        <w:ind w:left="317" w:hanging="173"/>
      </w:pPr>
      <w:r>
        <w:t>Clients and entry: who calls the system and over which protocol?</w:t>
      </w:r>
    </w:p>
    <w:p>
      <w:pPr>
        <w:pStyle w:val="ListBullet"/>
        <w:ind w:left="317" w:hanging="173"/>
      </w:pPr>
      <w:r>
        <w:t>Application/compute: where does the code execute?</w:t>
      </w:r>
    </w:p>
    <w:p>
      <w:pPr>
        <w:pStyle w:val="ListBullet"/>
        <w:ind w:left="317" w:hanging="173"/>
      </w:pPr>
      <w:r>
        <w:t>Data: relational, object, cache or other state?</w:t>
      </w:r>
    </w:p>
    <w:p>
      <w:pPr>
        <w:pStyle w:val="ListBullet"/>
        <w:ind w:left="317" w:hanging="173"/>
      </w:pPr>
      <w:r>
        <w:t>Identity and authorisation: who/what is calling and what may it do?</w:t>
      </w:r>
    </w:p>
    <w:p>
      <w:pPr>
        <w:pStyle w:val="ListBullet"/>
        <w:ind w:left="317" w:hanging="173"/>
      </w:pPr>
      <w:r>
        <w:t>Networking: public, restricted public, or private path?</w:t>
      </w:r>
    </w:p>
    <w:p>
      <w:pPr>
        <w:pStyle w:val="ListBullet"/>
        <w:ind w:left="317" w:hanging="173"/>
      </w:pPr>
      <w:r>
        <w:t>Observability: how will the team detect and diagnose failure?</w:t>
      </w:r>
    </w:p>
    <w:p>
      <w:pPr>
        <w:pStyle w:val="ListBullet"/>
        <w:ind w:left="317" w:hanging="173"/>
      </w:pPr>
      <w:r>
        <w:t>Resilience: what fails, what retries, and what must recover?</w:t>
      </w:r>
    </w:p>
    <w:p>
      <w:pPr>
        <w:pStyle w:val="ListBullet"/>
        <w:ind w:left="317" w:hanging="173"/>
      </w:pPr>
      <w:r>
        <w:t>Delivery: how are infrastructure and application changes promoted safely?</w:t>
      </w:r>
    </w:p>
    <w:p>
      <w:pPr>
        <w:pStyle w:val="Heading2"/>
        <w:keepNext/>
      </w:pPr>
      <w:r>
        <w:t>Azure Well-Architected questions</w:t>
      </w:r>
    </w:p>
    <w:p>
      <w:r>
        <w:t>Use the Well-Architected pillars—Reliability, Security, Cost Optimisation, Operational Excellence and Performance Efficiency—to challenge design choices. The purpose is not to maximise every pillar; it is to make trade-offs explicit.</w:t>
      </w:r>
    </w:p>
    <w:tbl>
      <w:tblPr>
        <w:tblW w:type="auto" w:w="0"/>
        <w:jc w:val="center"/>
        <w:tblLayout w:type="fixed"/>
        <w:tblLook w:firstColumn="1" w:firstRow="1" w:lastColumn="0" w:lastRow="0" w:noHBand="0" w:noVBand="1" w:val="04A0"/>
      </w:tblPr>
      <w:tblGrid>
        <w:gridCol w:w="9792"/>
      </w:tblGrid>
      <w:tr>
        <w:trPr>
          <w:cantSplit/>
        </w:trPr>
        <w:tc>
          <w:tcPr>
            <w:tcW w:type="dxa" w:w="10166"/>
            <w:shd w:fill="E8F3E3"/>
            <w:tcMar>
              <w:top w:w="90" w:type="dxa"/>
              <w:start w:w="110" w:type="dxa"/>
              <w:bottom w:w="90" w:type="dxa"/>
              <w:end w:w="110" w:type="dxa"/>
            </w:tcMar>
            <w:vAlign w:val="center"/>
          </w:tcPr>
          <w:p>
            <w:r/>
            <w:r>
              <w:rPr>
                <w:rFonts w:ascii="Verdana" w:hAnsi="Verdana"/>
                <w:b/>
                <w:color w:val="17365D"/>
                <w:sz w:val="19"/>
              </w:rPr>
              <w:t>Architecture decision</w:t>
            </w:r>
          </w:p>
          <w:p>
            <w:pPr>
              <w:spacing w:after="0"/>
            </w:pPr>
            <w:r>
              <w:rPr>
                <w:rFonts w:ascii="Verdana" w:hAnsi="Verdana"/>
                <w:color w:val="263442"/>
                <w:sz w:val="17"/>
              </w:rPr>
              <w:t>A service is “right” only in the context of requirements. App Service may be excellent for one .NET API and wrong for a workload that needs OS drivers or Kubernetes-level orchestration.</w:t>
            </w:r>
          </w:p>
        </w:tc>
      </w:tr>
    </w:tbl>
    <w:p>
      <w:pPr>
        <w:spacing w:after="0"/>
      </w:pPr>
    </w:p>
    <w:p>
      <w:r>
        <w:br w:type="page"/>
      </w:r>
    </w:p>
    <w:p>
      <w:pPr>
        <w:pStyle w:val="Heading2"/>
      </w:pPr>
      <w:r>
        <w:t>Start with requirements, not the service catalogue</w:t>
      </w:r>
    </w:p>
    <w:p>
      <w:pPr/>
      <w:r>
        <w:t>Before selecting an Azure service, write down the workload shape. Identify users, expected traffic, data sensitivity, integration points, latency expectations, recovery expectations, deployment frequency and any regulatory constraints. A service choice is only defensible when it can be traced back to one or more of these requirements.</w:t>
      </w:r>
    </w:p>
    <w:p>
      <w:pPr/>
      <w:r>
        <w:t>Functional requirements describe what the system must do. Non-functional requirements describe qualities such as availability, security, performance, recoverability, maintainability and cost. Cloud architecture frequently fails when teams capture the functional requirements but leave the non-functional requirements implicit.</w:t>
      </w:r>
    </w:p>
    <w:p>
      <w:pPr/>
      <w:r>
        <w:t>For the Building Society application, a simple web/API workload with relational data makes App Service and Azure SQL a sensible learning baseline. If the requirement changed to long-running background processing, Kubernetes-level control, specialist operating-system software or very high event throughput, the architecture decision could change.</w:t>
      </w:r>
    </w:p>
    <w:p>
      <w:pPr>
        <w:pStyle w:val="Heading1"/>
        <w:keepNext/>
      </w:pPr>
      <w:r>
        <w:t>6. Choosing Compute</w:t>
      </w:r>
    </w:p>
    <w:p>
      <w:r>
        <w:t>For an experienced .NET developer, compute choice is mostly about how much platform control and operational responsibility the workload actually needs.</w:t>
      </w:r>
    </w:p>
    <w:p>
      <w:pPr>
        <w:spacing w:after="6552"/>
        <w:jc w:val="center"/>
      </w:pPr>
      <w:r>
        <w:pict>
          <v:roundrect id="f3_0" style="position:absolute;left:55pt;top:10pt;width:370pt;height:46pt;z-index:2" arcsize="8%" fillcolor="#EAF3FB" strokecolor="#0078D4" strokeweight="1.3pt">
            <v:textbox inset="6pt,5pt,6pt,4pt">
              <w:txbxContent>
                <w:p>
                  <w:pPr>
                    <w:jc w:val="center"/>
                    <w:spacing w:after="0"/>
                  </w:pPr>
                  <w:r>
                    <w:rPr>
                      <w:rFonts w:ascii="Verdana" w:hAnsi="Verdana"/>
                      <w:b/>
                      <w:color w:val="17365D"/>
                      <w:sz w:val="24"/>
                    </w:rPr>
                    <w:t>App Service</w:t>
                  </w:r>
                </w:p>
                <w:p>
                  <w:pPr>
                    <w:jc w:val="center"/>
                    <w:spacing w:before="0" w:after="0"/>
                  </w:pPr>
                  <w:r>
                    <w:rPr>
                      <w:rFonts w:ascii="Verdana" w:hAnsi="Verdana"/>
                      <w:color w:val="5B6573"/>
                      <w:sz w:val="16"/>
                    </w:rPr>
                    <w:t>Managed web apps and APIs</w:t>
                  </w:r>
                </w:p>
              </w:txbxContent>
            </v:textbox>
          </v:roundrect>
        </w:pict>
      </w:r>
      <w:r>
        <w:pict>
          <v:roundrect id="f3_1" style="position:absolute;left:55pt;top:68pt;width:370pt;height:46pt;z-index:2" arcsize="8%" fillcolor="#EAF3FB" strokecolor="#0078D4" strokeweight="1.3pt">
            <v:textbox inset="6pt,5pt,6pt,4pt">
              <w:txbxContent>
                <w:p>
                  <w:pPr>
                    <w:jc w:val="center"/>
                    <w:spacing w:after="0"/>
                  </w:pPr>
                  <w:r>
                    <w:rPr>
                      <w:rFonts w:ascii="Verdana" w:hAnsi="Verdana"/>
                      <w:b/>
                      <w:color w:val="17365D"/>
                      <w:sz w:val="24"/>
                    </w:rPr>
                    <w:t>Azure Functions</w:t>
                  </w:r>
                </w:p>
                <w:p>
                  <w:pPr>
                    <w:jc w:val="center"/>
                    <w:spacing w:before="0" w:after="0"/>
                  </w:pPr>
                  <w:r>
                    <w:rPr>
                      <w:rFonts w:ascii="Verdana" w:hAnsi="Verdana"/>
                      <w:color w:val="5B6573"/>
                      <w:sz w:val="16"/>
                    </w:rPr>
                    <w:t>Event-driven or short-lived execution</w:t>
                  </w:r>
                </w:p>
              </w:txbxContent>
            </v:textbox>
          </v:roundrect>
        </w:pict>
      </w:r>
      <w:r>
        <w:pict>
          <v:roundrect id="f3_2" style="position:absolute;left:55pt;top:126pt;width:370pt;height:46pt;z-index:2" arcsize="8%" fillcolor="#EAF3FB" strokecolor="#0078D4" strokeweight="1.3pt">
            <v:textbox inset="6pt,5pt,6pt,4pt">
              <w:txbxContent>
                <w:p>
                  <w:pPr>
                    <w:jc w:val="center"/>
                    <w:spacing w:after="0"/>
                  </w:pPr>
                  <w:r>
                    <w:rPr>
                      <w:rFonts w:ascii="Verdana" w:hAnsi="Verdana"/>
                      <w:b/>
                      <w:color w:val="17365D"/>
                      <w:sz w:val="24"/>
                    </w:rPr>
                    <w:t>Container Apps</w:t>
                  </w:r>
                </w:p>
                <w:p>
                  <w:pPr>
                    <w:jc w:val="center"/>
                    <w:spacing w:before="0" w:after="0"/>
                  </w:pPr>
                  <w:r>
                    <w:rPr>
                      <w:rFonts w:ascii="Verdana" w:hAnsi="Verdana"/>
                      <w:color w:val="5B6573"/>
                      <w:sz w:val="16"/>
                    </w:rPr>
                    <w:t>Containerised apps without Kubernetes management</w:t>
                  </w:r>
                </w:p>
              </w:txbxContent>
            </v:textbox>
          </v:roundrect>
        </w:pict>
      </w:r>
      <w:r>
        <w:pict>
          <v:roundrect id="f3_3" style="position:absolute;left:55pt;top:184pt;width:370pt;height:46pt;z-index:2" arcsize="8%" fillcolor="#EAF3FB" strokecolor="#0078D4" strokeweight="1.3pt">
            <v:textbox inset="6pt,5pt,6pt,4pt">
              <w:txbxContent>
                <w:p>
                  <w:pPr>
                    <w:jc w:val="center"/>
                    <w:spacing w:after="0"/>
                  </w:pPr>
                  <w:r>
                    <w:rPr>
                      <w:rFonts w:ascii="Verdana" w:hAnsi="Verdana"/>
                      <w:b/>
                      <w:color w:val="17365D"/>
                      <w:sz w:val="24"/>
                    </w:rPr>
                    <w:t>AKS</w:t>
                  </w:r>
                </w:p>
                <w:p>
                  <w:pPr>
                    <w:jc w:val="center"/>
                    <w:spacing w:before="0" w:after="0"/>
                  </w:pPr>
                  <w:r>
                    <w:rPr>
                      <w:rFonts w:ascii="Verdana" w:hAnsi="Verdana"/>
                      <w:color w:val="5B6573"/>
                      <w:sz w:val="16"/>
                    </w:rPr>
                    <w:t>Kubernetes when orchestration control is required</w:t>
                  </w:r>
                </w:p>
              </w:txbxContent>
            </v:textbox>
          </v:roundrect>
        </w:pict>
      </w:r>
      <w:r>
        <w:pict>
          <v:roundrect id="f3_4" style="position:absolute;left:55pt;top:242pt;width:370pt;height:46pt;z-index:2" arcsize="8%" fillcolor="#EAF3FB" strokecolor="#0078D4" strokeweight="1.3pt">
            <v:textbox inset="6pt,5pt,6pt,4pt">
              <w:txbxContent>
                <w:p>
                  <w:pPr>
                    <w:jc w:val="center"/>
                    <w:spacing w:after="0"/>
                  </w:pPr>
                  <w:r>
                    <w:rPr>
                      <w:rFonts w:ascii="Verdana" w:hAnsi="Verdana"/>
                      <w:b/>
                      <w:color w:val="17365D"/>
                      <w:sz w:val="24"/>
                    </w:rPr>
                    <w:t>Virtual Machines</w:t>
                  </w:r>
                </w:p>
                <w:p>
                  <w:pPr>
                    <w:jc w:val="center"/>
                    <w:spacing w:before="0" w:after="0"/>
                  </w:pPr>
                  <w:r>
                    <w:rPr>
                      <w:rFonts w:ascii="Verdana" w:hAnsi="Verdana"/>
                      <w:color w:val="5B6573"/>
                      <w:sz w:val="16"/>
                    </w:rPr>
                    <w:t>OS-level control or legacy requirements</w:t>
                  </w:r>
                </w:p>
              </w:txbxContent>
            </v:textbox>
          </v:roundrect>
        </w:pict>
      </w:r>
    </w:p>
    <w:p>
      <w:pPr>
        <w:jc w:val="center"/>
      </w:pPr>
      <w:r>
        <w:rPr>
          <w:rFonts w:ascii="Verdana" w:hAnsi="Verdana"/>
        </w:rPr>
        <w:t>Figure 3. Azure compute decision view. Each option is a separate, editable Word object.</w:t>
      </w:r>
    </w:p>
    <w:p>
      <w:pPr>
        <w:pStyle w:val="Heading2"/>
        <w:keepNext/>
      </w:pPr>
      <w:r>
        <w:t>Why App Service for the training scenario?</w:t>
      </w:r>
    </w:p>
    <w:p>
      <w:r>
        <w:t>The Building Society workload is a conventional web/API application. It needs HTTPS hosting, configuration, identity, scaling, deployment slots and monitoring, but it does not require direct OS management or Kubernetes. App Service therefore gives a useful PaaS learning path with lower operational overhead.</w:t>
      </w:r>
    </w:p>
    <w:tbl>
      <w:tblPr>
        <w:tblW w:type="auto" w:w="0"/>
        <w:jc w:val="center"/>
        <w:tblLayout w:type="fixed"/>
        <w:tblLook w:firstColumn="1" w:firstRow="1" w:lastColumn="0" w:lastRow="0" w:noHBand="0" w:noVBand="1" w:val="04A0"/>
      </w:tblPr>
      <w:tblGrid>
        <w:gridCol w:w="9792"/>
      </w:tblGrid>
      <w:tr>
        <w:trPr>
          <w:cantSplit/>
        </w:trPr>
        <w:tc>
          <w:tcPr>
            <w:tcW w:type="dxa" w:w="10166"/>
            <w:shd w:fill="FFF4D6"/>
            <w:tcMar>
              <w:top w:w="90" w:type="dxa"/>
              <w:start w:w="110" w:type="dxa"/>
              <w:bottom w:w="90" w:type="dxa"/>
              <w:end w:w="110" w:type="dxa"/>
            </w:tcMar>
            <w:vAlign w:val="center"/>
          </w:tcPr>
          <w:p>
            <w:r/>
            <w:r>
              <w:rPr>
                <w:rFonts w:ascii="Verdana" w:hAnsi="Verdana"/>
                <w:b/>
                <w:color w:val="17365D"/>
                <w:sz w:val="19"/>
              </w:rPr>
              <w:t>When not to use App Service</w:t>
            </w:r>
          </w:p>
          <w:p>
            <w:pPr>
              <w:spacing w:after="0"/>
            </w:pPr>
            <w:r>
              <w:rPr>
                <w:rFonts w:ascii="Verdana" w:hAnsi="Verdana"/>
                <w:color w:val="263442"/>
                <w:sz w:val="17"/>
              </w:rPr>
              <w:t>Consider other compute when the application requires specialised OS control, a Kubernetes platform, complex container topology, highly event-driven serverless execution, or constraints that App Service cannot satisfy.</w:t>
            </w:r>
          </w:p>
        </w:tc>
      </w:tr>
    </w:tbl>
    <w:p>
      <w:pPr>
        <w:spacing w:after="0"/>
      </w:pPr>
    </w:p>
    <w:p>
      <w:r>
        <w:br w:type="page"/>
      </w:r>
    </w:p>
    <w:p>
      <w:pPr>
        <w:pStyle w:val="Heading2"/>
      </w:pPr>
      <w:r>
        <w:t>A developer decision framework</w:t>
      </w:r>
    </w:p>
    <w:p>
      <w:pPr>
        <w:pStyle w:val="Heading2"/>
      </w:pPr>
      <w:r>
        <w:t>Compute selection: requirements that change the answer</w:t>
      </w:r>
    </w:p>
    <w:p>
      <w:r>
        <w:t>App Service is the default practical choice for this course because it fits a conventional HTTP .NET web/API workload and removes operating-system management. It is not the universal answer.</w:t>
      </w:r>
    </w:p>
    <w:p>
      <w:pPr>
        <w:pStyle w:val="ListBullet"/>
      </w:pPr>
      <w:r>
        <w:t>Choose App Service when the workload is primarily a web application or API and the team wants managed hosting, integrated deployment, scaling and platform features.</w:t>
      </w:r>
    </w:p>
    <w:p>
      <w:pPr>
        <w:pStyle w:val="ListBullet"/>
      </w:pPr>
      <w:r>
        <w:t>Consider Azure Functions when execution is event-driven, short-lived or naturally triggered by HTTP, timers, queues or events.</w:t>
      </w:r>
    </w:p>
    <w:p>
      <w:pPr>
        <w:pStyle w:val="ListBullet"/>
      </w:pPr>
      <w:r>
        <w:t>Consider Azure Container Apps when the application is already containerised or needs container-oriented revisions, scaling and microservice patterns without managing Kubernetes.</w:t>
      </w:r>
    </w:p>
    <w:p>
      <w:pPr>
        <w:pStyle w:val="ListBullet"/>
      </w:pPr>
      <w:r>
        <w:t>Consider AKS when Kubernetes itself is a requirement and the organisation can operate the additional platform complexity.</w:t>
      </w:r>
    </w:p>
    <w:p>
      <w:pPr>
        <w:pStyle w:val="ListBullet"/>
      </w:pPr>
      <w:r>
        <w:t>Consider VMs when the workload needs operating-system control, unsupported software, specialist agents or legacy installation behaviour that PaaS cannot provide.</w:t>
      </w:r>
    </w:p>
    <w:p>
      <w:r>
        <w:t>Architecture exercise: if a vendor component requires a Windows service installed at OS level, App Service may no longer be appropriate. If the same component is replaced with a managed HTTP API, reconsider PaaS.</w:t>
      </w:r>
    </w:p>
    <w:p>
      <w:pPr/>
      <w:r>
        <w:t>Choose compute by asking how much platform control the workload actually needs. App Service is a strong default for conventional web applications and APIs. Functions are useful for event-driven or short-lived execution. Container Apps suit containerised applications that need more container-level control without requiring a Kubernetes control plane. AKS is appropriate when Kubernetes itself is a justified platform requirement. Virtual Machines are appropriate when operating-system control or legacy compatibility is required.</w:t>
      </w:r>
    </w:p>
    <w:p>
      <w:pPr/>
      <w:r>
        <w:t>Do not choose the most flexible service by default. Flexibility creates operational responsibility. If App Service satisfies the runtime, networking, scaling and deployment requirements, choosing a VM or Kubernetes platform can add patching, hardening, cluster operations and support work without adding business value.</w:t>
      </w:r>
    </w:p>
    <w:p>
      <w:pPr/>
      <w:r>
        <w:t>The decision should be recorded. A short architecture decision record can state the requirement, considered options, chosen service, reasons, trade-offs and conditions that would cause the team to revisit the decision.</w:t>
      </w:r>
    </w:p>
    <w:p>
      <w:pPr>
        <w:pStyle w:val="Heading1"/>
        <w:keepNext/>
      </w:pPr>
      <w:r>
        <w:t>7. App Service: Hosting the .NET Application</w:t>
      </w:r>
    </w:p>
    <w:p>
      <w:r>
        <w:t>Azure App Service is a managed web application platform. The developer remains responsible for the application, configuration, identity, dependencies and production behaviour while Azure manages the underlying web hosting platform.</w:t>
      </w:r>
    </w:p>
    <w:p>
      <w:pPr>
        <w:pStyle w:val="Heading2"/>
        <w:keepNext/>
      </w:pPr>
      <w:r>
        <w:t>What changes from IIS?</w:t>
      </w:r>
    </w:p>
    <w:p>
      <w:pPr>
        <w:pStyle w:val="ListBullet"/>
        <w:ind w:left="317" w:hanging="173"/>
      </w:pPr>
      <w:r>
        <w:t>You deploy to an App Service app rather than administering a web server.</w:t>
      </w:r>
    </w:p>
    <w:p>
      <w:pPr>
        <w:pStyle w:val="ListBullet"/>
        <w:ind w:left="317" w:hanging="173"/>
      </w:pPr>
      <w:r>
        <w:t>Application settings are supplied as environment configuration.</w:t>
      </w:r>
    </w:p>
    <w:p>
      <w:pPr>
        <w:pStyle w:val="ListBullet"/>
        <w:ind w:left="317" w:hanging="173"/>
      </w:pPr>
      <w:r>
        <w:t>Scale-out can create multiple instances, so local process memory and local files must not be treated as shared durable state.</w:t>
      </w:r>
    </w:p>
    <w:p>
      <w:pPr>
        <w:pStyle w:val="ListBullet"/>
        <w:ind w:left="317" w:hanging="173"/>
      </w:pPr>
      <w:r>
        <w:t>Managed Identity can represent the application to Azure dependencies.</w:t>
      </w:r>
    </w:p>
    <w:p>
      <w:pPr>
        <w:pStyle w:val="ListBullet"/>
        <w:ind w:left="317" w:hanging="173"/>
      </w:pPr>
      <w:r>
        <w:t>Application Insights can instrument requests, dependencies, exceptions and traces.</w:t>
      </w:r>
    </w:p>
    <w:p>
      <w:pPr>
        <w:spacing w:after="4680"/>
        <w:jc w:val="center"/>
      </w:pPr>
      <w:r>
        <w:pict>
          <v:roundrect id="Figure 4._0" style="position:absolute;left:8.0pt;top:25pt;width:103.0pt;height:74pt;z-index:2" arcsize="8%" fillcolor="#EAF3FB" strokecolor="#0078D4" strokeweight="1.3pt">
            <v:textbox inset="6pt,5pt,6pt,4pt">
              <w:txbxContent>
                <w:p>
                  <w:pPr>
                    <w:jc w:val="center"/>
                    <w:spacing w:after="0"/>
                  </w:pPr>
                  <w:r>
                    <w:rPr>
                      <w:rFonts w:ascii="Verdana" w:hAnsi="Verdana"/>
                      <w:b/>
                      <w:color w:val="17365D"/>
                      <w:sz w:val="28"/>
                    </w:rPr>
                    <w:t>Member / Staff</w:t>
                  </w:r>
                </w:p>
                <w:p>
                  <w:pPr>
                    <w:jc w:val="center"/>
                    <w:spacing w:before="0" w:after="0"/>
                  </w:pPr>
                  <w:r>
                    <w:rPr>
                      <w:rFonts w:ascii="Verdana" w:hAnsi="Verdana"/>
                      <w:color w:val="5B6573"/>
                      <w:sz w:val="18"/>
                    </w:rPr>
                    <w:t>HTTPS client</w:t>
                  </w:r>
                </w:p>
              </w:txbxContent>
            </v:textbox>
          </v:roundrect>
        </w:pict>
      </w:r>
      <w:r>
        <w:pict>
          <v:line id="Figure 4._a0" from="111.0pt,62.0pt" to="125.0pt,62.0pt" style="position:absolute;z-index:1" strokecolor="#0078D4" strokeweight="1.4pt">
            <v:stroke endarrow="block"/>
          </v:line>
        </w:pict>
      </w:r>
      <w:r>
        <w:pict>
          <v:roundrect id="Figure 4._1" style="position:absolute;left:125.0pt;top:25pt;width:103.0pt;height:74pt;z-index:2" arcsize="8%" fillcolor="#EAF5E4" strokecolor="#0078D4" strokeweight="1.3pt">
            <v:textbox inset="6pt,5pt,6pt,4pt">
              <w:txbxContent>
                <w:p>
                  <w:pPr>
                    <w:jc w:val="center"/>
                    <w:spacing w:after="0"/>
                  </w:pPr>
                  <w:r>
                    <w:rPr>
                      <w:rFonts w:ascii="Verdana" w:hAnsi="Verdana"/>
                      <w:b/>
                      <w:color w:val="17365D"/>
                      <w:sz w:val="28"/>
                    </w:rPr>
                    <w:t>Azure App Service</w:t>
                  </w:r>
                </w:p>
                <w:p>
                  <w:pPr>
                    <w:jc w:val="center"/>
                    <w:spacing w:before="0" w:after="0"/>
                  </w:pPr>
                  <w:r>
                    <w:rPr>
                      <w:rFonts w:ascii="Verdana" w:hAnsi="Verdana"/>
                      <w:color w:val="5B6573"/>
                      <w:sz w:val="18"/>
                    </w:rPr>
                    <w:t>Managed hosting</w:t>
                  </w:r>
                </w:p>
              </w:txbxContent>
            </v:textbox>
          </v:roundrect>
        </w:pict>
      </w:r>
      <w:r>
        <w:pict>
          <v:line id="Figure 4._a1" from="228.0pt,62.0pt" to="242.0pt,62.0pt" style="position:absolute;z-index:1" strokecolor="#0078D4" strokeweight="1.4pt">
            <v:stroke endarrow="block"/>
          </v:line>
        </w:pict>
      </w:r>
      <w:r>
        <w:pict>
          <v:roundrect id="Figure 4._2" style="position:absolute;left:242.0pt;top:25pt;width:103.0pt;height:74pt;z-index:2" arcsize="8%" fillcolor="#EAF5E4" strokecolor="#0078D4" strokeweight="1.3pt">
            <v:textbox inset="6pt,5pt,6pt,4pt">
              <w:txbxContent>
                <w:p>
                  <w:pPr>
                    <w:jc w:val="center"/>
                    <w:spacing w:after="0"/>
                  </w:pPr>
                  <w:r>
                    <w:rPr>
                      <w:rFonts w:ascii="Verdana" w:hAnsi="Verdana"/>
                      <w:b/>
                      <w:color w:val="17365D"/>
                      <w:sz w:val="28"/>
                    </w:rPr>
                    <w:t>.NET Web / API</w:t>
                  </w:r>
                </w:p>
                <w:p>
                  <w:pPr>
                    <w:jc w:val="center"/>
                    <w:spacing w:before="0" w:after="0"/>
                  </w:pPr>
                  <w:r>
                    <w:rPr>
                      <w:rFonts w:ascii="Verdana" w:hAnsi="Verdana"/>
                      <w:color w:val="5B6573"/>
                      <w:sz w:val="18"/>
                    </w:rPr>
                    <w:t>Application</w:t>
                  </w:r>
                </w:p>
              </w:txbxContent>
            </v:textbox>
          </v:roundrect>
        </w:pict>
      </w:r>
      <w:r>
        <w:pict>
          <v:line id="Figure 4._a2" from="345.0pt,62.0pt" to="359.0pt,62.0pt" style="position:absolute;z-index:1" strokecolor="#0078D4" strokeweight="1.4pt">
            <v:stroke endarrow="block"/>
          </v:line>
        </w:pict>
      </w:r>
      <w:r>
        <w:pict>
          <v:roundrect id="Figure 4._3" style="position:absolute;left:359.0pt;top:25pt;width:103.0pt;height:74pt;z-index:2" arcsize="8%" fillcolor="#FFF4D6" strokecolor="#0078D4" strokeweight="1.3pt">
            <v:textbox inset="6pt,5pt,6pt,4pt">
              <w:txbxContent>
                <w:p>
                  <w:pPr>
                    <w:jc w:val="center"/>
                    <w:spacing w:after="0"/>
                  </w:pPr>
                  <w:r>
                    <w:rPr>
                      <w:rFonts w:ascii="Verdana" w:hAnsi="Verdana"/>
                      <w:b/>
                      <w:color w:val="17365D"/>
                      <w:sz w:val="28"/>
                    </w:rPr>
                    <w:t>Azure SQL</w:t>
                  </w:r>
                </w:p>
                <w:p>
                  <w:pPr>
                    <w:jc w:val="center"/>
                    <w:spacing w:before="0" w:after="0"/>
                  </w:pPr>
                  <w:r>
                    <w:rPr>
                      <w:rFonts w:ascii="Verdana" w:hAnsi="Verdana"/>
                      <w:color w:val="5B6573"/>
                      <w:sz w:val="18"/>
                    </w:rPr>
                    <w:t>Relational data</w:t>
                  </w:r>
                </w:p>
              </w:txbxContent>
            </v:textbox>
          </v:roundrect>
        </w:pict>
      </w:r>
    </w:p>
    <w:p>
      <w:pPr>
        <w:jc w:val="center"/>
      </w:pPr>
      <w:r>
        <w:rPr>
          <w:rFonts w:ascii="Verdana" w:hAnsi="Verdana"/>
        </w:rPr>
        <w:t>Figure 4. First Azure version of the Building Society application.</w:t>
      </w:r>
    </w:p>
    <w:tbl>
      <w:tblPr>
        <w:tblW w:type="auto" w:w="0"/>
        <w:tblLook w:firstColumn="1" w:firstRow="1" w:lastColumn="0" w:lastRow="0" w:noHBand="0" w:noVBand="1" w:val="04A0"/>
      </w:tblPr>
      <w:tblGrid>
        <w:gridCol w:w="10166"/>
      </w:tblGrid>
      <w:tr>
        <w:trPr>
          <w:cantSplit/>
        </w:trPr>
        <w:tc>
          <w:tcPr>
            <w:tcW w:type="dxa" w:w="10166"/>
            <w:shd w:fill="F3F5F7"/>
            <w:tcMar>
              <w:top w:w="120" w:type="dxa"/>
              <w:start w:w="140" w:type="dxa"/>
              <w:bottom w:w="120" w:type="dxa"/>
              <w:end w:w="140" w:type="dxa"/>
            </w:tcMar>
          </w:tcPr>
          <w:p>
            <w:pPr>
              <w:spacing w:after="0"/>
            </w:pPr>
            <w:r/>
            <w:r>
              <w:rPr>
                <w:rFonts w:ascii="Consolas" w:hAnsi="Consolas"/>
                <w:color w:val="263442"/>
                <w:sz w:val="16"/>
              </w:rPr>
              <w:t>var builder = WebApplication.CreateBuilder(args);</w:t>
              <w:br/>
              <w:t>var app = builder.Build();</w:t>
              <w:br/>
              <w:br/>
              <w:t>app.MapGet("/health", () =&gt; Results.Ok(new { status = "healthy" }));</w:t>
              <w:br/>
              <w:t>app.Run();</w:t>
            </w:r>
          </w:p>
        </w:tc>
      </w:tr>
    </w:tbl>
    <w:tbl>
      <w:tblPr>
        <w:tblW w:type="auto" w:w="0"/>
        <w:jc w:val="center"/>
        <w:tblLayout w:type="fixed"/>
        <w:tblLook w:firstColumn="1" w:firstRow="1" w:lastColumn="0" w:lastRow="0" w:noHBand="0" w:noVBand="1" w:val="04A0"/>
      </w:tblPr>
      <w:tblGrid>
        <w:gridCol w:w="9792"/>
      </w:tblGrid>
      <w:tr>
        <w:trPr>
          <w:cantSplit/>
        </w:trPr>
        <w:tc>
          <w:tcPr>
            <w:tcW w:type="dxa" w:w="10166"/>
            <w:shd w:fill="E8F3E3"/>
            <w:tcMar>
              <w:top w:w="90" w:type="dxa"/>
              <w:start w:w="110" w:type="dxa"/>
              <w:bottom w:w="90" w:type="dxa"/>
              <w:end w:w="110" w:type="dxa"/>
            </w:tcMar>
            <w:vAlign w:val="center"/>
          </w:tcPr>
          <w:p>
            <w:r/>
            <w:r>
              <w:rPr>
                <w:rFonts w:ascii="Verdana" w:hAnsi="Verdana"/>
                <w:b/>
                <w:color w:val="17365D"/>
                <w:sz w:val="19"/>
              </w:rPr>
              <w:t>Cloud-native check</w:t>
            </w:r>
          </w:p>
          <w:p>
            <w:pPr>
              <w:spacing w:after="0"/>
            </w:pPr>
            <w:r>
              <w:rPr>
                <w:rFonts w:ascii="Verdana" w:hAnsi="Verdana"/>
                <w:color w:val="263442"/>
                <w:sz w:val="17"/>
              </w:rPr>
              <w:t>If Azure scales the application to three instances, will a request still work if the next request reaches a different instance? If not, identify the state that must move outside the process.</w:t>
            </w:r>
          </w:p>
        </w:tc>
      </w:tr>
    </w:tbl>
    <w:p>
      <w:pPr>
        <w:spacing w:after="0"/>
      </w:pPr>
    </w:p>
    <w:p>
      <w:r>
        <w:br w:type="page"/>
      </w:r>
    </w:p>
    <w:p>
      <w:pPr>
        <w:pStyle w:val="Heading2"/>
      </w:pPr>
      <w:r>
        <w:t>What the developer still owns</w:t>
      </w:r>
    </w:p>
    <w:p>
      <w:pPr>
        <w:pStyle w:val="Heading2"/>
      </w:pPr>
      <w:r>
        <w:t>App Service features you should know after the lab</w:t>
      </w:r>
    </w:p>
    <w:p>
      <w:pPr>
        <w:pStyle w:val="ListBullet"/>
      </w:pPr>
      <w:r>
        <w:t>App Service Plan: provides the underlying compute capacity and influences scale, features and cost. The web app is deployed into a plan.</w:t>
      </w:r>
    </w:p>
    <w:p>
      <w:pPr>
        <w:pStyle w:val="ListBullet"/>
      </w:pPr>
      <w:r>
        <w:t>Application settings: environment-specific values are supplied as configuration rather than compiled into the application. Treat sensitive values separately.</w:t>
      </w:r>
    </w:p>
    <w:p>
      <w:pPr>
        <w:pStyle w:val="ListBullet"/>
      </w:pPr>
      <w:r>
        <w:t>Deployment slots: higher tiers can provide staging slots so a release can be validated before traffic is swapped to the new version.</w:t>
      </w:r>
    </w:p>
    <w:p>
      <w:pPr>
        <w:pStyle w:val="ListBullet"/>
      </w:pPr>
      <w:r>
        <w:t>Scale up vs scale out: scale up changes the size/capability of an instance; scale out adds instances. Scale-out works best when application state is externalised.</w:t>
      </w:r>
    </w:p>
    <w:p>
      <w:pPr>
        <w:pStyle w:val="ListBullet"/>
      </w:pPr>
      <w:r>
        <w:t>Health checks: expose a lightweight endpoint that represents whether an instance can serve traffic. Do not make the health endpoint perform expensive work.</w:t>
      </w:r>
    </w:p>
    <w:p>
      <w:pPr>
        <w:pStyle w:val="ListBullet"/>
      </w:pPr>
      <w:r>
        <w:t>Logs and diagnostics: enable enough telemetry to diagnose startup, configuration, authentication and dependency failures.</w:t>
      </w:r>
    </w:p>
    <w:p>
      <w:r>
        <w:t>Common failure: the application works locally but fails in App Service because a local file path, developer credential, machine-specific certificate or environment variable was assumed. Cloud deployment exposes hidden machine dependencies.</w:t>
      </w:r>
    </w:p>
    <w:p>
      <w:pPr/>
      <w:r>
        <w:t>App Service removes server administration, but it does not remove application responsibility. The development team still owns application code, framework configuration, authentication and authorisation behaviour, dependency management, application settings, telemetry, health behaviour and the way the application handles failure.</w:t>
      </w:r>
    </w:p>
    <w:p>
      <w:pPr/>
      <w:r>
        <w:t>Keep application instances replaceable. Do not rely on local disk for durable business data, and do not assume that a user will always return to the same instance. Store durable data in services designed for it, such as Azure SQL or Blob Storage. If session state is required, use an appropriate shared state mechanism rather than process memory when scale-out is expected.</w:t>
      </w:r>
    </w:p>
    <w:p>
      <w:pPr/>
      <w:r>
        <w:t>Production readiness also includes HTTPS-only access, supported runtime versions, deployment slots where useful, health checks, diagnostic settings, scaling rules, backups where applicable, and a clear rollback approach.</w:t>
      </w:r>
    </w:p>
    <w:p>
      <w:pPr>
        <w:pStyle w:val="Heading2"/>
      </w:pPr>
      <w:r>
        <w:t>Developer workflow: configure, run and verify App Service</w:t>
      </w:r>
    </w:p>
    <w:p>
      <w:pPr/>
      <w:r>
        <w:t>A developer should be able to move from a locally working ASP.NET Core application to a diagnosable Azure deployment. Keep environment-specific values outside the code, confirm runtime/startup behaviour, deploy the application, then verify both the HTTP request and its dependencies.</w:t>
      </w:r>
    </w:p>
    <w:p>
      <w:pPr>
        <w:pStyle w:val="ListBullet"/>
      </w:pPr>
      <w:r>
        <w:t>Use application settings/environment variables for non-secret environment configuration rather than editing source code per environment.</w:t>
      </w:r>
    </w:p>
    <w:p>
      <w:pPr>
        <w:pStyle w:val="ListBullet"/>
      </w:pPr>
      <w:r>
        <w:t>Use Managed Identity and DefaultAzureCredential for supported Azure dependencies instead of embedding credentials.</w:t>
      </w:r>
    </w:p>
    <w:p>
      <w:pPr>
        <w:pStyle w:val="ListBullet"/>
      </w:pPr>
      <w:r>
        <w:t>Enable Application Insights early so deployment, request, exception and dependency behaviour can be observed during development.</w:t>
      </w:r>
    </w:p>
    <w:p>
      <w:pPr>
        <w:pStyle w:val="ListBullet"/>
      </w:pPr>
      <w:r>
        <w:t>Use a meaningful health endpoint; a successful deployment operation does not prove the application is healthy.</w:t>
      </w:r>
    </w:p>
    <w:p>
      <w:pPr>
        <w:pStyle w:val="ListBullet"/>
      </w:pPr>
      <w:r>
        <w:t>When scale-out is possible, avoid relying on local memory or local files for shared business state.</w:t>
      </w:r>
    </w:p>
    <w:p>
      <w:pPr>
        <w:pStyle w:val="Heading2"/>
      </w:pPr>
      <w:r>
        <w:t>Developer verification after deployment</w:t>
      </w:r>
    </w:p>
    <w:p>
      <w:pPr/>
      <w:r>
        <w:t>After deployment, confirm the expected version is running, inspect environment configuration, execute a real user/API path, review Application Insights requests/exceptions/dependencies and deliberately test one safe failure such as a missing permission or invalid configuration. This connects coding, deployment and operations without turning the developer into an infrastructure administrator.</w:t>
      </w:r>
    </w:p>
    <w:p>
      <w:pPr>
        <w:pStyle w:val="Heading2"/>
      </w:pPr>
      <w:r>
        <w:t>API Management: When an API needs a managed front door</w:t>
      </w:r>
    </w:p>
    <w:p>
      <w:pPr/>
      <w:r>
        <w:t>Azure API Management (APIM) is an API gateway and management service. It can sit between API consumers and a backend such as an App Service API. It is not required for every application; add it when the API needs centralised policy, security, lifecycle or consumer management.</w:t>
      </w:r>
    </w:p>
    <w:p>
      <w:pPr>
        <w:pStyle w:val="ListBullet"/>
      </w:pPr>
      <w:r>
        <w:t>Gateway pattern: clients call APIM; APIM applies policies and forwards approved requests to the backend API.</w:t>
      </w:r>
    </w:p>
    <w:p>
      <w:pPr>
        <w:pStyle w:val="ListBullet"/>
      </w:pPr>
      <w:r>
        <w:t>Authentication and authorisation integration: validate tokens and apply API access policies without moving all gateway concerns into application code.</w:t>
      </w:r>
    </w:p>
    <w:p>
      <w:pPr>
        <w:pStyle w:val="ListBullet"/>
      </w:pPr>
      <w:r>
        <w:t>Rate limiting and quotas: protect backends and enforce consumer limits.</w:t>
      </w:r>
    </w:p>
    <w:p>
      <w:pPr>
        <w:pStyle w:val="ListBullet"/>
      </w:pPr>
      <w:r>
        <w:t>Versioning and revisions: manage API change while protecting existing consumers.</w:t>
      </w:r>
    </w:p>
    <w:p>
      <w:pPr>
        <w:pStyle w:val="ListBullet"/>
      </w:pPr>
      <w:r>
        <w:t>Backend abstraction: consumers can use a stable API contract even if backend implementation changes.</w:t>
      </w:r>
    </w:p>
    <w:p>
      <w:pPr>
        <w:pStyle w:val="ListBullet"/>
      </w:pPr>
      <w:r>
        <w:t>Developer portal and API documentation: useful when APIs are shared across teams or external consumers.</w:t>
      </w:r>
    </w:p>
    <w:p>
      <w:pPr/>
      <w:r>
        <w:t>Building Society decision: an internal API used only by one web application may not need APIM initially. If the same member/application APIs are consumed by mobile apps, partner systems and multiple internal teams, APIM becomes much more valuable. The architecture question is not “Do we have an API?” but “Do we need gateway-level governance and consumer management?”</w:t>
      </w:r>
    </w:p>
    <w:p>
      <w:pPr>
        <w:pStyle w:val="Heading1"/>
        <w:keepNext/>
      </w:pPr>
      <w:r>
        <w:t>8. Data: Azure SQL and Blob Storage</w:t>
      </w:r>
    </w:p>
    <w:p>
      <w:r>
        <w:t>Do not select a database because it is “cloud”. Select a data service based on data shape, consistency, query, scale, lifecycle, security and operational requirements.</w:t>
      </w:r>
    </w:p>
    <w:p>
      <w:pPr>
        <w:pStyle w:val="Heading2"/>
        <w:keepNext/>
      </w:pPr>
      <w:r>
        <w:t>Azure SQL Database</w:t>
      </w:r>
    </w:p>
    <w:p>
      <w:r>
        <w:t>Azure SQL Database is a managed relational database service suitable for transactional workloads that benefit from SQL semantics, constraints, joins and familiar tooling. PaaS removes much of the underlying server administration but not schema design, query quality, access control, backup/recovery decisions or performance ownership.</w:t>
      </w:r>
    </w:p>
    <w:p>
      <w:pPr>
        <w:pStyle w:val="Heading2"/>
        <w:keepNext/>
      </w:pPr>
      <w:r>
        <w:t>Blob Storage</w:t>
      </w:r>
    </w:p>
    <w:p>
      <w:r>
        <w:t>Blob Storage is object storage. In the Building Society scenario, supporting documents belong in Blob Storage rather than inside the web server file system. Store metadata such as document owner, status and business relationship in the appropriate application data model.</w:t>
      </w:r>
    </w:p>
    <w:tbl>
      <w:tblPr>
        <w:tblW w:type="auto" w:w="0"/>
        <w:jc w:val="center"/>
        <w:tblLayout w:type="fixed"/>
        <w:tblLook w:firstColumn="1" w:firstRow="1" w:lastColumn="0" w:lastRow="0" w:noHBand="0" w:noVBand="1" w:val="04A0"/>
      </w:tblPr>
      <w:tblGrid>
        <w:gridCol w:w="9792"/>
      </w:tblGrid>
      <w:tr>
        <w:trPr>
          <w:cantSplit/>
        </w:trPr>
        <w:tc>
          <w:tcPr>
            <w:tcW w:type="dxa" w:w="10166"/>
            <w:shd w:fill="E8F3E3"/>
            <w:tcMar>
              <w:top w:w="90" w:type="dxa"/>
              <w:start w:w="110" w:type="dxa"/>
              <w:bottom w:w="90" w:type="dxa"/>
              <w:end w:w="110" w:type="dxa"/>
            </w:tcMar>
            <w:vAlign w:val="center"/>
          </w:tcPr>
          <w:p>
            <w:r/>
            <w:r>
              <w:rPr>
                <w:rFonts w:ascii="Verdana" w:hAnsi="Verdana"/>
                <w:b/>
                <w:color w:val="17365D"/>
                <w:sz w:val="19"/>
              </w:rPr>
              <w:t>Architecture decision</w:t>
            </w:r>
          </w:p>
          <w:p>
            <w:pPr>
              <w:spacing w:after="0"/>
            </w:pPr>
            <w:r>
              <w:rPr>
                <w:rFonts w:ascii="Verdana" w:hAnsi="Verdana"/>
                <w:color w:val="263442"/>
                <w:sz w:val="17"/>
              </w:rPr>
              <w:t>Structured application records → Azure SQL. Uploaded supporting documents → Blob Storage. The application coordinates the relationship; the web server is not the durable file store.</w:t>
            </w:r>
          </w:p>
        </w:tc>
      </w:tr>
    </w:tbl>
    <w:p>
      <w:pPr>
        <w:spacing w:after="0"/>
      </w:pPr>
    </w:p>
    <w:p>
      <w:r>
        <w:br w:type="page"/>
      </w:r>
    </w:p>
    <w:p>
      <w:pPr>
        <w:pStyle w:val="Heading2"/>
      </w:pPr>
      <w:r>
        <w:t>Choose storage by data behaviour</w:t>
      </w:r>
    </w:p>
    <w:p>
      <w:pPr>
        <w:pStyle w:val="Heading2"/>
      </w:pPr>
      <w:r>
        <w:t>Azure SQL: connection, identity and recovery considerations</w:t>
      </w:r>
    </w:p>
    <w:p>
      <w:r>
        <w:t>Azure SQL Database is a managed relational database service. The application still needs a deliberate connection path, authentication method and database authorisation model.</w:t>
      </w:r>
    </w:p>
    <w:p>
      <w:pPr>
        <w:pStyle w:val="ListBullet"/>
      </w:pPr>
      <w:r>
        <w:t>Network access: a public endpoint can be protected with firewall rules; a private endpoint can place the service on a private IP path. Network reachability does not grant database permission.</w:t>
      </w:r>
    </w:p>
    <w:p>
      <w:pPr>
        <w:pStyle w:val="ListBullet"/>
      </w:pPr>
      <w:r>
        <w:t>Authentication: prefer Microsoft Entra authentication and Managed Identity for Azure-hosted applications where supported, rather than storing a SQL username/password.</w:t>
      </w:r>
    </w:p>
    <w:p>
      <w:pPr>
        <w:pStyle w:val="ListBullet"/>
      </w:pPr>
      <w:r>
        <w:t>Authorisation: create only the database permissions required by the application identity. Avoid broad owner-style access simply to make a lab work.</w:t>
      </w:r>
    </w:p>
    <w:p>
      <w:pPr>
        <w:pStyle w:val="ListBullet"/>
      </w:pPr>
      <w:r>
        <w:t>Resilience: understand service backups, point-in-time restore capability and the application recovery requirement. A backup feature is useful only if the team knows the recovery objective and process.</w:t>
      </w:r>
    </w:p>
    <w:p>
      <w:r>
        <w:t>For Blob Storage, design containers and access around the data lifecycle. Store uploaded documents in durable object storage rather than App Service local disk so that scale-out and instance replacement do not lose application state.</w:t>
      </w:r>
    </w:p>
    <w:p>
      <w:pPr/>
      <w:r>
        <w:t>Azure SQL Database is appropriate when the application needs relational modelling, transactions, constraints and SQL querying. Blob Storage is designed for object data such as documents, images, exports and other files. Using the right service avoids forcing binary content into relational tables or treating a web server file system as durable storage.</w:t>
      </w:r>
    </w:p>
    <w:p>
      <w:pPr/>
      <w:r>
        <w:t>For the Building Society scenario, application and status data can live in Azure SQL while uploaded evidence documents can live in Blob Storage. The database can retain the document identifier, owner, status and business metadata while the binary object remains in storage.</w:t>
      </w:r>
    </w:p>
    <w:p>
      <w:pPr/>
      <w:r>
        <w:t>Data design also includes identity, encryption, backup, retention, network access and recovery. A database being “managed” does not mean the application automatically has the correct recovery point objective or that every caller should have broad access.</w:t>
      </w:r>
    </w:p>
    <w:p>
      <w:pPr>
        <w:pStyle w:val="Heading2"/>
      </w:pPr>
      <w:r>
        <w:t>When SQL is not the answer: caching</w:t>
      </w:r>
    </w:p>
    <w:p>
      <w:pPr/>
      <w:r>
        <w:t>Not every read should go back to the relational database. A cache can reduce repeated database work and improve response time for data that is safe to reuse for a period. Azure Managed Redis is an example of a managed distributed cache option; the exact service choice should follow current organisational standards and workload requirements.</w:t>
      </w:r>
    </w:p>
    <w:p>
      <w:pPr>
        <w:pStyle w:val="ListBullet"/>
      </w:pPr>
      <w:r>
        <w:t>Good candidates: frequently read reference data, calculated results, short-lived session/state patterns and expensive repeatable lookups.</w:t>
      </w:r>
    </w:p>
    <w:p>
      <w:pPr>
        <w:pStyle w:val="ListBullet"/>
      </w:pPr>
      <w:r>
        <w:t>Benefits: lower latency, reduced pressure on the primary database and better handling of read-heavy workloads.</w:t>
      </w:r>
    </w:p>
    <w:p>
      <w:pPr>
        <w:pStyle w:val="ListBullet"/>
      </w:pPr>
      <w:r>
        <w:t>Developer responsibility: define expiry, invalidation and fallback behaviour. A cache must not become the only copy of business-critical data.</w:t>
      </w:r>
    </w:p>
    <w:p>
      <w:pPr/>
      <w:r>
        <w:t>Building Society example: branch/reference information or a frequently requested product catalogue may be cached. A mortgage application decision or authoritative account balance should still be read from the system of record according to its consistency requirements.</w:t>
      </w:r>
    </w:p>
    <w:p>
      <w:pPr>
        <w:pStyle w:val="Heading2"/>
      </w:pPr>
      <w:r>
        <w:t>Modern data platform awareness</w:t>
      </w:r>
    </w:p>
    <w:p>
      <w:pPr/>
      <w:r>
        <w:t>Application developers frequently integrate with analytics platforms but should avoid turning the transactional application database into the reporting platform. Know the boundary between operational application data and analytical data.</w:t>
      </w:r>
    </w:p>
    <w:p>
      <w:pPr>
        <w:pStyle w:val="ListBullet"/>
      </w:pPr>
      <w:r>
        <w:t>Microsoft Fabric: integrated analytics platform for lakehouse, warehouse, data engineering, Data Factory experiences, real-time analytics and Power BI.</w:t>
      </w:r>
    </w:p>
    <w:p>
      <w:pPr>
        <w:pStyle w:val="ListBullet"/>
      </w:pPr>
      <w:r>
        <w:t>Azure Data Factory: cloud data-integration/orchestration service commonly used in existing Azure estates.</w:t>
      </w:r>
    </w:p>
    <w:p>
      <w:pPr>
        <w:pStyle w:val="ListBullet"/>
      </w:pPr>
      <w:r>
        <w:t>Azure Databricks: managed Apache Spark-based data and AI platform used for large-scale engineering, analytics and machine learning.</w:t>
      </w:r>
    </w:p>
    <w:p>
      <w:pPr>
        <w:pStyle w:val="ListBullet"/>
      </w:pPr>
      <w:r>
        <w:t>Azure Synapse Analytics: established Azure analytics service that may be present in existing estates; understand it as part of the wider data-platform landscape.</w:t>
      </w:r>
    </w:p>
    <w:p>
      <w:pPr/>
      <w:r>
        <w:t>Developer decision: the member-facing application writes operational transactions to its application data store. Analytics pipelines can move or expose appropriate data to an analytical platform. Do not couple user-facing transaction performance to heavy analytical queries unless that is a deliberate design.</w:t>
      </w:r>
    </w:p>
    <w:p>
      <w:pPr>
        <w:pStyle w:val="Heading2"/>
      </w:pPr>
      <w:r>
        <w:t>LBS Optional — Storage Accounts and Blob Storage: Developer Overview</w:t>
      </w:r>
    </w:p>
    <w:p>
      <w:pPr/>
      <w:r>
        <w:t>WHAT: A Storage account is the Azure resource that provides services such as Blob Storage. Blob Storage holds objects (files, images, PDFs, exports) in containers. It is not a relational database or a replacement for Azure SQL.</w:t>
      </w:r>
    </w:p>
    <w:p>
      <w:pPr/>
      <w:r>
        <w:t>WHY: In the Building Society scenario, application status and structured member/application data belong in Azure SQL, while supporting PDF documents and uploads are better suited to Blob Storage. SQL can store metadata such as BlobName, owner and application ID.</w:t>
      </w:r>
    </w:p>
    <w:p>
      <w:pPr>
        <w:pStyle w:val="Heading3"/>
      </w:pPr>
      <w:r>
        <w:t>How to build a simple upload/download flow</w:t>
      </w:r>
    </w:p>
    <w:p>
      <w:pPr>
        <w:pStyle w:val="ListNumber"/>
      </w:pPr>
      <w:r>
        <w:t>1. Create or use an approved Storage account and a private blob container; decide redundancy, access tier, retention and lifecycle policy.</w:t>
      </w:r>
    </w:p>
    <w:p>
      <w:pPr>
        <w:pStyle w:val="ListNumber"/>
      </w:pPr>
      <w:r>
        <w:t>2. Enable a suitable workload identity and grant narrowly scoped blob data permissions. Azure resource Contributor alone does not imply blob data access.</w:t>
      </w:r>
    </w:p>
    <w:p>
      <w:pPr>
        <w:pStyle w:val="ListNumber"/>
      </w:pPr>
      <w:r>
        <w:t>3. In .NET use Azure.Storage.Blobs with DefaultAzureCredential where appropriate; validate file type/size, generate a safe blob name and upload a stream.</w:t>
      </w:r>
    </w:p>
    <w:p>
      <w:pPr>
        <w:pStyle w:val="ListNumber"/>
      </w:pPr>
      <w:r>
        <w:t>4. Save only required metadata and blob reference in Azure SQL. Do not expose unrestricted container access or embed account keys in code.</w:t>
      </w:r>
    </w:p>
    <w:p>
      <w:pPr>
        <w:pStyle w:val="ListNumber"/>
      </w:pPr>
      <w:r>
        <w:t>5. Verify the upload and download with an authorised identity; test a missing/unauthorised blob and review telemetry.</w:t>
      </w:r>
    </w:p>
    <w:p>
      <w:pPr/>
      <w:r>
        <w:t>Example: a member uploads evidence.pdf → .NET API validates the request → Blob Storage stores the file → Azure SQL stores the reference → staff retrieve it through an authorised application path.</w:t>
      </w:r>
    </w:p>
    <w:p>
      <w:pPr/>
      <w:r>
        <w:t>Tips: use private containers, understand role scope and data-plane permissions, plan lifecycle/retention and cost, and consider short-lived SAS only when its use is justified and securely issued. Storage awareness is optional if time is limited.</w:t>
      </w:r>
    </w:p>
    <w:p>
      <w:pPr>
        <w:pStyle w:val="Heading1"/>
        <w:keepNext/>
      </w:pPr>
      <w:r>
        <w:t>9. Configuration, Secrets and Key Vault</w:t>
      </w:r>
    </w:p>
    <w:p>
      <w:r>
        <w:t>Configuration is not code, and secrets are not ordinary configuration. A production application needs a deliberate strategy for both.</w:t>
      </w:r>
    </w:p>
    <w:p>
      <w:pPr>
        <w:pStyle w:val="ListBullet"/>
        <w:ind w:left="317" w:hanging="173"/>
      </w:pPr>
      <w:r>
        <w:t>Non-secret settings: environment-specific App Service configuration.</w:t>
      </w:r>
    </w:p>
    <w:p>
      <w:pPr>
        <w:pStyle w:val="ListBullet"/>
        <w:ind w:left="317" w:hanging="173"/>
      </w:pPr>
      <w:r>
        <w:t>Credentials that can be eliminated: use Managed Identity instead.</w:t>
      </w:r>
    </w:p>
    <w:p>
      <w:pPr>
        <w:pStyle w:val="ListBullet"/>
        <w:ind w:left="317" w:hanging="173"/>
      </w:pPr>
      <w:r>
        <w:t>Secrets that must exist: protect them in Azure Key Vault and restrict access.</w:t>
      </w:r>
    </w:p>
    <w:p>
      <w:pPr>
        <w:pStyle w:val="ListBullet"/>
        <w:ind w:left="317" w:hanging="173"/>
      </w:pPr>
      <w:r>
        <w:t>Never commit production secrets to Git or embed them in Bicep parameter files.</w:t>
      </w:r>
    </w:p>
    <w:tbl>
      <w:tblPr>
        <w:tblW w:type="auto" w:w="0"/>
        <w:jc w:val="center"/>
        <w:tblLayout w:type="fixed"/>
        <w:tblLook w:firstColumn="1" w:firstRow="1" w:lastColumn="0" w:lastRow="0" w:noHBand="0" w:noVBand="1" w:val="04A0"/>
      </w:tblPr>
      <w:tblGrid>
        <w:gridCol w:w="9792"/>
      </w:tblGrid>
      <w:tr>
        <w:trPr>
          <w:cantSplit/>
        </w:trPr>
        <w:tc>
          <w:tcPr>
            <w:tcW w:type="dxa" w:w="10166"/>
            <w:shd w:fill="F1EAF8"/>
            <w:tcMar>
              <w:top w:w="90" w:type="dxa"/>
              <w:start w:w="110" w:type="dxa"/>
              <w:bottom w:w="90" w:type="dxa"/>
              <w:end w:w="110" w:type="dxa"/>
            </w:tcMar>
            <w:vAlign w:val="center"/>
          </w:tcPr>
          <w:p>
            <w:r/>
            <w:r>
              <w:rPr>
                <w:rFonts w:ascii="Verdana" w:hAnsi="Verdana"/>
                <w:b/>
                <w:color w:val="17365D"/>
                <w:sz w:val="19"/>
              </w:rPr>
              <w:t>Key Vault rule</w:t>
            </w:r>
          </w:p>
          <w:p>
            <w:pPr>
              <w:spacing w:after="0"/>
            </w:pPr>
            <w:r>
              <w:rPr>
                <w:rFonts w:ascii="Verdana" w:hAnsi="Verdana"/>
                <w:color w:val="263442"/>
                <w:sz w:val="17"/>
              </w:rPr>
              <w:t>Do not put a SQL password in Key Vault if Managed Identity can remove the SQL password entirely. Key Vault protects secrets; identity can eliminate some secrets.</w:t>
            </w:r>
          </w:p>
        </w:tc>
      </w:tr>
    </w:tbl>
    <w:p>
      <w:pPr>
        <w:spacing w:after="0"/>
      </w:pPr>
    </w:p>
    <w:p>
      <w:r>
        <w:br w:type="page"/>
      </w:r>
    </w:p>
    <w:p>
      <w:pPr>
        <w:pStyle w:val="Heading2"/>
      </w:pPr>
      <w:r>
        <w:t>Configuration is not the same as a secret</w:t>
      </w:r>
    </w:p>
    <w:p>
      <w:pPr/>
      <w:r>
        <w:t>Configuration includes values that vary by environment, such as endpoint names, feature flags and non-sensitive application settings. Secrets are credentials or sensitive values that must be protected. Keep both outside source code, but do not treat every configuration value as a secret.</w:t>
      </w:r>
    </w:p>
    <w:p>
      <w:pPr/>
      <w:r>
        <w:t>Prefer removing credentials rather than storing them more safely. If App Service can use Managed Identity to access Azure SQL or Storage, there is no database password to place in Key Vault. Use Key Vault for secrets, certificates or keys that genuinely still need to exist.</w:t>
      </w:r>
    </w:p>
    <w:p>
      <w:pPr/>
      <w:r>
        <w:t>When a secret must exist, define ownership and rotation. The application should retrieve it through an identity with least privilege, and the team should understand what happens when the secret is rotated or temporarily unavailable.</w:t>
      </w:r>
    </w:p>
    <w:p>
      <w:pPr>
        <w:pStyle w:val="Heading1"/>
        <w:keepNext/>
      </w:pPr>
      <w:r>
        <w:t>10. Identity: Human and Workload</w:t>
      </w:r>
    </w:p>
    <w:p>
      <w:r>
        <w:t>Cloud applications have two broad identity problems: identifying people and identifying workloads. Mixing them leads to confusing designs.</w:t>
      </w:r>
    </w:p>
    <w:p>
      <w:pPr>
        <w:pStyle w:val="Heading2"/>
        <w:keepNext/>
      </w:pPr>
      <w:r>
        <w:t>Microsoft Entra ID</w:t>
      </w:r>
    </w:p>
    <w:p>
      <w:r>
        <w:t>Microsoft Entra ID is the cloud identity and access platform. It authenticates users and workloads and issues tokens that applications and Azure services can validate.</w:t>
      </w:r>
    </w:p>
    <w:p>
      <w:pPr>
        <w:pStyle w:val="Heading2"/>
        <w:keepNext/>
      </w:pPr>
      <w:r>
        <w:t>App Registration, Service Principal and Managed Identity</w:t>
      </w:r>
    </w:p>
    <w:p>
      <w:pPr>
        <w:pStyle w:val="ListBullet"/>
        <w:ind w:left="317" w:hanging="173"/>
      </w:pPr>
      <w:r>
        <w:t>App Registration: application definition in Microsoft Entra ID.</w:t>
      </w:r>
    </w:p>
    <w:p>
      <w:pPr>
        <w:pStyle w:val="ListBullet"/>
        <w:ind w:left="317" w:hanging="173"/>
      </w:pPr>
      <w:r>
        <w:t>Service Principal: tenant-local security identity representing an application/workload.</w:t>
      </w:r>
    </w:p>
    <w:p>
      <w:pPr>
        <w:pStyle w:val="ListBullet"/>
        <w:ind w:left="317" w:hanging="173"/>
      </w:pPr>
      <w:r>
        <w:t>Managed Identity: Azure-managed workload identity that removes the need for your code to store a client secret.</w:t>
      </w:r>
    </w:p>
    <w:p>
      <w:pPr>
        <w:pStyle w:val="ListBullet"/>
        <w:ind w:left="317" w:hanging="173"/>
      </w:pPr>
      <w:r>
        <w:t>System-assigned Managed Identity: lifecycle tied to one Azure resource.</w:t>
      </w:r>
    </w:p>
    <w:p>
      <w:pPr>
        <w:pStyle w:val="ListBullet"/>
        <w:ind w:left="317" w:hanging="173"/>
      </w:pPr>
      <w:r>
        <w:t>User-assigned Managed Identity: standalone Azure resource that can be associated with supported workloads.</w:t>
      </w:r>
    </w:p>
    <w:tbl>
      <w:tblPr>
        <w:tblW w:type="auto" w:w="0"/>
        <w:jc w:val="center"/>
        <w:tblLayout w:type="fixed"/>
        <w:tblLook w:firstColumn="1" w:firstRow="1" w:lastColumn="0" w:lastRow="0" w:noHBand="0" w:noVBand="1" w:val="04A0"/>
      </w:tblPr>
      <w:tblGrid>
        <w:gridCol w:w="9792"/>
      </w:tblGrid>
      <w:tr>
        <w:trPr>
          <w:cantSplit/>
        </w:trPr>
        <w:tc>
          <w:tcPr>
            <w:tcW w:type="dxa" w:w="10166"/>
            <w:shd w:fill="F1EAF8"/>
            <w:tcMar>
              <w:top w:w="90" w:type="dxa"/>
              <w:start w:w="110" w:type="dxa"/>
              <w:bottom w:w="90" w:type="dxa"/>
              <w:end w:w="110" w:type="dxa"/>
            </w:tcMar>
            <w:vAlign w:val="center"/>
          </w:tcPr>
          <w:p>
            <w:r/>
            <w:r>
              <w:rPr>
                <w:rFonts w:ascii="Verdana" w:hAnsi="Verdana"/>
                <w:b/>
                <w:color w:val="17365D"/>
                <w:sz w:val="19"/>
              </w:rPr>
              <w:t>Do not merge these concepts</w:t>
            </w:r>
          </w:p>
          <w:p>
            <w:pPr>
              <w:spacing w:after="0"/>
            </w:pPr>
            <w:r>
              <w:rPr>
                <w:rFonts w:ascii="Verdana" w:hAnsi="Verdana"/>
                <w:color w:val="263442"/>
                <w:sz w:val="17"/>
              </w:rPr>
              <w:t>Microsoft Entra ID is not “the Managed Identity”. Managed Identity is a workload identity represented in Entra; Entra authenticates it and issues tokens.</w:t>
            </w:r>
          </w:p>
        </w:tc>
      </w:tr>
    </w:tbl>
    <w:p>
      <w:pPr>
        <w:spacing w:after="0"/>
      </w:pPr>
    </w:p>
    <w:p>
      <w:r>
        <w:br w:type="page"/>
      </w:r>
    </w:p>
    <w:p>
      <w:pPr>
        <w:pStyle w:val="Heading2"/>
      </w:pPr>
      <w:r>
        <w:t>Separate user identity from application identity</w:t>
      </w:r>
    </w:p>
    <w:p>
      <w:pPr>
        <w:pStyle w:val="Heading2"/>
      </w:pPr>
      <w:r>
        <w:t>OAuth, OpenID Connect and tokens</w:t>
      </w:r>
    </w:p>
    <w:p>
      <w:r>
        <w:t>OAuth 2.0 and OpenID Connect are related but answer different questions. OAuth 2.0 is an authorisation framework used to obtain access tokens for protected resources. OpenID Connect adds an identity layer used for user sign-in and introduces the ID token.</w:t>
      </w:r>
    </w:p>
    <w:p>
      <w:pPr>
        <w:pStyle w:val="ListBullet"/>
      </w:pPr>
      <w:r>
        <w:t>Access token: presented to an API or resource. The receiving resource validates it and decides whether the caller is authorised.</w:t>
      </w:r>
    </w:p>
    <w:p>
      <w:pPr>
        <w:pStyle w:val="ListBullet"/>
      </w:pPr>
      <w:r>
        <w:t>ID token: represents information about an authenticated user session for the client application. It is not the token an API should accept as its resource access token.</w:t>
      </w:r>
    </w:p>
    <w:p>
      <w:pPr>
        <w:pStyle w:val="ListBullet"/>
      </w:pPr>
      <w:r>
        <w:t>Authentication asks: who is this caller? Authorisation asks: what is this caller allowed to do? Successful authentication does not imply sufficient permission.</w:t>
      </w:r>
    </w:p>
    <w:p>
      <w:pPr>
        <w:pStyle w:val="ListBullet"/>
      </w:pPr>
      <w:r>
        <w:t>For interactive web applications, the authorisation code flow is a common pattern. Public clients use PKCE to protect the code exchange.</w:t>
      </w:r>
    </w:p>
    <w:p>
      <w:r>
        <w:t>Building Society example: a staff member signs in through Entra ID using OIDC. The web/API obtains or receives the appropriate access token for a protected API. Separately, the App Service uses its Managed Identity when the workload itself accesses Azure SQL or Storage.</w:t>
      </w:r>
    </w:p>
    <w:p>
      <w:pPr/>
      <w:r>
        <w:t>Human identities represent people such as members, staff, developers and administrators. Workload identities represent applications, automation and Azure resources. They have different lifecycle and permission requirements, so avoid treating a shared username or developer credential as an application identity.</w:t>
      </w:r>
    </w:p>
    <w:p>
      <w:pPr/>
      <w:r>
        <w:t>An App Registration defines an application in Microsoft Entra ID. A Service Principal is the tenant-local security identity created for an application. A Managed Identity is an Azure-managed workload identity represented in Entra ID, with Azure handling its underlying credentials.</w:t>
      </w:r>
    </w:p>
    <w:p>
      <w:pPr/>
      <w:r>
        <w:t>For every connection, identify both sides: which principal is calling, which resource is being called, how authentication occurs, and which permission authorises the requested action. This four-part check prevents many identity troubleshooting problems.</w:t>
      </w:r>
    </w:p>
    <w:p>
      <w:pPr>
        <w:pStyle w:val="Heading1"/>
        <w:keepNext/>
      </w:pPr>
      <w:r>
        <w:t>11. Managed Identity: Remove Database Passwords</w:t>
      </w:r>
    </w:p>
    <w:p>
      <w:r>
        <w:t>The strongest practical identity lesson in this course is replacing stored database credentials with an Azure workload identity.</w:t>
      </w:r>
    </w:p>
    <w:p>
      <w:pPr>
        <w:spacing w:after="4680"/>
        <w:jc w:val="center"/>
      </w:pPr>
      <w:r>
        <w:pict>
          <v:roundrect id="Figure 5._0" style="position:absolute;left:8.0pt;top:25pt;width:79.6pt;height:74pt;z-index:2" arcsize="8%" fillcolor="#EAF5E4" strokecolor="#0078D4" strokeweight="1.3pt">
            <v:textbox inset="6pt,5pt,6pt,4pt">
              <w:txbxContent>
                <w:p>
                  <w:pPr>
                    <w:jc w:val="center"/>
                    <w:spacing w:after="0"/>
                  </w:pPr>
                  <w:r>
                    <w:rPr>
                      <w:rFonts w:ascii="Verdana" w:hAnsi="Verdana"/>
                      <w:b/>
                      <w:color w:val="17365D"/>
                      <w:sz w:val="24"/>
                    </w:rPr>
                    <w:t>.NET API</w:t>
                  </w:r>
                </w:p>
                <w:p>
                  <w:pPr>
                    <w:jc w:val="center"/>
                    <w:spacing w:before="0" w:after="0"/>
                  </w:pPr>
                  <w:r>
                    <w:rPr>
                      <w:rFonts w:ascii="Verdana" w:hAnsi="Verdana"/>
                      <w:color w:val="5B6573"/>
                      <w:sz w:val="16"/>
                    </w:rPr>
                    <w:t>App Service</w:t>
                  </w:r>
                </w:p>
              </w:txbxContent>
            </v:textbox>
          </v:roundrect>
        </w:pict>
      </w:r>
      <w:r>
        <w:pict>
          <v:line id="Figure 5._a0" from="87.6pt,62.0pt" to="101.6pt,62.0pt" style="position:absolute;z-index:1" strokecolor="#0078D4" strokeweight="1.4pt">
            <v:stroke endarrow="block"/>
          </v:line>
        </w:pict>
      </w:r>
      <w:r>
        <w:pict>
          <v:roundrect id="Figure 5._1" style="position:absolute;left:101.6pt;top:25pt;width:79.6pt;height:74pt;z-index:2" arcsize="8%" fillcolor="#F1ECFA" strokecolor="#0078D4" strokeweight="1.3pt">
            <v:textbox inset="6pt,5pt,6pt,4pt">
              <w:txbxContent>
                <w:p>
                  <w:pPr>
                    <w:jc w:val="center"/>
                    <w:spacing w:after="0"/>
                  </w:pPr>
                  <w:r>
                    <w:rPr>
                      <w:rFonts w:ascii="Verdana" w:hAnsi="Verdana"/>
                      <w:b/>
                      <w:color w:val="17365D"/>
                      <w:sz w:val="24"/>
                    </w:rPr>
                    <w:t>Managed Identity</w:t>
                  </w:r>
                </w:p>
                <w:p>
                  <w:pPr>
                    <w:jc w:val="center"/>
                    <w:spacing w:before="0" w:after="0"/>
                  </w:pPr>
                  <w:r>
                    <w:rPr>
                      <w:rFonts w:ascii="Verdana" w:hAnsi="Verdana"/>
                      <w:color w:val="5B6573"/>
                      <w:sz w:val="16"/>
                    </w:rPr>
                    <w:t>Workload identity</w:t>
                  </w:r>
                </w:p>
              </w:txbxContent>
            </v:textbox>
          </v:roundrect>
        </w:pict>
      </w:r>
      <w:r>
        <w:pict>
          <v:line id="Figure 5._a1" from="181.2pt,62.0pt" to="195.2pt,62.0pt" style="position:absolute;z-index:1" strokecolor="#0078D4" strokeweight="1.4pt">
            <v:stroke endarrow="block"/>
          </v:line>
        </w:pict>
      </w:r>
      <w:r>
        <w:pict>
          <v:roundrect id="Figure 5._2" style="position:absolute;left:195.2pt;top:25pt;width:79.6pt;height:74pt;z-index:2" arcsize="8%" fillcolor="#F1ECFA" strokecolor="#0078D4" strokeweight="1.3pt">
            <v:textbox inset="6pt,5pt,6pt,4pt">
              <w:txbxContent>
                <w:p>
                  <w:pPr>
                    <w:jc w:val="center"/>
                    <w:spacing w:after="0"/>
                  </w:pPr>
                  <w:r>
                    <w:rPr>
                      <w:rFonts w:ascii="Verdana" w:hAnsi="Verdana"/>
                      <w:b/>
                      <w:color w:val="17365D"/>
                      <w:sz w:val="24"/>
                    </w:rPr>
                    <w:t>Microsoft Entra ID</w:t>
                  </w:r>
                </w:p>
                <w:p>
                  <w:pPr>
                    <w:jc w:val="center"/>
                    <w:spacing w:before="0" w:after="0"/>
                  </w:pPr>
                  <w:r>
                    <w:rPr>
                      <w:rFonts w:ascii="Verdana" w:hAnsi="Verdana"/>
                      <w:color w:val="5B6573"/>
                      <w:sz w:val="16"/>
                    </w:rPr>
                    <w:t>Token issuer</w:t>
                  </w:r>
                </w:p>
              </w:txbxContent>
            </v:textbox>
          </v:roundrect>
        </w:pict>
      </w:r>
      <w:r>
        <w:pict>
          <v:line id="Figure 5._a2" from="274.79999999999995pt,62.0pt" to="288.79999999999995pt,62.0pt" style="position:absolute;z-index:1" strokecolor="#0078D4" strokeweight="1.4pt">
            <v:stroke endarrow="block"/>
          </v:line>
        </w:pict>
      </w:r>
      <w:r>
        <w:pict>
          <v:roundrect id="Figure 5._3" style="position:absolute;left:288.79999999999995pt;top:25pt;width:79.6pt;height:74pt;z-index:2" arcsize="8%" fillcolor="#EAF3FB" strokecolor="#0078D4" strokeweight="1.3pt">
            <v:textbox inset="6pt,5pt,6pt,4pt">
              <w:txbxContent>
                <w:p>
                  <w:pPr>
                    <w:jc w:val="center"/>
                    <w:spacing w:after="0"/>
                  </w:pPr>
                  <w:r>
                    <w:rPr>
                      <w:rFonts w:ascii="Verdana" w:hAnsi="Verdana"/>
                      <w:b/>
                      <w:color w:val="17365D"/>
                      <w:sz w:val="24"/>
                    </w:rPr>
                    <w:t>Access token</w:t>
                  </w:r>
                </w:p>
                <w:p>
                  <w:pPr>
                    <w:jc w:val="center"/>
                    <w:spacing w:before="0" w:after="0"/>
                  </w:pPr>
                  <w:r>
                    <w:rPr>
                      <w:rFonts w:ascii="Verdana" w:hAnsi="Verdana"/>
                      <w:color w:val="5B6573"/>
                      <w:sz w:val="16"/>
                    </w:rPr>
                    <w:t>Credential-free</w:t>
                  </w:r>
                </w:p>
              </w:txbxContent>
            </v:textbox>
          </v:roundrect>
        </w:pict>
      </w:r>
      <w:r>
        <w:pict>
          <v:line id="Figure 5._a3" from="368.4pt,62.0pt" to="382.4pt,62.0pt" style="position:absolute;z-index:1" strokecolor="#0078D4" strokeweight="1.4pt">
            <v:stroke endarrow="block"/>
          </v:line>
        </w:pict>
      </w:r>
      <w:r>
        <w:pict>
          <v:roundrect id="Figure 5._4" style="position:absolute;left:382.4pt;top:25pt;width:79.6pt;height:74pt;z-index:2" arcsize="8%" fillcolor="#FFF4D6" strokecolor="#0078D4" strokeweight="1.3pt">
            <v:textbox inset="6pt,5pt,6pt,4pt">
              <w:txbxContent>
                <w:p>
                  <w:pPr>
                    <w:jc w:val="center"/>
                    <w:spacing w:after="0"/>
                  </w:pPr>
                  <w:r>
                    <w:rPr>
                      <w:rFonts w:ascii="Verdana" w:hAnsi="Verdana"/>
                      <w:b/>
                      <w:color w:val="17365D"/>
                      <w:sz w:val="24"/>
                    </w:rPr>
                    <w:t>Azure SQL</w:t>
                  </w:r>
                </w:p>
                <w:p>
                  <w:pPr>
                    <w:jc w:val="center"/>
                    <w:spacing w:before="0" w:after="0"/>
                  </w:pPr>
                  <w:r>
                    <w:rPr>
                      <w:rFonts w:ascii="Verdana" w:hAnsi="Verdana"/>
                      <w:color w:val="5B6573"/>
                      <w:sz w:val="16"/>
                    </w:rPr>
                    <w:t>Permission required</w:t>
                  </w:r>
                </w:p>
              </w:txbxContent>
            </v:textbox>
          </v:roundrect>
        </w:pict>
      </w:r>
    </w:p>
    <w:p>
      <w:pPr>
        <w:jc w:val="center"/>
      </w:pPr>
      <w:r>
        <w:rPr>
          <w:rFonts w:ascii="Verdana" w:hAnsi="Verdana"/>
        </w:rPr>
        <w:t>Figure 5. Managed Identity token flow and target-service authorisation.</w:t>
      </w:r>
    </w:p>
    <w:p>
      <w:pPr>
        <w:pStyle w:val="Heading2"/>
        <w:keepNext/>
      </w:pPr>
      <w:r>
        <w:t>Application code</w:t>
      </w:r>
    </w:p>
    <w:tbl>
      <w:tblPr>
        <w:tblW w:type="auto" w:w="0"/>
        <w:tblLook w:firstColumn="1" w:firstRow="1" w:lastColumn="0" w:lastRow="0" w:noHBand="0" w:noVBand="1" w:val="04A0"/>
      </w:tblPr>
      <w:tblGrid>
        <w:gridCol w:w="10166"/>
      </w:tblGrid>
      <w:tr>
        <w:trPr>
          <w:cantSplit/>
        </w:trPr>
        <w:tc>
          <w:tcPr>
            <w:tcW w:type="dxa" w:w="10166"/>
            <w:shd w:fill="F3F5F7"/>
            <w:tcMar>
              <w:top w:w="120" w:type="dxa"/>
              <w:start w:w="140" w:type="dxa"/>
              <w:bottom w:w="120" w:type="dxa"/>
              <w:end w:w="140" w:type="dxa"/>
            </w:tcMar>
          </w:tcPr>
          <w:p>
            <w:pPr>
              <w:spacing w:after="0"/>
            </w:pPr>
            <w:r/>
            <w:r>
              <w:rPr>
                <w:rFonts w:ascii="Consolas" w:hAnsi="Consolas"/>
                <w:color w:val="263442"/>
                <w:sz w:val="16"/>
              </w:rPr>
              <w:t>using Azure.Identity;</w:t>
              <w:br/>
              <w:t>using Microsoft.Data.SqlClient;</w:t>
              <w:br/>
              <w:br/>
              <w:t>var cs = "Server=tcp:&lt;server&gt;.database.windows.net,1433;Database=&lt;db&gt;;Encrypt=True;";</w:t>
              <w:br/>
              <w:t>var credential = new DefaultAzureCredential();</w:t>
              <w:br/>
              <w:t>var token = await credential.GetTokenAsync(</w:t>
              <w:br/>
              <w:t xml:space="preserve">    new Azure.Core.TokenRequestContext(new[] { "https://database.windows.net/.default" }));</w:t>
              <w:br/>
              <w:br/>
              <w:t>using var connection = new SqlConnection(cs) { AccessToken = token.Token };</w:t>
              <w:br/>
              <w:t>await connection.OpenAsync();</w:t>
            </w:r>
          </w:p>
        </w:tc>
      </w:tr>
    </w:tbl>
    <w:p>
      <w:r>
        <w:t>In real applications, prefer supported authentication modes and connection patterns that integrate Azure.Identity cleanly. The important design point is that the application obtains a short-lived token instead of storing a SQL password.</w:t>
      </w:r>
    </w:p>
    <w:p>
      <w:pPr>
        <w:pStyle w:val="Heading2"/>
        <w:keepNext/>
      </w:pPr>
      <w:r>
        <w:t>Local development versus Azure</w:t>
      </w:r>
    </w:p>
    <w:p>
      <w:r>
        <w:t>DefaultAzureCredential can use developer credentials locally and Managed Identity in Azure. This gives a consistent programming model while keeping production authentication secretless.</w:t>
      </w:r>
    </w:p>
    <w:tbl>
      <w:tblPr>
        <w:tblW w:type="auto" w:w="0"/>
        <w:jc w:val="center"/>
        <w:tblLayout w:type="fixed"/>
        <w:tblLook w:firstColumn="1" w:firstRow="1" w:lastColumn="0" w:lastRow="0" w:noHBand="0" w:noVBand="1" w:val="04A0"/>
      </w:tblPr>
      <w:tblGrid>
        <w:gridCol w:w="9792"/>
      </w:tblGrid>
      <w:tr>
        <w:trPr>
          <w:cantSplit/>
        </w:trPr>
        <w:tc>
          <w:tcPr>
            <w:tcW w:type="dxa" w:w="10166"/>
            <w:shd w:fill="FDECEC"/>
            <w:tcMar>
              <w:top w:w="90" w:type="dxa"/>
              <w:start w:w="110" w:type="dxa"/>
              <w:bottom w:w="90" w:type="dxa"/>
              <w:end w:w="110" w:type="dxa"/>
            </w:tcMar>
            <w:vAlign w:val="center"/>
          </w:tcPr>
          <w:p>
            <w:r/>
            <w:r>
              <w:rPr>
                <w:rFonts w:ascii="Verdana" w:hAnsi="Verdana"/>
                <w:b/>
                <w:color w:val="17365D"/>
                <w:sz w:val="19"/>
              </w:rPr>
              <w:t>Common failure</w:t>
            </w:r>
          </w:p>
          <w:p>
            <w:pPr>
              <w:spacing w:after="0"/>
            </w:pPr>
            <w:r>
              <w:rPr>
                <w:rFonts w:ascii="Verdana" w:hAnsi="Verdana"/>
                <w:color w:val="263442"/>
                <w:sz w:val="17"/>
              </w:rPr>
              <w:t>“Managed Identity enabled” but SQL returns login/permission errors. Check both authentication and authorisation: identity exists, token audience is correct, database user/role exists, and the intended permission is granted.</w:t>
            </w:r>
          </w:p>
        </w:tc>
      </w:tr>
    </w:tbl>
    <w:p>
      <w:pPr>
        <w:spacing w:after="0"/>
      </w:pPr>
    </w:p>
    <w:p>
      <w:r>
        <w:br w:type="page"/>
      </w:r>
    </w:p>
    <w:p>
      <w:pPr>
        <w:pStyle w:val="Heading2"/>
      </w:pPr>
      <w:r>
        <w:t>What happens at runtime</w:t>
      </w:r>
    </w:p>
    <w:p>
      <w:pPr>
        <w:pStyle w:val="Heading2"/>
      </w:pPr>
      <w:r>
        <w:t>System-assigned versus user-assigned Managed Identity</w:t>
      </w:r>
    </w:p>
    <w:p>
      <w:pPr>
        <w:pStyle w:val="ListBullet"/>
      </w:pPr>
      <w:r>
        <w:t>System-assigned Managed Identity is tied to the lifecycle of one Azure resource. Delete the resource and the identity is deleted.</w:t>
      </w:r>
    </w:p>
    <w:p>
      <w:pPr>
        <w:pStyle w:val="ListBullet"/>
      </w:pPr>
      <w:r>
        <w:t>User-assigned Managed Identity is a standalone Azure resource that can be attached to multiple supported workloads and has an independent lifecycle.</w:t>
      </w:r>
    </w:p>
    <w:p>
      <w:r>
        <w:t>Use system-assigned identity when the identity naturally belongs to one workload. Consider user-assigned identity when lifecycle independence, pre-authorisation or controlled reuse is a real requirement. Do not share an identity merely to reduce the number of identities.</w:t>
      </w:r>
    </w:p>
    <w:p>
      <w:r>
        <w:t>Troubleshooting sequence for a 403: confirm the code obtained a token for the correct target resource; confirm which identity was used; confirm the target service recognises that identity; then inspect role/data permissions and scope. Do not immediately add Owner or Contributor.</w:t>
      </w:r>
    </w:p>
    <w:p>
      <w:pPr/>
      <w:r>
        <w:t>When the .NET application opens a connection using Microsoft Entra authentication, the Azure Identity or SQL client stack obtains a token for the application’s Managed Identity. Microsoft Entra ID issues the token. Azure SQL validates the token, identifies the principal and then evaluates the database permissions granted to that principal.</w:t>
      </w:r>
    </w:p>
    <w:p>
      <w:pPr/>
      <w:r>
        <w:t>This is why enabling Managed Identity on App Service is only half of the task. The identity exists, but it has no automatic right to read or write database data. The database must contain the appropriate Entra principal or group mapping and the minimum required database permissions.</w:t>
      </w:r>
    </w:p>
    <w:p>
      <w:pPr/>
      <w:r>
        <w:t>Local development uses a different credential source. DefaultAzureCredential can use the signed-in developer identity locally and the Managed Identity when deployed to Azure. The target resource must authorise each identity appropriately; local success does not prove the deployed identity has access.</w:t>
      </w:r>
    </w:p>
    <w:p>
      <w:pPr>
        <w:pStyle w:val="Heading1"/>
        <w:keepNext/>
      </w:pPr>
      <w:r>
        <w:t>12. Authorisation and Least Privilege</w:t>
      </w:r>
    </w:p>
    <w:p>
      <w:r>
        <w:t>Authentication answers “who are you?” Authorisation answers “what may you do?” Azure RBAC and data-service permissions must be scoped deliberately.</w:t>
      </w:r>
    </w:p>
    <w:p>
      <w:pPr>
        <w:pStyle w:val="Heading2"/>
        <w:keepNext/>
      </w:pPr>
      <w:r>
        <w:t>Azure RBAC</w:t>
      </w:r>
    </w:p>
    <w:p>
      <w:r>
        <w:t>Think Principal + Role + Scope. A principal can be a user, group, service principal or Managed Identity. A role defines allowed actions. Scope defines where those actions apply—management group, subscription, resource group or resource.</w:t>
      </w:r>
    </w:p>
    <w:tbl>
      <w:tblPr>
        <w:tblW w:type="auto" w:w="0"/>
        <w:jc w:val="center"/>
        <w:tblLayout w:type="fixed"/>
        <w:tblLook w:firstColumn="1" w:firstRow="1" w:lastColumn="0" w:lastRow="0" w:noHBand="0" w:noVBand="1" w:val="04A0"/>
      </w:tblPr>
      <w:tblGrid>
        <w:gridCol w:w="9792"/>
      </w:tblGrid>
      <w:tr>
        <w:trPr>
          <w:cantSplit/>
        </w:trPr>
        <w:tc>
          <w:tcPr>
            <w:tcW w:type="dxa" w:w="10166"/>
            <w:shd w:fill="F1EAF8"/>
            <w:tcMar>
              <w:top w:w="90" w:type="dxa"/>
              <w:start w:w="110" w:type="dxa"/>
              <w:bottom w:w="90" w:type="dxa"/>
              <w:end w:w="110" w:type="dxa"/>
            </w:tcMar>
            <w:vAlign w:val="center"/>
          </w:tcPr>
          <w:p>
            <w:r/>
            <w:r>
              <w:rPr>
                <w:rFonts w:ascii="Verdana" w:hAnsi="Verdana"/>
                <w:b/>
                <w:color w:val="17365D"/>
                <w:sz w:val="19"/>
              </w:rPr>
              <w:t>Least privilege</w:t>
            </w:r>
          </w:p>
          <w:p>
            <w:pPr>
              <w:spacing w:after="0"/>
            </w:pPr>
            <w:r>
              <w:rPr>
                <w:rFonts w:ascii="Verdana" w:hAnsi="Verdana"/>
                <w:color w:val="263442"/>
                <w:sz w:val="17"/>
              </w:rPr>
              <w:t>Grant the smallest useful role at the narrowest practical scope. Avoid broad Owner/Contributor assignments merely to make a lab work.</w:t>
            </w:r>
          </w:p>
        </w:tc>
      </w:tr>
    </w:tbl>
    <w:p>
      <w:pPr>
        <w:spacing w:after="0"/>
      </w:pPr>
    </w:p>
    <w:p>
      <w:pPr>
        <w:pStyle w:val="Heading2"/>
        <w:keepNext/>
      </w:pPr>
      <w:r>
        <w:t>Management plane versus data plane</w:t>
      </w:r>
    </w:p>
    <w:p>
      <w:r>
        <w:t>Permission to configure an Azure resource is not automatically permission to read the data inside it. Storage, SQL and other services have their own data access models. Teach learners to ask which plane the failing operation belongs to.</w:t>
      </w:r>
    </w:p>
    <w:p>
      <w:r>
        <w:br w:type="page"/>
      </w:r>
    </w:p>
    <w:p>
      <w:pPr>
        <w:pStyle w:val="Heading2"/>
      </w:pPr>
      <w:r>
        <w:t>Design permission deliberately</w:t>
      </w:r>
    </w:p>
    <w:p>
      <w:pPr/>
      <w:r>
        <w:t>Authentication proves the caller’s identity. Authorisation decides what that identity may do. Azure RBAC commonly controls management-plane operations and, for some services, data-plane operations. Other services such as Azure SQL also have their own data-plane permission model.</w:t>
      </w:r>
    </w:p>
    <w:p>
      <w:pPr/>
      <w:r>
        <w:t>Avoid assigning Owner or Contributor simply to make an error disappear. Start with the required operation, find the narrowest suitable role or database permission, and apply it at the smallest practical scope. Record why the permission exists so it can be reviewed later.</w:t>
      </w:r>
    </w:p>
    <w:p>
      <w:pPr/>
      <w:r>
        <w:t>When troubleshooting a 403 or access-denied error, confirm the principal object ID, the role or database permission, the scope, propagation time and whether the operation is management-plane or data-plane. This is more reliable than repeatedly changing roles.</w:t>
      </w:r>
    </w:p>
    <w:p>
      <w:pPr>
        <w:pStyle w:val="Heading1"/>
      </w:pPr>
      <w:r>
        <w:t>12A. Secure Application Development in Azure</w:t>
      </w:r>
    </w:p>
    <w:p>
      <w:pPr/>
      <w:r>
        <w:t>Cloud security is broader than identity. Managed Identity and RBAC protect access to Azure resources, but the application must still be designed and delivered securely. The same secure-development practices used on-premises remain relevant and become part of the CI/CD and cloud operating model.</w:t>
      </w:r>
    </w:p>
    <w:p>
      <w:pPr>
        <w:pStyle w:val="Heading2"/>
      </w:pPr>
      <w:r>
        <w:t>Developer security controls</w:t>
      </w:r>
    </w:p>
    <w:p>
      <w:pPr>
        <w:pStyle w:val="ListBullet"/>
      </w:pPr>
      <w:r>
        <w:t>OWASP awareness: understand common web/API risks such as broken access control, injection, insecure design and security misconfiguration.</w:t>
      </w:r>
    </w:p>
    <w:p>
      <w:pPr>
        <w:pStyle w:val="ListBullet"/>
      </w:pPr>
      <w:r>
        <w:t>Input validation: validate untrusted input at trust boundaries and use parameterised data access rather than building commands from raw input.</w:t>
      </w:r>
    </w:p>
    <w:p>
      <w:pPr>
        <w:pStyle w:val="ListBullet"/>
      </w:pPr>
      <w:r>
        <w:t>API security: authenticate callers, authorise each protected operation, validate tokens correctly and avoid exposing sensitive information in responses or logs.</w:t>
      </w:r>
    </w:p>
    <w:p>
      <w:pPr>
        <w:pStyle w:val="ListBullet"/>
      </w:pPr>
      <w:r>
        <w:t>Dependency scanning: detect known vulnerabilities in NuGet, npm and other dependencies and define a process for remediation.</w:t>
      </w:r>
    </w:p>
    <w:p>
      <w:pPr>
        <w:pStyle w:val="ListBullet"/>
      </w:pPr>
      <w:r>
        <w:t>Secret scanning: prevent credentials, tokens and keys from being committed to source control.</w:t>
      </w:r>
    </w:p>
    <w:p>
      <w:pPr>
        <w:pStyle w:val="ListBullet"/>
      </w:pPr>
      <w:r>
        <w:t>SAST: analyse source/build artefacts for security weaknesses during development and CI.</w:t>
      </w:r>
    </w:p>
    <w:p>
      <w:pPr>
        <w:pStyle w:val="ListBullet"/>
      </w:pPr>
      <w:r>
        <w:t>DAST: test the running application from the outside where appropriate, particularly before production release.</w:t>
      </w:r>
    </w:p>
    <w:p>
      <w:pPr>
        <w:pStyle w:val="ListBullet"/>
      </w:pPr>
      <w:r>
        <w:t>Security headers, TLS and safe error handling: do not expose stack traces, internal identifiers or secrets to end users.</w:t>
      </w:r>
    </w:p>
    <w:p>
      <w:pPr>
        <w:pStyle w:val="Heading2"/>
      </w:pPr>
      <w:r>
        <w:t>Shift security left without shifting all responsibility to developers</w:t>
      </w:r>
    </w:p>
    <w:p>
      <w:pPr/>
      <w:r>
        <w:t>Developers should receive fast security feedback in the same workflow as build and test. Pipelines can run dependency, secret and static-analysis checks before deployment. Platform/security teams still provide standards, policies and specialist review; the application team owns fixing application-level findings and avoiding insecure workarounds.</w:t>
      </w:r>
    </w:p>
    <w:p>
      <w:pPr/>
      <w:r>
        <w:t>Building Society example: a successful Managed Identity connection to Azure SQL does not prove the application is secure. The API must still enforce member/staff authorisation, validate input, protect sensitive data, avoid logging personal data unnecessarily and pass the organisation’s code/dependency/security checks.</w:t>
      </w:r>
    </w:p>
    <w:p>
      <w:pPr>
        <w:pStyle w:val="Heading1"/>
        <w:keepNext/>
      </w:pPr>
      <w:r>
        <w:t>13. Networking Fundamentals for Azure Developers</w:t>
      </w:r>
    </w:p>
    <w:p>
      <w:pPr>
        <w:pStyle w:val="Heading2"/>
      </w:pPr>
      <w:r>
        <w:t>Developer scope</w:t>
      </w:r>
    </w:p>
    <w:p>
      <w:pPr/>
      <w:r>
        <w:t>Understand application connectivity and the purpose of Azure networking features you may encounter. You are not expected to design enterprise VNets, routing, NSG rule sets or private DNS architecture. Those detailed responsibilities normally sit with platform/network specialists.</w:t>
      </w:r>
    </w:p>
    <w:p>
      <w:r>
        <w:t>Developers need enough networking knowledge to understand how an application reaches Azure services. Start with one question: which component is calling which service? Then identify whether access is public, restricted or private. Detailed routing, DNS administration and network operations normally belong to the platform/network team.</w:t>
      </w:r>
    </w:p>
    <w:p>
      <w:pPr>
        <w:pStyle w:val="Heading2"/>
        <w:keepNext/>
      </w:pPr>
      <w:r>
        <w:t>Core concepts</w:t>
      </w:r>
    </w:p>
    <w:p>
      <w:pPr>
        <w:pStyle w:val="ListBullet"/>
        <w:ind w:left="317" w:hanging="173"/>
      </w:pPr>
      <w:r>
        <w:t>VNet: private network boundary for Azure network resources.</w:t>
      </w:r>
    </w:p>
    <w:p>
      <w:pPr>
        <w:pStyle w:val="ListBullet"/>
        <w:ind w:left="317" w:hanging="173"/>
      </w:pPr>
      <w:r>
        <w:t>Subnet: address-space subdivision used for placement and policy.</w:t>
      </w:r>
    </w:p>
    <w:p>
      <w:pPr>
        <w:pStyle w:val="ListBullet"/>
        <w:ind w:left="317" w:hanging="173"/>
      </w:pPr>
      <w:r>
        <w:t>NSG: traffic filtering for supported network interfaces/subnets.</w:t>
      </w:r>
    </w:p>
    <w:p>
      <w:pPr>
        <w:pStyle w:val="ListBullet"/>
        <w:ind w:left="317" w:hanging="173"/>
      </w:pPr>
      <w:r>
        <w:t>VNet Integration: lets App Service make outbound connections into a VNet.</w:t>
      </w:r>
    </w:p>
    <w:p>
      <w:pPr>
        <w:pStyle w:val="ListBullet"/>
        <w:ind w:left="317" w:hanging="173"/>
      </w:pPr>
      <w:r>
        <w:t>Private Endpoint: gives a supported PaaS service a private IP in your VNet.</w:t>
      </w:r>
    </w:p>
    <w:p>
      <w:pPr>
        <w:pStyle w:val="ListBullet"/>
        <w:ind w:left="317" w:hanging="173"/>
      </w:pPr>
      <w:r>
        <w:t>Private DNS: makes the service hostname resolve to the private endpoint address.</w:t>
      </w:r>
    </w:p>
    <w:p>
      <w:pPr>
        <w:spacing w:after="4680"/>
        <w:jc w:val="center"/>
      </w:pPr>
      <w:r>
        <w:pict>
          <v:roundrect id="Figure 6._0" style="position:absolute;left:8.0pt;top:25pt;width:79.6pt;height:74pt;z-index:2" arcsize="8%" fillcolor="#EAF5E4" strokecolor="#0078D4" strokeweight="1.3pt">
            <v:textbox inset="6pt,5pt,6pt,4pt">
              <w:txbxContent>
                <w:p>
                  <w:pPr>
                    <w:jc w:val="center"/>
                    <w:spacing w:after="0"/>
                  </w:pPr>
                  <w:r>
                    <w:rPr>
                      <w:rFonts w:ascii="Verdana" w:hAnsi="Verdana"/>
                      <w:b/>
                      <w:color w:val="17365D"/>
                      <w:sz w:val="24"/>
                    </w:rPr>
                    <w:t>App Service</w:t>
                  </w:r>
                </w:p>
                <w:p>
                  <w:pPr>
                    <w:jc w:val="center"/>
                    <w:spacing w:before="0" w:after="0"/>
                  </w:pPr>
                  <w:r>
                    <w:rPr>
                      <w:rFonts w:ascii="Verdana" w:hAnsi="Verdana"/>
                      <w:color w:val="5B6573"/>
                      <w:sz w:val="16"/>
                    </w:rPr>
                    <w:t>Application</w:t>
                  </w:r>
                </w:p>
              </w:txbxContent>
            </v:textbox>
          </v:roundrect>
        </w:pict>
      </w:r>
      <w:r>
        <w:pict>
          <v:line id="Figure 6._a0" from="87.6pt,62.0pt" to="101.6pt,62.0pt" style="position:absolute;z-index:1" strokecolor="#0078D4" strokeweight="1.4pt">
            <v:stroke endarrow="block"/>
          </v:line>
        </w:pict>
      </w:r>
      <w:r>
        <w:pict>
          <v:roundrect id="Figure 6._1" style="position:absolute;left:101.6pt;top:25pt;width:79.6pt;height:74pt;z-index:2" arcsize="8%" fillcolor="#EAF3FB" strokecolor="#0078D4" strokeweight="1.3pt">
            <v:textbox inset="6pt,5pt,6pt,4pt">
              <w:txbxContent>
                <w:p>
                  <w:pPr>
                    <w:jc w:val="center"/>
                    <w:spacing w:after="0"/>
                  </w:pPr>
                  <w:r>
                    <w:rPr>
                      <w:rFonts w:ascii="Verdana" w:hAnsi="Verdana"/>
                      <w:b/>
                      <w:color w:val="17365D"/>
                      <w:sz w:val="24"/>
                    </w:rPr>
                    <w:t>VNet Integration</w:t>
                  </w:r>
                </w:p>
                <w:p>
                  <w:pPr>
                    <w:jc w:val="center"/>
                    <w:spacing w:before="0" w:after="0"/>
                  </w:pPr>
                  <w:r>
                    <w:rPr>
                      <w:rFonts w:ascii="Verdana" w:hAnsi="Verdana"/>
                      <w:color w:val="5B6573"/>
                      <w:sz w:val="16"/>
                    </w:rPr>
                    <w:t>Outbound path</w:t>
                  </w:r>
                </w:p>
              </w:txbxContent>
            </v:textbox>
          </v:roundrect>
        </w:pict>
      </w:r>
      <w:r>
        <w:pict>
          <v:line id="Figure 6._a1" from="181.2pt,62.0pt" to="195.2pt,62.0pt" style="position:absolute;z-index:1" strokecolor="#0078D4" strokeweight="1.4pt">
            <v:stroke endarrow="block"/>
          </v:line>
        </w:pict>
      </w:r>
      <w:r>
        <w:pict>
          <v:roundrect id="Figure 6._2" style="position:absolute;left:195.2pt;top:25pt;width:79.6pt;height:74pt;z-index:2" arcsize="8%" fillcolor="#EAF3FB" strokecolor="#0078D4" strokeweight="1.3pt">
            <v:textbox inset="6pt,5pt,6pt,4pt">
              <w:txbxContent>
                <w:p>
                  <w:pPr>
                    <w:jc w:val="center"/>
                    <w:spacing w:after="0"/>
                  </w:pPr>
                  <w:r>
                    <w:rPr>
                      <w:rFonts w:ascii="Verdana" w:hAnsi="Verdana"/>
                      <w:b/>
                      <w:color w:val="17365D"/>
                      <w:sz w:val="24"/>
                    </w:rPr>
                    <w:t>Private DNS</w:t>
                  </w:r>
                </w:p>
                <w:p>
                  <w:pPr>
                    <w:jc w:val="center"/>
                    <w:spacing w:before="0" w:after="0"/>
                  </w:pPr>
                  <w:r>
                    <w:rPr>
                      <w:rFonts w:ascii="Verdana" w:hAnsi="Verdana"/>
                      <w:color w:val="5B6573"/>
                      <w:sz w:val="16"/>
                    </w:rPr>
                    <w:t>Name → private IP</w:t>
                  </w:r>
                </w:p>
              </w:txbxContent>
            </v:textbox>
          </v:roundrect>
        </w:pict>
      </w:r>
      <w:r>
        <w:pict>
          <v:line id="Figure 6._a2" from="274.79999999999995pt,62.0pt" to="288.79999999999995pt,62.0pt" style="position:absolute;z-index:1" strokecolor="#0078D4" strokeweight="1.4pt">
            <v:stroke endarrow="block"/>
          </v:line>
        </w:pict>
      </w:r>
      <w:r>
        <w:pict>
          <v:roundrect id="Figure 6._3" style="position:absolute;left:288.79999999999995pt;top:25pt;width:79.6pt;height:74pt;z-index:2" arcsize="8%" fillcolor="#EAF3FB" strokecolor="#0078D4" strokeweight="1.3pt">
            <v:textbox inset="6pt,5pt,6pt,4pt">
              <w:txbxContent>
                <w:p>
                  <w:pPr>
                    <w:jc w:val="center"/>
                    <w:spacing w:after="0"/>
                  </w:pPr>
                  <w:r>
                    <w:rPr>
                      <w:rFonts w:ascii="Verdana" w:hAnsi="Verdana"/>
                      <w:b/>
                      <w:color w:val="17365D"/>
                      <w:sz w:val="24"/>
                    </w:rPr>
                    <w:t>Private Endpoint</w:t>
                  </w:r>
                </w:p>
                <w:p>
                  <w:pPr>
                    <w:jc w:val="center"/>
                    <w:spacing w:before="0" w:after="0"/>
                  </w:pPr>
                  <w:r>
                    <w:rPr>
                      <w:rFonts w:ascii="Verdana" w:hAnsi="Verdana"/>
                      <w:color w:val="5B6573"/>
                      <w:sz w:val="16"/>
                    </w:rPr>
                    <w:t>Private interface</w:t>
                  </w:r>
                </w:p>
              </w:txbxContent>
            </v:textbox>
          </v:roundrect>
        </w:pict>
      </w:r>
      <w:r>
        <w:pict>
          <v:line id="Figure 6._a3" from="368.4pt,62.0pt" to="382.4pt,62.0pt" style="position:absolute;z-index:1" strokecolor="#0078D4" strokeweight="1.4pt">
            <v:stroke endarrow="block"/>
          </v:line>
        </w:pict>
      </w:r>
      <w:r>
        <w:pict>
          <v:roundrect id="Figure 6._4" style="position:absolute;left:382.4pt;top:25pt;width:79.6pt;height:74pt;z-index:2" arcsize="8%" fillcolor="#FFF4D6" strokecolor="#0078D4" strokeweight="1.3pt">
            <v:textbox inset="6pt,5pt,6pt,4pt">
              <w:txbxContent>
                <w:p>
                  <w:pPr>
                    <w:jc w:val="center"/>
                    <w:spacing w:after="0"/>
                  </w:pPr>
                  <w:r>
                    <w:rPr>
                      <w:rFonts w:ascii="Verdana" w:hAnsi="Verdana"/>
                      <w:b/>
                      <w:color w:val="17365D"/>
                      <w:sz w:val="24"/>
                    </w:rPr>
                    <w:t>Azure SQL</w:t>
                  </w:r>
                </w:p>
                <w:p>
                  <w:pPr>
                    <w:jc w:val="center"/>
                    <w:spacing w:before="0" w:after="0"/>
                  </w:pPr>
                  <w:r>
                    <w:rPr>
                      <w:rFonts w:ascii="Verdana" w:hAnsi="Verdana"/>
                      <w:color w:val="5B6573"/>
                      <w:sz w:val="16"/>
                    </w:rPr>
                    <w:t>Data service</w:t>
                  </w:r>
                </w:p>
              </w:txbxContent>
            </v:textbox>
          </v:roundrect>
        </w:pict>
      </w:r>
    </w:p>
    <w:p>
      <w:pPr>
        <w:jc w:val="center"/>
      </w:pPr>
      <w:r>
        <w:rPr>
          <w:rFonts w:ascii="Verdana" w:hAnsi="Verdana"/>
        </w:rPr>
        <w:t>Figure 6. Private access path from App Service to Azure SQL.</w:t>
      </w:r>
    </w:p>
    <w:tbl>
      <w:tblPr>
        <w:tblW w:type="auto" w:w="0"/>
        <w:jc w:val="center"/>
        <w:tblLayout w:type="fixed"/>
        <w:tblLook w:firstColumn="1" w:firstRow="1" w:lastColumn="0" w:lastRow="0" w:noHBand="0" w:noVBand="1" w:val="04A0"/>
      </w:tblPr>
      <w:tblGrid>
        <w:gridCol w:w="9792"/>
      </w:tblGrid>
      <w:tr>
        <w:trPr>
          <w:cantSplit/>
        </w:trPr>
        <w:tc>
          <w:tcPr>
            <w:tcW w:type="dxa" w:w="10166"/>
            <w:shd w:fill="EAF4FB"/>
            <w:tcMar>
              <w:top w:w="90" w:type="dxa"/>
              <w:start w:w="110" w:type="dxa"/>
              <w:bottom w:w="90" w:type="dxa"/>
              <w:end w:w="110" w:type="dxa"/>
            </w:tcMar>
            <w:vAlign w:val="center"/>
          </w:tcPr>
          <w:p>
            <w:r/>
            <w:r>
              <w:rPr>
                <w:rFonts w:ascii="Verdana" w:hAnsi="Verdana"/>
                <w:b/>
                <w:color w:val="17365D"/>
                <w:sz w:val="19"/>
              </w:rPr>
              <w:t>Troubleshooting order</w:t>
            </w:r>
          </w:p>
          <w:p>
            <w:pPr>
              <w:spacing w:after="0"/>
            </w:pPr>
            <w:r>
              <w:rPr>
                <w:rFonts w:ascii="Verdana" w:hAnsi="Verdana"/>
                <w:color w:val="263442"/>
                <w:sz w:val="17"/>
              </w:rPr>
              <w:t>For private access problems check DNS resolution first, then route/reachability, then service firewall/private endpoint state, then identity and data permissions.</w:t>
            </w:r>
          </w:p>
        </w:tc>
      </w:tr>
    </w:tbl>
    <w:p>
      <w:pPr>
        <w:spacing w:after="0"/>
      </w:pPr>
    </w:p>
    <w:p>
      <w:r>
        <w:br w:type="page"/>
      </w:r>
    </w:p>
    <w:p>
      <w:pPr>
        <w:pStyle w:val="Heading2"/>
      </w:pPr>
      <w:r>
        <w:t>Understand the request path</w:t>
      </w:r>
    </w:p>
    <w:p>
      <w:pPr>
        <w:pStyle w:val="Heading2"/>
      </w:pPr>
      <w:r>
        <w:t>Developer view: public access, VNet Integration and Private Endpoint</w:t>
      </w:r>
    </w:p>
    <w:p>
      <w:r>
        <w:t>These three concepts are often confused because they appear together in a private PaaS design.</w:t>
      </w:r>
    </w:p>
    <w:p>
      <w:pPr>
        <w:pStyle w:val="ListBullet"/>
      </w:pPr>
      <w:r>
        <w:t>App Service VNet Integration is mainly relevant when the application must reach a resource through a virtual network. For this course, remember its purpose rather than learning detailed routing configuration.</w:t>
      </w:r>
    </w:p>
    <w:p>
      <w:pPr>
        <w:pStyle w:val="ListBullet"/>
      </w:pPr>
      <w:r>
        <w:t>A Private Endpoint is an option when an Azure PaaS service such as Azure SQL must be reached privately. Developers should understand why the architecture uses it and how it affects application connectivity; detailed network implementation is outside this course.</w:t>
      </w:r>
    </w:p>
    <w:p>
      <w:pPr>
        <w:pStyle w:val="ListBullet"/>
      </w:pPr>
      <w:r>
        <w:t>Private connectivity also depends on name resolution. At developer level, the important point is that the application must still resolve and reach the intended service endpoint.</w:t>
      </w:r>
    </w:p>
    <w:p>
      <w:pPr>
        <w:pStyle w:val="ListBullet"/>
      </w:pPr>
      <w:r>
        <w:t>NSGs filter supported subnet traffic. They do not replace application authentication, RBAC or database permissions.</w:t>
      </w:r>
    </w:p>
    <w:p>
      <w:r>
        <w:t>Developer question: if Azure SQL is intentionally private, has the platform/network design provided the App Service with a valid path to it? Capture the application error and work with the platform/network team rather than changing permissions randomly.</w:t>
      </w:r>
    </w:p>
    <w:p>
      <w:pPr/>
      <w:r>
        <w:t>Networking becomes easier when you draw the exact path from caller to target. Identify DNS resolution, the destination address, the network boundary crossed, any firewall or NSG rule, and the identity used after the connection is established. Network access and identity permission are separate controls.</w:t>
      </w:r>
    </w:p>
    <w:p>
      <w:pPr/>
      <w:r>
        <w:t>App Service VNet Integration primarily provides outbound connectivity from the application into a virtual network. A Private Endpoint gives a supported Azure service a private IP address in a virtual network. Private DNS ensures the normal service hostname resolves to that private address from the intended network path.</w:t>
      </w:r>
    </w:p>
    <w:p>
      <w:pPr/>
      <w:r>
        <w:t>Do not add private networking simply because it sounds more secure. Use it when the requirement justifies it, and involve the appropriate platform/network specialists for detailed design.</w:t>
      </w:r>
    </w:p>
    <w:p>
      <w:pPr>
        <w:pStyle w:val="Heading1"/>
        <w:keepNext/>
      </w:pPr>
      <w:r>
        <w:t>14. Cloud-Native Application Behaviour</w:t>
      </w:r>
    </w:p>
    <w:p>
      <w:r>
        <w:t>Moving code to Azure does not make it cloud-native. The application must tolerate scale, transient failure and changing infrastructure.</w:t>
      </w:r>
    </w:p>
    <w:p>
      <w:pPr>
        <w:pStyle w:val="Heading2"/>
        <w:keepNext/>
      </w:pPr>
      <w:r>
        <w:t>Stateless compute</w:t>
      </w:r>
    </w:p>
    <w:p>
      <w:r>
        <w:t>Treat App Service instances as replaceable compute. Keep durable state in services designed for shared state. Avoid depending on local disk, in-memory session or one specific instance unless the architecture explicitly supports that behaviour.</w:t>
      </w:r>
    </w:p>
    <w:p>
      <w:pPr>
        <w:pStyle w:val="Heading2"/>
        <w:keepNext/>
      </w:pPr>
      <w:r>
        <w:t>Timeouts, retries and idempotency</w:t>
      </w:r>
    </w:p>
    <w:p>
      <w:pPr>
        <w:pStyle w:val="ListBullet"/>
        <w:ind w:left="317" w:hanging="173"/>
      </w:pPr>
      <w:r>
        <w:t>Set explicit timeouts so dependency failure does not consume resources indefinitely.</w:t>
      </w:r>
    </w:p>
    <w:p>
      <w:pPr>
        <w:pStyle w:val="ListBullet"/>
        <w:ind w:left="317" w:hanging="173"/>
      </w:pPr>
      <w:r>
        <w:t>Retry only transient failures, with bounded attempts and backoff.</w:t>
      </w:r>
    </w:p>
    <w:p>
      <w:pPr>
        <w:pStyle w:val="ListBullet"/>
        <w:ind w:left="317" w:hanging="173"/>
      </w:pPr>
      <w:r>
        <w:t>Do not blindly retry non-idempotent operations such as “create payment” without a safe idempotency strategy.</w:t>
      </w:r>
    </w:p>
    <w:p>
      <w:pPr>
        <w:pStyle w:val="ListBullet"/>
        <w:ind w:left="317" w:hanging="173"/>
      </w:pPr>
      <w:r>
        <w:t>Use circuit-breaker or graceful-degradation patterns where repeated dependency failure would otherwise amplify the outage.</w:t>
      </w:r>
    </w:p>
    <w:tbl>
      <w:tblPr>
        <w:tblW w:type="auto" w:w="0"/>
        <w:jc w:val="center"/>
        <w:tblLayout w:type="fixed"/>
        <w:tblLook w:firstColumn="1" w:firstRow="1" w:lastColumn="0" w:lastRow="0" w:noHBand="0" w:noVBand="1" w:val="04A0"/>
      </w:tblPr>
      <w:tblGrid>
        <w:gridCol w:w="9792"/>
      </w:tblGrid>
      <w:tr>
        <w:trPr>
          <w:cantSplit/>
        </w:trPr>
        <w:tc>
          <w:tcPr>
            <w:tcW w:type="dxa" w:w="10166"/>
            <w:shd w:fill="E8F3E3"/>
            <w:tcMar>
              <w:top w:w="90" w:type="dxa"/>
              <w:start w:w="110" w:type="dxa"/>
              <w:bottom w:w="90" w:type="dxa"/>
              <w:end w:w="110" w:type="dxa"/>
            </w:tcMar>
            <w:vAlign w:val="center"/>
          </w:tcPr>
          <w:p>
            <w:r/>
            <w:r>
              <w:rPr>
                <w:rFonts w:ascii="Verdana" w:hAnsi="Verdana"/>
                <w:b/>
                <w:color w:val="17365D"/>
                <w:sz w:val="19"/>
              </w:rPr>
              <w:t>Developer question</w:t>
            </w:r>
          </w:p>
          <w:p>
            <w:pPr>
              <w:spacing w:after="0"/>
            </w:pPr>
            <w:r>
              <w:rPr>
                <w:rFonts w:ascii="Verdana" w:hAnsi="Verdana"/>
                <w:color w:val="263442"/>
                <w:sz w:val="17"/>
              </w:rPr>
              <w:t>What happens if SQL is unavailable for 20 seconds? A production design should have a deliberate answer, not “the request hangs until something times out”.</w:t>
            </w:r>
          </w:p>
        </w:tc>
      </w:tr>
    </w:tbl>
    <w:p>
      <w:pPr>
        <w:spacing w:after="0"/>
      </w:pPr>
    </w:p>
    <w:p>
      <w:r>
        <w:br w:type="page"/>
      </w:r>
    </w:p>
    <w:p>
      <w:pPr>
        <w:pStyle w:val="Heading2"/>
      </w:pPr>
      <w:r>
        <w:t>Write code that survives platform behaviour</w:t>
      </w:r>
    </w:p>
    <w:p>
      <w:pPr>
        <w:pStyle w:val="Heading2"/>
      </w:pPr>
      <w:r>
        <w:t>Resilience patterns in application code</w:t>
      </w:r>
    </w:p>
    <w:p>
      <w:pPr>
        <w:pStyle w:val="ListBullet"/>
      </w:pPr>
      <w:r>
        <w:t>Timeout: every remote dependency call should have a bounded wait appropriate to the operation. An infinite wait turns a dependency problem into resource exhaustion.</w:t>
      </w:r>
    </w:p>
    <w:p>
      <w:pPr>
        <w:pStyle w:val="ListBullet"/>
      </w:pPr>
      <w:r>
        <w:t>Retry: retry only failures likely to be transient, use backoff/jitter, and cap attempts. Never blindly retry every exception.</w:t>
      </w:r>
    </w:p>
    <w:p>
      <w:pPr>
        <w:pStyle w:val="ListBullet"/>
      </w:pPr>
      <w:r>
        <w:t>Idempotency: design write operations so a repeated request does not create duplicate financial/application actions.</w:t>
      </w:r>
    </w:p>
    <w:p>
      <w:pPr>
        <w:pStyle w:val="ListBullet"/>
      </w:pPr>
      <w:r>
        <w:t>Circuit breaker: temporarily stop calls to a failing dependency when continued attempts would increase pressure and latency.</w:t>
      </w:r>
    </w:p>
    <w:p>
      <w:pPr>
        <w:pStyle w:val="ListBullet"/>
      </w:pPr>
      <w:r>
        <w:t>Graceful degradation: decide whether a non-critical feature can fail while the core customer journey remains available.</w:t>
      </w:r>
    </w:p>
    <w:p>
      <w:r>
        <w:t>Example: retrying a read from a temporarily unavailable service may be safe. Retrying a payment or application submission without an idempotency key may create duplicate business actions.</w:t>
      </w:r>
    </w:p>
    <w:p>
      <w:pPr/>
      <w:r>
        <w:t>A cloud-hosted application should assume that instances can restart, scale out and be replaced. Durable state therefore belongs outside the process. Requests should be designed so that an instance restart does not corrupt business state or require manual recovery.</w:t>
      </w:r>
    </w:p>
    <w:p>
      <w:pPr/>
      <w:r>
        <w:t>Retries are useful only for transient failures and only when repeating the operation is safe. Combine bounded retries with timeouts and cancellation. For operations that can be repeated by clients or infrastructure, use idempotency techniques so duplicate execution does not create duplicate business outcomes.</w:t>
      </w:r>
    </w:p>
    <w:p>
      <w:pPr/>
      <w:r>
        <w:t>Graceful degradation is often better than total failure. If a non-critical dependency is unavailable, consider whether the application can continue with reduced functionality while emitting telemetry that allows operations teams to investigate.</w:t>
      </w:r>
    </w:p>
    <w:p>
      <w:pPr>
        <w:pStyle w:val="Heading2"/>
      </w:pPr>
      <w:r>
        <w:t>LBS Optional — Azure Functions + Service Bus: Developer Overview</w:t>
      </w:r>
    </w:p>
    <w:p>
      <w:pPr/>
      <w:r>
        <w:t>WHAT: Azure Functions is event-driven compute for running code on triggers; Azure Service Bus is a managed broker for reliable business messages using queues and topics/subscriptions. They are complementary, not interchangeable: a message is stored by Service Bus and processed by a consumer such as a Function.</w:t>
      </w:r>
    </w:p>
    <w:p>
      <w:pPr/>
      <w:r>
        <w:t>WHY: A member application should not wait synchronously for a long-running downstream process if the work can safely complete later. Decoupling can improve responsiveness and resilience, but introduces eventual consistency, retries, duplicate handling and monitoring responsibilities.</w:t>
      </w:r>
    </w:p>
    <w:p>
      <w:pPr>
        <w:pStyle w:val="Heading3"/>
      </w:pPr>
      <w:r>
        <w:t>Building Society example — application submitted</w:t>
      </w:r>
    </w:p>
    <w:p>
      <w:pPr/>
      <w:r>
        <w:t>Synchronous: Member → App Service API → SQL → response. Optional asynchronous extension: after the application transaction is recorded, the API sends a processing message to a Service Bus queue; a queue-triggered Azure Function validates/processes the message and updates status. Use an appropriate reliable hand-off pattern, such as an outbox, when losing a message after database commit would be unacceptable.</w:t>
      </w:r>
    </w:p>
    <w:p>
      <w:pPr>
        <w:pStyle w:val="Heading3"/>
      </w:pPr>
      <w:r>
        <w:t>How a developer would implement it</w:t>
      </w:r>
    </w:p>
    <w:p>
      <w:pPr>
        <w:pStyle w:val="ListNumber"/>
      </w:pPr>
      <w:r>
        <w:t>1. Define a minimal message contract: ApplicationId, EventType, OccurredAt and a stable MessageId; do not put sensitive full application records into the message.</w:t>
      </w:r>
    </w:p>
    <w:p>
      <w:pPr>
        <w:pStyle w:val="ListNumber"/>
      </w:pPr>
      <w:r>
        <w:t>2. Configure Service Bus queue and least-privilege sender/receiver access using Managed Identity where supported.</w:t>
      </w:r>
    </w:p>
    <w:p>
      <w:pPr>
        <w:pStyle w:val="ListNumber"/>
      </w:pPr>
      <w:r>
        <w:t>3. Send a message from the API after the appropriate business transaction boundary; design for retry and duplicate delivery.</w:t>
      </w:r>
    </w:p>
    <w:p>
      <w:pPr>
        <w:pStyle w:val="ListNumber"/>
      </w:pPr>
      <w:r>
        <w:t>4. Implement a queue-triggered Function; validate the message, process it idempotently, record telemetry and handle poison/dead-letter cases.</w:t>
      </w:r>
    </w:p>
    <w:p>
      <w:pPr>
        <w:pStyle w:val="ListNumber"/>
      </w:pPr>
      <w:r>
        <w:t>5. Test success, duplicate messages, temporary failure and dead-letter investigation.</w:t>
      </w:r>
    </w:p>
    <w:p>
      <w:pPr/>
      <w:r>
        <w:t>Service selection: Service Bus for reliable business commands/workflows; Event Grid for event notification/routing; Event Hubs for high-throughput streaming; Storage Queues for simpler queue scenarios. These are overview decisions, not additional mandatory labs.</w:t>
      </w:r>
    </w:p>
    <w:p>
      <w:pPr/>
      <w:r>
        <w:t>Tip: Service Bus is not required for the core Building Society hands-on. Cover the architecture and trade-offs first; demo only if both essential LBS priorities are complete.</w:t>
      </w:r>
    </w:p>
    <w:p>
      <w:pPr>
        <w:pStyle w:val="Heading1"/>
      </w:pPr>
      <w:r>
        <w:t>14A. Event-Driven and Asynchronous Architecture</w:t>
      </w:r>
    </w:p>
    <w:p>
      <w:pPr/>
      <w:r>
        <w:t>Cloud-native applications should not assume every operation must complete synchronously inside the user request. Asynchronous messaging can decouple components, absorb bursts and allow work to continue even when a downstream processor is temporarily unavailable.</w:t>
      </w:r>
    </w:p>
    <w:p>
      <w:pPr>
        <w:pStyle w:val="Heading2"/>
      </w:pPr>
      <w:r>
        <w:t>The developer decision: synchronous or asynchronous?</w:t>
      </w:r>
    </w:p>
    <w:p>
      <w:pPr/>
      <w:r>
        <w:t>Use synchronous request/response when the caller needs an immediate result and the dependency can respond within the required latency. Consider asynchronous processing when the work is long-running, bursty, retryable, independent of the immediate response or should survive temporary downstream failure.</w:t>
      </w:r>
    </w:p>
    <w:tbl>
      <w:tblPr>
        <w:tblStyle w:val="TableGrid"/>
        <w:tblW w:type="auto" w:w="0"/>
        <w:tblLook w:firstColumn="1" w:firstRow="1" w:lastColumn="0" w:lastRow="0" w:noHBand="0" w:noVBand="1" w:val="04A0"/>
      </w:tblPr>
      <w:tblGrid>
        <w:gridCol w:w="5083"/>
        <w:gridCol w:w="5083"/>
      </w:tblGrid>
      <w:tr>
        <w:tc>
          <w:tcPr>
            <w:tcW w:type="dxa" w:w="5083"/>
          </w:tcPr>
          <w:p>
            <w:r>
              <w:t>Service</w:t>
            </w:r>
          </w:p>
        </w:tc>
        <w:tc>
          <w:tcPr>
            <w:tcW w:type="dxa" w:w="5083"/>
          </w:tcPr>
          <w:p>
            <w:r>
              <w:t>Developer use case</w:t>
            </w:r>
          </w:p>
        </w:tc>
      </w:tr>
      <w:tr>
        <w:tc>
          <w:tcPr>
            <w:tcW w:type="dxa" w:w="5083"/>
          </w:tcPr>
          <w:p>
            <w:r>
              <w:t>Azure Service Bus</w:t>
            </w:r>
          </w:p>
        </w:tc>
        <w:tc>
          <w:tcPr>
            <w:tcW w:type="dxa" w:w="5083"/>
          </w:tcPr>
          <w:p>
            <w:r>
              <w:t>Reliable business messaging, commands/queues, competing consumers, ordered/session-aware workflows where required.</w:t>
            </w:r>
          </w:p>
        </w:tc>
      </w:tr>
      <w:tr>
        <w:tc>
          <w:tcPr>
            <w:tcW w:type="dxa" w:w="5083"/>
          </w:tcPr>
          <w:p>
            <w:r>
              <w:t>Azure Event Grid</w:t>
            </w:r>
          </w:p>
        </w:tc>
        <w:tc>
          <w:tcPr>
            <w:tcW w:type="dxa" w:w="5083"/>
          </w:tcPr>
          <w:p>
            <w:r>
              <w:t>Event distribution and reactive integration when publishers announce that something happened.</w:t>
            </w:r>
          </w:p>
        </w:tc>
      </w:tr>
      <w:tr>
        <w:tc>
          <w:tcPr>
            <w:tcW w:type="dxa" w:w="5083"/>
          </w:tcPr>
          <w:p>
            <w:r>
              <w:t>Azure Event Hubs</w:t>
            </w:r>
          </w:p>
        </w:tc>
        <w:tc>
          <w:tcPr>
            <w:tcW w:type="dxa" w:w="5083"/>
          </w:tcPr>
          <w:p>
            <w:r>
              <w:t>High-throughput event/telemetry streaming and ingestion.</w:t>
            </w:r>
          </w:p>
        </w:tc>
      </w:tr>
      <w:tr>
        <w:tc>
          <w:tcPr>
            <w:tcW w:type="dxa" w:w="5083"/>
          </w:tcPr>
          <w:p>
            <w:r>
              <w:t>Azure Storage Queues</w:t>
            </w:r>
          </w:p>
        </w:tc>
        <w:tc>
          <w:tcPr>
            <w:tcW w:type="dxa" w:w="5083"/>
          </w:tcPr>
          <w:p>
            <w:r>
              <w:t>Simple queue-based asynchronous work where advanced broker features are not required.</w:t>
            </w:r>
          </w:p>
        </w:tc>
      </w:tr>
    </w:tbl>
    <w:p>
      <w:pPr/>
      <w:r>
        <w:t>Building Society example: submitting an application may synchronously validate the request and store the initial record, then publish work for document processing, notifications or downstream checks. The member receives a response without waiting for every background activity to finish.</w:t>
      </w:r>
    </w:p>
    <w:p>
      <w:pPr>
        <w:pStyle w:val="Heading2"/>
      </w:pPr>
      <w:r>
        <w:t>Developer concerns in asynchronous systems</w:t>
      </w:r>
    </w:p>
    <w:p>
      <w:pPr>
        <w:pStyle w:val="ListBullet"/>
      </w:pPr>
      <w:r>
        <w:t>Idempotency: processing the same message more than once must not corrupt business state.</w:t>
      </w:r>
    </w:p>
    <w:p>
      <w:pPr>
        <w:pStyle w:val="ListBullet"/>
      </w:pPr>
      <w:r>
        <w:t>Retries and poison/dead-letter handling: repeated failure needs an explicit path rather than an infinite retry loop.</w:t>
      </w:r>
    </w:p>
    <w:p>
      <w:pPr>
        <w:pStyle w:val="ListBullet"/>
      </w:pPr>
      <w:r>
        <w:t>Correlation: carry an operation/correlation identifier so logs and messages can be traced across components.</w:t>
      </w:r>
    </w:p>
    <w:p>
      <w:pPr>
        <w:pStyle w:val="ListBullet"/>
      </w:pPr>
      <w:r>
        <w:t>Ordering and consistency: do not assume events arrive exactly once or in the order the business process expects unless the chosen design guarantees it.</w:t>
      </w:r>
    </w:p>
    <w:p>
      <w:pPr>
        <w:pStyle w:val="ListBullet"/>
      </w:pPr>
      <w:r>
        <w:t>Observability: monitor queue depth, processing failures, latency and dead-lettered work in addition to HTTP requests.</w:t>
      </w:r>
    </w:p>
    <w:p>
      <w:pPr/>
      <w:r>
        <w:t>For this two-day course, the objective is architecture awareness and developer decision-making. Detailed broker administration is not required.</w:t>
      </w:r>
    </w:p>
    <w:p>
      <w:pPr>
        <w:pStyle w:val="Heading1"/>
        <w:keepNext/>
      </w:pPr>
      <w:r>
        <w:t>15. Observability: Logs, Metrics and Traces</w:t>
      </w:r>
    </w:p>
    <w:p>
      <w:r>
        <w:t>Monitoring is part of the architecture. If the team cannot see failure, latency and dependency behaviour, the system is not production-ready.</w:t>
      </w:r>
    </w:p>
    <w:p>
      <w:pPr>
        <w:spacing w:after="4680"/>
        <w:jc w:val="center"/>
      </w:pPr>
      <w:r>
        <w:pict>
          <v:roundrect id="Figure 7._0" style="position:absolute;left:8.0pt;top:25pt;width:79.6pt;height:74pt;z-index:2" arcsize="8%" fillcolor="#EAF3FB" strokecolor="#0078D4" strokeweight="1.3pt">
            <v:textbox inset="6pt,5pt,6pt,4pt">
              <w:txbxContent>
                <w:p>
                  <w:pPr>
                    <w:jc w:val="center"/>
                    <w:spacing w:after="0"/>
                  </w:pPr>
                  <w:r>
                    <w:rPr>
                      <w:rFonts w:ascii="Verdana" w:hAnsi="Verdana"/>
                      <w:b/>
                      <w:color w:val="17365D"/>
                      <w:sz w:val="24"/>
                    </w:rPr>
                    <w:t>Client request</w:t>
                  </w:r>
                </w:p>
                <w:p>
                  <w:pPr>
                    <w:jc w:val="center"/>
                    <w:spacing w:before="0" w:after="0"/>
                  </w:pPr>
                  <w:r>
                    <w:rPr>
                      <w:rFonts w:ascii="Verdana" w:hAnsi="Verdana"/>
                      <w:color w:val="5B6573"/>
                      <w:sz w:val="16"/>
                    </w:rPr>
                    <w:t>Correlation</w:t>
                  </w:r>
                </w:p>
              </w:txbxContent>
            </v:textbox>
          </v:roundrect>
        </w:pict>
      </w:r>
      <w:r>
        <w:pict>
          <v:line id="Figure 7._a0" from="87.6pt,62.0pt" to="101.6pt,62.0pt" style="position:absolute;z-index:1" strokecolor="#0078D4" strokeweight="1.4pt">
            <v:stroke endarrow="block"/>
          </v:line>
        </w:pict>
      </w:r>
      <w:r>
        <w:pict>
          <v:roundrect id="Figure 7._1" style="position:absolute;left:101.6pt;top:25pt;width:79.6pt;height:74pt;z-index:2" arcsize="8%" fillcolor="#EAF5E4" strokecolor="#0078D4" strokeweight="1.3pt">
            <v:textbox inset="6pt,5pt,6pt,4pt">
              <w:txbxContent>
                <w:p>
                  <w:pPr>
                    <w:jc w:val="center"/>
                    <w:spacing w:after="0"/>
                  </w:pPr>
                  <w:r>
                    <w:rPr>
                      <w:rFonts w:ascii="Verdana" w:hAnsi="Verdana"/>
                      <w:b/>
                      <w:color w:val="17365D"/>
                      <w:sz w:val="24"/>
                    </w:rPr>
                    <w:t>App Service</w:t>
                  </w:r>
                </w:p>
                <w:p>
                  <w:pPr>
                    <w:jc w:val="center"/>
                    <w:spacing w:before="0" w:after="0"/>
                  </w:pPr>
                  <w:r>
                    <w:rPr>
                      <w:rFonts w:ascii="Verdana" w:hAnsi="Verdana"/>
                      <w:color w:val="5B6573"/>
                      <w:sz w:val="16"/>
                    </w:rPr>
                    <w:t>Request processing</w:t>
                  </w:r>
                </w:p>
              </w:txbxContent>
            </v:textbox>
          </v:roundrect>
        </w:pict>
      </w:r>
      <w:r>
        <w:pict>
          <v:line id="Figure 7._a1" from="181.2pt,62.0pt" to="195.2pt,62.0pt" style="position:absolute;z-index:1" strokecolor="#0078D4" strokeweight="1.4pt">
            <v:stroke endarrow="block"/>
          </v:line>
        </w:pict>
      </w:r>
      <w:r>
        <w:pict>
          <v:roundrect id="Figure 7._2" style="position:absolute;left:195.2pt;top:25pt;width:79.6pt;height:74pt;z-index:2" arcsize="8%" fillcolor="#FFF4D6" strokecolor="#0078D4" strokeweight="1.3pt">
            <v:textbox inset="6pt,5pt,6pt,4pt">
              <w:txbxContent>
                <w:p>
                  <w:pPr>
                    <w:jc w:val="center"/>
                    <w:spacing w:after="0"/>
                  </w:pPr>
                  <w:r>
                    <w:rPr>
                      <w:rFonts w:ascii="Verdana" w:hAnsi="Verdana"/>
                      <w:b/>
                      <w:color w:val="17365D"/>
                      <w:sz w:val="24"/>
                    </w:rPr>
                    <w:t>Dependency</w:t>
                  </w:r>
                </w:p>
                <w:p>
                  <w:pPr>
                    <w:jc w:val="center"/>
                    <w:spacing w:before="0" w:after="0"/>
                  </w:pPr>
                  <w:r>
                    <w:rPr>
                      <w:rFonts w:ascii="Verdana" w:hAnsi="Verdana"/>
                      <w:color w:val="5B6573"/>
                      <w:sz w:val="16"/>
                    </w:rPr>
                    <w:t>SQL / Storage / API</w:t>
                  </w:r>
                </w:p>
              </w:txbxContent>
            </v:textbox>
          </v:roundrect>
        </w:pict>
      </w:r>
      <w:r>
        <w:pict>
          <v:line id="Figure 7._a2" from="274.79999999999995pt,62.0pt" to="288.79999999999995pt,62.0pt" style="position:absolute;z-index:1" strokecolor="#0078D4" strokeweight="1.4pt">
            <v:stroke endarrow="block"/>
          </v:line>
        </w:pict>
      </w:r>
      <w:r>
        <w:pict>
          <v:roundrect id="Figure 7._3" style="position:absolute;left:288.79999999999995pt;top:25pt;width:79.6pt;height:74pt;z-index:2" arcsize="8%" fillcolor="#EAF3FB" strokecolor="#0078D4" strokeweight="1.3pt">
            <v:textbox inset="6pt,5pt,6pt,4pt">
              <w:txbxContent>
                <w:p>
                  <w:pPr>
                    <w:jc w:val="center"/>
                    <w:spacing w:after="0"/>
                  </w:pPr>
                  <w:r>
                    <w:rPr>
                      <w:rFonts w:ascii="Verdana" w:hAnsi="Verdana"/>
                      <w:b/>
                      <w:color w:val="17365D"/>
                      <w:sz w:val="24"/>
                    </w:rPr>
                    <w:t>Application Insights</w:t>
                  </w:r>
                </w:p>
                <w:p>
                  <w:pPr>
                    <w:jc w:val="center"/>
                    <w:spacing w:before="0" w:after="0"/>
                  </w:pPr>
                  <w:r>
                    <w:rPr>
                      <w:rFonts w:ascii="Verdana" w:hAnsi="Verdana"/>
                      <w:color w:val="5B6573"/>
                      <w:sz w:val="16"/>
                    </w:rPr>
                    <w:t>Trace + exceptions</w:t>
                  </w:r>
                </w:p>
              </w:txbxContent>
            </v:textbox>
          </v:roundrect>
        </w:pict>
      </w:r>
      <w:r>
        <w:pict>
          <v:line id="Figure 7._a3" from="368.4pt,62.0pt" to="382.4pt,62.0pt" style="position:absolute;z-index:1" strokecolor="#0078D4" strokeweight="1.4pt">
            <v:stroke endarrow="block"/>
          </v:line>
        </w:pict>
      </w:r>
      <w:r>
        <w:pict>
          <v:roundrect id="Figure 7._4" style="position:absolute;left:382.4pt;top:25pt;width:79.6pt;height:74pt;z-index:2" arcsize="8%" fillcolor="#EAF3FB" strokecolor="#0078D4" strokeweight="1.3pt">
            <v:textbox inset="6pt,5pt,6pt,4pt">
              <w:txbxContent>
                <w:p>
                  <w:pPr>
                    <w:jc w:val="center"/>
                    <w:spacing w:after="0"/>
                  </w:pPr>
                  <w:r>
                    <w:rPr>
                      <w:rFonts w:ascii="Verdana" w:hAnsi="Verdana"/>
                      <w:b/>
                      <w:color w:val="17365D"/>
                      <w:sz w:val="24"/>
                    </w:rPr>
                    <w:t>Azure Monitor</w:t>
                  </w:r>
                </w:p>
                <w:p>
                  <w:pPr>
                    <w:jc w:val="center"/>
                    <w:spacing w:before="0" w:after="0"/>
                  </w:pPr>
                  <w:r>
                    <w:rPr>
                      <w:rFonts w:ascii="Verdana" w:hAnsi="Verdana"/>
                      <w:color w:val="5B6573"/>
                      <w:sz w:val="16"/>
                    </w:rPr>
                    <w:t>Logs • metrics • alerts</w:t>
                  </w:r>
                </w:p>
              </w:txbxContent>
            </v:textbox>
          </v:roundrect>
        </w:pict>
      </w:r>
    </w:p>
    <w:p>
      <w:pPr>
        <w:jc w:val="center"/>
      </w:pPr>
      <w:r>
        <w:rPr>
          <w:rFonts w:ascii="Verdana" w:hAnsi="Verdana"/>
        </w:rPr>
        <w:t>Figure 7. Observability across an application request.</w:t>
      </w:r>
    </w:p>
    <w:p>
      <w:pPr>
        <w:pStyle w:val="Heading2"/>
        <w:keepNext/>
      </w:pPr>
      <w:r>
        <w:t>Three useful signals</w:t>
      </w:r>
    </w:p>
    <w:p>
      <w:pPr>
        <w:pStyle w:val="ListBullet"/>
        <w:ind w:left="317" w:hanging="173"/>
      </w:pPr>
      <w:r>
        <w:t>Logs: discrete events and diagnostic context.</w:t>
      </w:r>
    </w:p>
    <w:p>
      <w:pPr>
        <w:pStyle w:val="ListBullet"/>
        <w:ind w:left="317" w:hanging="173"/>
      </w:pPr>
      <w:r>
        <w:t>Metrics: numeric time-series such as request rate, latency, CPU or failure percentage.</w:t>
      </w:r>
    </w:p>
    <w:p>
      <w:pPr>
        <w:pStyle w:val="ListBullet"/>
        <w:ind w:left="317" w:hanging="173"/>
      </w:pPr>
      <w:r>
        <w:t>Traces: correlated operations across components and dependencies.</w:t>
      </w:r>
    </w:p>
    <w:p>
      <w:pPr>
        <w:pStyle w:val="Heading2"/>
        <w:keepNext/>
      </w:pPr>
      <w:r>
        <w:t>Application Insights</w:t>
      </w:r>
    </w:p>
    <w:p>
      <w:r>
        <w:t>Instrument requests, dependencies, exceptions and custom telemetry. Use correlation so a support engineer can move from a failed request to the dependency call that caused it.</w:t>
      </w:r>
    </w:p>
    <w:tbl>
      <w:tblPr>
        <w:tblW w:type="auto" w:w="0"/>
        <w:jc w:val="center"/>
        <w:tblLayout w:type="fixed"/>
        <w:tblLook w:firstColumn="1" w:firstRow="1" w:lastColumn="0" w:lastRow="0" w:noHBand="0" w:noVBand="1" w:val="04A0"/>
      </w:tblPr>
      <w:tblGrid>
        <w:gridCol w:w="9792"/>
      </w:tblGrid>
      <w:tr>
        <w:trPr>
          <w:cantSplit/>
        </w:trPr>
        <w:tc>
          <w:tcPr>
            <w:tcW w:type="dxa" w:w="10166"/>
            <w:shd w:fill="E8F3E3"/>
            <w:tcMar>
              <w:top w:w="90" w:type="dxa"/>
              <w:start w:w="110" w:type="dxa"/>
              <w:bottom w:w="90" w:type="dxa"/>
              <w:end w:w="110" w:type="dxa"/>
            </w:tcMar>
            <w:vAlign w:val="center"/>
          </w:tcPr>
          <w:p>
            <w:r/>
            <w:r>
              <w:rPr>
                <w:rFonts w:ascii="Verdana" w:hAnsi="Verdana"/>
                <w:b/>
                <w:color w:val="17365D"/>
                <w:sz w:val="19"/>
              </w:rPr>
              <w:t>Alert on symptoms</w:t>
            </w:r>
          </w:p>
          <w:p>
            <w:pPr>
              <w:spacing w:after="0"/>
            </w:pPr>
            <w:r>
              <w:rPr>
                <w:rFonts w:ascii="Verdana" w:hAnsi="Verdana"/>
                <w:color w:val="263442"/>
                <w:sz w:val="17"/>
              </w:rPr>
              <w:t>Prefer actionable alerts tied to user or service impact—failure rate, sustained latency, availability or resource saturation—rather than alerting on every individual log entry.</w:t>
            </w:r>
          </w:p>
        </w:tc>
      </w:tr>
    </w:tbl>
    <w:p>
      <w:pPr>
        <w:spacing w:after="0"/>
      </w:pPr>
    </w:p>
    <w:p>
      <w:r>
        <w:br w:type="page"/>
      </w:r>
    </w:p>
    <w:p>
      <w:pPr>
        <w:pStyle w:val="Heading2"/>
      </w:pPr>
      <w:r>
        <w:t>Design telemetry before an incident</w:t>
      </w:r>
    </w:p>
    <w:p>
      <w:pPr>
        <w:pStyle w:val="Heading2"/>
      </w:pPr>
      <w:r>
        <w:t>From telemetry to an investigation</w:t>
      </w:r>
    </w:p>
    <w:p>
      <w:pPr>
        <w:pStyle w:val="ListBullet"/>
      </w:pPr>
      <w:r>
        <w:t>Logs explain discrete events and context. Use structured properties such as correlation ID, operation name and dependency rather than relying only on long text messages.</w:t>
      </w:r>
    </w:p>
    <w:p>
      <w:pPr>
        <w:pStyle w:val="ListBullet"/>
      </w:pPr>
      <w:r>
        <w:t>Metrics show numeric behaviour over time: request rate, latency, CPU, memory, failures or queue depth. They are well suited to alerts and trend detection.</w:t>
      </w:r>
    </w:p>
    <w:p>
      <w:pPr>
        <w:pStyle w:val="ListBullet"/>
      </w:pPr>
      <w:r>
        <w:t>Traces connect operations across components and dependencies so a slow request can be followed from the incoming API call to SQL, Storage or another API.</w:t>
      </w:r>
    </w:p>
    <w:p>
      <w:pPr>
        <w:pStyle w:val="Heading3"/>
      </w:pPr>
      <w:r>
        <w:t>Example KQL starting point</w:t>
      </w:r>
    </w:p>
    <w:p>
      <w:pPr>
        <w:pStyle w:val="NoSpacing"/>
      </w:pPr>
      <w:r>
        <w:rPr>
          <w:rFonts w:ascii="Consolas" w:hAnsi="Consolas"/>
          <w:sz w:val="17"/>
        </w:rPr>
        <w:t>requests</w:t>
        <w:br/>
        <w:t>| where timestamp &gt; ago(1h)</w:t>
        <w:br/>
        <w:t>| summarize Requests=count(), Failures=countif(success == false), P95=percentile(duration, 95) by operation_Name</w:t>
        <w:br/>
        <w:t>| order by Failures desc</w:t>
      </w:r>
    </w:p>
    <w:p>
      <w:r>
        <w:t>Use telemetry to form evidence: Is the application receiving traffic? Which operation is slow? Is the time spent in the application or a dependency? Did failures begin after a deployment? A useful dashboard should lead to a diagnostic question, not simply display charts.</w:t>
      </w:r>
    </w:p>
    <w:p>
      <w:pPr/>
      <w:r>
        <w:t>Logs explain events, metrics show numeric behaviour over time, and traces connect work across components. A useful production system needs enough of all three to answer: what failed, when did it start, who or what was affected, which dependency was involved, and whether the problem is still happening.</w:t>
      </w:r>
    </w:p>
    <w:p>
      <w:pPr/>
      <w:r>
        <w:t>Add correlation identifiers to requests and propagate them to dependency calls. Capture meaningful business and technical context without logging secrets or unnecessary personal data. Use structured logging so queries can filter by fields rather than relying on free-text searches.</w:t>
      </w:r>
    </w:p>
    <w:p>
      <w:pPr/>
      <w:r>
        <w:t>Alerts should represent conditions that require action. Avoid alerting on every individual exception. Prefer signals such as sustained failure rate, dependency availability, latency, resource saturation or failed health checks, and link alerts to a runbook or investigation path.</w:t>
      </w:r>
    </w:p>
    <w:p>
      <w:pPr>
        <w:pStyle w:val="Heading2"/>
      </w:pPr>
      <w:r>
        <w:t>LBS Priority 2 — Log Analytics, KQL and Application Insights: What, Why and How</w:t>
      </w:r>
    </w:p>
    <w:p>
      <w:pPr/>
      <w:r>
        <w:t>WHAT: Application Insights captures application telemetry such as requests, dependencies, exceptions and traces. A Log Analytics workspace stores/query logs from supported Azure resources and applications. Kusto Query Language (KQL) is used to explore and analyse this telemetry. Workspace-based Application Insights uses Log Analytics workspace tables such as AppRequests, AppDependencies, AppExceptions and AppTraces; available tables and columns depend on configuration and ingestion.</w:t>
      </w:r>
    </w:p>
    <w:p>
      <w:pPr/>
      <w:r>
        <w:t>WHY: A developer needs to answer: Which requests failed? Which dependency was slow? Did a release introduce exceptions? How many users were affected? Azure Monitor metrics and Application Insights dashboards are useful, but KQL lets you investigate evidence rather than guessing.</w:t>
      </w:r>
    </w:p>
    <w:p>
      <w:pPr>
        <w:pStyle w:val="Heading3"/>
      </w:pPr>
      <w:r>
        <w:t>How telemetry travels from .NET to the query editor</w:t>
      </w:r>
    </w:p>
    <w:p>
      <w:pPr>
        <w:pStyle w:val="ListNumber"/>
      </w:pPr>
      <w:r>
        <w:t>1. Instrument the ASP.NET Core application with the supported Azure Monitor OpenTelemetry distribution or an appropriate Application Insights integration. Use a connection string supplied through secure application configuration.</w:t>
      </w:r>
    </w:p>
    <w:p>
      <w:pPr>
        <w:pStyle w:val="ListNumber"/>
      </w:pPr>
      <w:r>
        <w:t>2. Enable request, dependency and exception collection. Add structured application logs with appropriate severity; never log passwords, tokens or unnecessary personal/customer data.</w:t>
      </w:r>
    </w:p>
    <w:p>
      <w:pPr>
        <w:pStyle w:val="ListNumber"/>
      </w:pPr>
      <w:r>
        <w:t>3. Send telemetry to the configured Application Insights resource and its Log Analytics workspace.</w:t>
      </w:r>
    </w:p>
    <w:p>
      <w:pPr>
        <w:pStyle w:val="ListNumber"/>
      </w:pPr>
      <w:r>
        <w:t>4. In Azure Portal open Application Insights &gt; Logs (or the associated Log Analytics workspace &gt; Logs), confirm the workspace and time range, and run a simple query.</w:t>
      </w:r>
    </w:p>
    <w:p>
      <w:pPr>
        <w:pStyle w:val="ListNumber"/>
      </w:pPr>
      <w:r>
        <w:t>5. Reproduce one known application action; allow for ingestion delay, then correlate the timestamp and operation with telemetry.</w:t>
      </w:r>
    </w:p>
    <w:p>
      <w:pPr>
        <w:pStyle w:val="Heading3"/>
      </w:pPr>
      <w:r>
        <w:t>KQL starter concepts</w:t>
      </w:r>
    </w:p>
    <w:p>
      <w:pPr/>
      <w:r>
        <w:t>KQL reads left to right through a pipeline: table | where (filter) | project (select columns) | summarize (aggregate) | order by (sort). Use ago(1h) or ago(24h) for time windows, count() for volume, and percentile() for latency. Run queries against the table schema available in your environment.</w:t>
      </w:r>
    </w:p>
    <w:p>
      <w:pPr>
        <w:pStyle w:val="Heading3"/>
      </w:pPr>
      <w:r>
        <w:t>Query 1 — failed HTTP requests</w:t>
      </w:r>
    </w:p>
    <w:p>
      <w:pPr/>
      <w:r>
        <w:t>AppRequests</w:t>
        <w:br/>
        <w:t>| where TimeGenerated &gt; ago(24h)</w:t>
        <w:br/>
        <w:t>| where Success == false</w:t>
        <w:br/>
        <w:t>| project TimeGenerated, Name, ResultCode, DurationMs, OperationId</w:t>
        <w:br/>
        <w:t>| order by TimeGenerated desc</w:t>
      </w:r>
    </w:p>
    <w:p>
      <w:pPr/>
      <w:r>
        <w:t>How to read it: find the endpoint, result code and operation identifier. Investigate whether failures cluster after a deployment or affect one route.</w:t>
      </w:r>
    </w:p>
    <w:p>
      <w:pPr>
        <w:pStyle w:val="Heading3"/>
      </w:pPr>
      <w:r>
        <w:t>Query 2 — slow requests by endpoint</w:t>
      </w:r>
    </w:p>
    <w:p>
      <w:pPr/>
      <w:r>
        <w:t>AppRequests</w:t>
        <w:br/>
        <w:t>| where TimeGenerated &gt; ago(24h)</w:t>
        <w:br/>
        <w:t>| summarize Calls=count(), P95DurationMs=percentile(DurationMs, 95) by Name</w:t>
        <w:br/>
        <w:t>| order by P95DurationMs desc</w:t>
      </w:r>
    </w:p>
    <w:p>
      <w:pPr/>
      <w:r>
        <w:t>How to read it: the 95th percentile highlights slow-tail behaviour; compare across periods rather than treating one slow request as a systemic issue.</w:t>
      </w:r>
    </w:p>
    <w:p>
      <w:pPr>
        <w:pStyle w:val="Heading3"/>
      </w:pPr>
      <w:r>
        <w:t>Query 3 — failed or slow dependencies</w:t>
      </w:r>
    </w:p>
    <w:p>
      <w:pPr/>
      <w:r>
        <w:t>AppDependencies</w:t>
        <w:br/>
        <w:t>| where TimeGenerated &gt; ago(24h)</w:t>
        <w:br/>
        <w:t>| where Success == false or DurationMs &gt; 1000</w:t>
        <w:br/>
        <w:t>| project TimeGenerated, Name, Target, Type, Success, DurationMs, OperationId</w:t>
        <w:br/>
        <w:t>| order by TimeGenerated desc</w:t>
      </w:r>
    </w:p>
    <w:p>
      <w:pPr/>
      <w:r>
        <w:t>How to read it: distinguish a slow SQL dependency from a failing HTTP call. Dependency duration does not by itself identify the root cause; use exceptions and application context.</w:t>
      </w:r>
    </w:p>
    <w:p>
      <w:pPr>
        <w:pStyle w:val="Heading3"/>
      </w:pPr>
      <w:r>
        <w:t>Query 4 — exception trends</w:t>
      </w:r>
    </w:p>
    <w:p>
      <w:pPr/>
      <w:r>
        <w:t>AppExceptions</w:t>
        <w:br/>
        <w:t>| where TimeGenerated &gt; ago(24h)</w:t>
        <w:br/>
        <w:t>| summarize Exceptions=count() by ExceptionType, bin(TimeGenerated, 1h)</w:t>
        <w:br/>
        <w:t>| order by TimeGenerated desc</w:t>
      </w:r>
    </w:p>
    <w:p>
      <w:pPr/>
      <w:r>
        <w:t>How to read it: look for spikes, recurring exception types and correlation with a release or changed configuration.</w:t>
      </w:r>
    </w:p>
    <w:p>
      <w:pPr>
        <w:pStyle w:val="Heading3"/>
      </w:pPr>
      <w:r>
        <w:t>Query 5 — trace an operation across telemetry</w:t>
      </w:r>
    </w:p>
    <w:p>
      <w:pPr/>
      <w:r>
        <w:t>let operation = "REPLACE_WITH_OPERATION_ID";</w:t>
        <w:br/>
        <w:t>union AppRequests, AppDependencies, AppExceptions, AppTraces</w:t>
        <w:br/>
        <w:t>| where TimeGenerated &gt; ago(24h)</w:t>
        <w:br/>
        <w:t>| where OperationId == operation</w:t>
        <w:br/>
        <w:t>| project TimeGenerated, Type, OperationId, Message=column_ifexists("Message", ""), Name=column_ifexists("Name", ""), Success=column_ifexists("Success", bool(null))</w:t>
        <w:br/>
        <w:t>| order by TimeGenerated asc</w:t>
      </w:r>
    </w:p>
    <w:p>
      <w:pPr/>
      <w:r>
        <w:t>Tip: start from a real OperationId from a request row. Schemas can vary; if union columns are awkward, query each table separately using the same OperationId. Do not invent an operation ID.</w:t>
      </w:r>
    </w:p>
    <w:p>
      <w:pPr>
        <w:pStyle w:val="Heading3"/>
      </w:pPr>
      <w:r>
        <w:t>Building Society guided lab — diagnose a slow application (35–45 minutes)</w:t>
      </w:r>
    </w:p>
    <w:p>
      <w:pPr/>
      <w:r>
        <w:t>Scenario: a member views an application status page. Some requests are slow or fail. A trainer can induce a safe, controlled delay or test-only exception, or provide prepared telemetry if access is restricted.</w:t>
      </w:r>
    </w:p>
    <w:p>
      <w:pPr>
        <w:pStyle w:val="ListNumber"/>
      </w:pPr>
      <w:r>
        <w:t>1. Open Application Insights and identify the correct time range and resource/workspace.</w:t>
      </w:r>
    </w:p>
    <w:p>
      <w:pPr>
        <w:pStyle w:val="ListNumber"/>
      </w:pPr>
      <w:r>
        <w:t>2. Run Query 1 to find failed requests; note Name, ResultCode, timestamp and OperationId.</w:t>
      </w:r>
    </w:p>
    <w:p>
      <w:pPr>
        <w:pStyle w:val="ListNumber"/>
      </w:pPr>
      <w:r>
        <w:t>3. Run Query 2 to compare endpoint latency and identify a candidate for investigation.</w:t>
      </w:r>
    </w:p>
    <w:p>
      <w:pPr>
        <w:pStyle w:val="ListNumber"/>
      </w:pPr>
      <w:r>
        <w:t>4. Run Query 3 to inspect SQL/HTTP dependency failures and duration.</w:t>
      </w:r>
    </w:p>
    <w:p>
      <w:pPr>
        <w:pStyle w:val="ListNumber"/>
      </w:pPr>
      <w:r>
        <w:t>5. Run Query 4 and, where possible, correlate an exception with the request.</w:t>
      </w:r>
    </w:p>
    <w:p>
      <w:pPr>
        <w:pStyle w:val="ListNumber"/>
      </w:pPr>
      <w:r>
        <w:t>6. Explain whether evidence points to application code, configuration, database dependency or permission; propose a developer-owned next action.</w:t>
      </w:r>
    </w:p>
    <w:p>
      <w:pPr>
        <w:pStyle w:val="ListNumber"/>
      </w:pPr>
      <w:r>
        <w:t>7. Describe one useful alert: signal, threshold, time window, owner and expected response. Avoid alerting on every isolated exception.</w:t>
      </w:r>
    </w:p>
    <w:p>
      <w:pPr/>
      <w:r>
        <w:t>Expected evidence: saved KQL queries, one request/dependency/exception investigation, likely cause with supporting telemetry and a sensible alert proposal.</w:t>
      </w:r>
    </w:p>
    <w:p>
      <w:pPr>
        <w:pStyle w:val="Heading3"/>
      </w:pPr>
      <w:r>
        <w:t>Troubleshooting tips and limitations</w:t>
      </w:r>
    </w:p>
    <w:p>
      <w:pPr>
        <w:pStyle w:val="ListBullet"/>
      </w:pPr>
      <w:r>
        <w:t>No rows? Check workspace, time filter, telemetry connection string, sampling, ingestion delay, access rights and whether the app generated the event.</w:t>
      </w:r>
    </w:p>
    <w:p>
      <w:pPr>
        <w:pStyle w:val="ListBullet"/>
      </w:pPr>
      <w:r>
        <w:t>Table name differs? Workspace tables commonly use AppRequests etc.; classic Application Insights query experiences may use requests, dependencies and exceptions. Do not mix schemas blindly.</w:t>
      </w:r>
    </w:p>
    <w:p>
      <w:pPr>
        <w:pStyle w:val="ListBullet"/>
      </w:pPr>
      <w:r>
        <w:t>A missing dependency span does not prove the dependency was never called; instrumentation or sampling may be incomplete.</w:t>
      </w:r>
    </w:p>
    <w:p>
      <w:pPr>
        <w:pStyle w:val="ListBullet"/>
      </w:pPr>
      <w:r>
        <w:t>Use structured log fields and correlation IDs. Avoid storing secrets or sensitive member details in telemetry.</w:t>
      </w:r>
    </w:p>
    <w:p>
      <w:pPr>
        <w:pStyle w:val="ListBullet"/>
      </w:pPr>
      <w:r>
        <w:t>Cost link: excessive telemetry ingestion and long retention can increase spending; tune collection and retention without losing necessary operational evidence.</w:t>
      </w:r>
    </w:p>
    <w:p>
      <w:pPr>
        <w:pStyle w:val="Heading3"/>
      </w:pPr>
      <w:r>
        <w:t>Knowledge check</w:t>
      </w:r>
    </w:p>
    <w:p>
      <w:pPr>
        <w:pStyle w:val="ListBullet"/>
      </w:pPr>
      <w:r>
        <w:t>How do metrics, logs and traces differ?</w:t>
      </w:r>
    </w:p>
    <w:p>
      <w:pPr>
        <w:pStyle w:val="ListBullet"/>
      </w:pPr>
      <w:r>
        <w:t>What does p95 request duration tell you that average duration may hide?</w:t>
      </w:r>
    </w:p>
    <w:p>
      <w:pPr>
        <w:pStyle w:val="ListBullet"/>
      </w:pPr>
      <w:r>
        <w:t>Why might a valid KQL query return no rows?</w:t>
      </w:r>
    </w:p>
    <w:p>
      <w:pPr>
        <w:pStyle w:val="ListBullet"/>
      </w:pPr>
      <w:r>
        <w:t>How would you investigate an HTTP 500 caused by an Azure SQL permission error?</w:t>
      </w:r>
    </w:p>
    <w:p>
      <w:pPr>
        <w:pStyle w:val="Heading1"/>
        <w:keepNext/>
      </w:pPr>
      <w:r>
        <w:t>16. Application Troubleshooting for Azure Developers</w:t>
      </w:r>
    </w:p>
    <w:p>
      <w:r>
        <w:t>When an Azure-hosted application fails, start from application evidence: deployment status, configuration, exceptions, dependency telemetry and identity/permission errors. Isolate the failing area before escalating to a platform, database or networking specialist.</w:t>
      </w:r>
    </w:p>
    <w:p>
      <w:pPr>
        <w:pStyle w:val="ListBullet"/>
        <w:ind w:left="317" w:hanging="173"/>
      </w:pPr>
      <w:r>
        <w:t>Deployment: is the expected build actually running?</w:t>
      </w:r>
    </w:p>
    <w:p>
      <w:pPr>
        <w:pStyle w:val="ListBullet"/>
        <w:ind w:left="317" w:hanging="173"/>
      </w:pPr>
      <w:r>
        <w:t>Configuration: are environment settings present and correct?</w:t>
      </w:r>
    </w:p>
    <w:p>
      <w:pPr>
        <w:pStyle w:val="ListBullet"/>
        <w:ind w:left="317" w:hanging="173"/>
      </w:pPr>
      <w:r>
        <w:t>Connectivity: can the application reach the dependency? If a private-network problem is suspected, capture the evidence and involve the platform/network team.</w:t>
      </w:r>
    </w:p>
    <w:p>
      <w:pPr>
        <w:pStyle w:val="ListBullet"/>
        <w:ind w:left="317" w:hanging="173"/>
      </w:pPr>
      <w:r>
        <w:t>Authentication: can the caller obtain the expected token?</w:t>
      </w:r>
    </w:p>
    <w:p>
      <w:pPr>
        <w:pStyle w:val="ListBullet"/>
        <w:ind w:left="317" w:hanging="173"/>
      </w:pPr>
      <w:r>
        <w:t>Authorisation: does the principal have the required role/data permission?</w:t>
      </w:r>
    </w:p>
    <w:p>
      <w:pPr>
        <w:pStyle w:val="ListBullet"/>
        <w:ind w:left="317" w:hanging="173"/>
      </w:pPr>
      <w:r>
        <w:t>Dependency: is SQL/Storage healthy and responsive?</w:t>
      </w:r>
    </w:p>
    <w:p>
      <w:pPr>
        <w:pStyle w:val="ListBullet"/>
        <w:ind w:left="317" w:hanging="173"/>
      </w:pPr>
      <w:r>
        <w:t>Application: what do traces/exceptions show?</w:t>
      </w:r>
    </w:p>
    <w:tbl>
      <w:tblPr>
        <w:tblW w:type="auto" w:w="0"/>
        <w:tblLook w:firstColumn="1" w:firstRow="1" w:lastColumn="0" w:lastRow="0" w:noHBand="0" w:noVBand="1" w:val="04A0"/>
      </w:tblPr>
      <w:tblGrid>
        <w:gridCol w:w="10166"/>
      </w:tblGrid>
      <w:tr>
        <w:trPr>
          <w:cantSplit/>
        </w:trPr>
        <w:tc>
          <w:tcPr>
            <w:tcW w:type="dxa" w:w="10166"/>
            <w:shd w:fill="F3F5F7"/>
            <w:tcMar>
              <w:top w:w="120" w:type="dxa"/>
              <w:start w:w="140" w:type="dxa"/>
              <w:bottom w:w="120" w:type="dxa"/>
              <w:end w:w="140" w:type="dxa"/>
            </w:tcMar>
          </w:tcPr>
          <w:p>
            <w:pPr>
              <w:spacing w:after="0"/>
            </w:pPr>
            <w:r/>
            <w:r>
              <w:rPr>
                <w:rFonts w:ascii="Consolas" w:hAnsi="Consolas"/>
                <w:color w:val="263442"/>
                <w:sz w:val="16"/>
              </w:rPr>
              <w:t>az webapp log tail --resource-group &lt;rg&gt; --name &lt;app&gt;</w:t>
              <w:br/>
              <w:br/>
              <w:t># Useful checks depend on the service, but always record:</w:t>
              <w:br/>
              <w:t># timestamp, correlation/request ID, caller identity, destination, status/error.</w:t>
            </w:r>
          </w:p>
        </w:tc>
      </w:tr>
    </w:tbl>
    <w:p>
      <w:r>
        <w:br w:type="page"/>
      </w:r>
    </w:p>
    <w:p>
      <w:pPr>
        <w:pStyle w:val="Heading2"/>
      </w:pPr>
      <w:r>
        <w:t>A repeatable investigation order</w:t>
      </w:r>
    </w:p>
    <w:p>
      <w:pPr>
        <w:pStyle w:val="Heading2"/>
      </w:pPr>
      <w:r>
        <w:t>Developer troubleshooting examples learners should practise</w:t>
      </w:r>
    </w:p>
    <w:p>
      <w:pPr>
        <w:pStyle w:val="ListBullet"/>
      </w:pPr>
      <w:r>
        <w:t>HTTP 500 after deployment: inspect deployment/startup logs, application exceptions and configuration changes before modifying networking.</w:t>
      </w:r>
    </w:p>
    <w:p>
      <w:pPr>
        <w:pStyle w:val="ListBullet"/>
      </w:pPr>
      <w:r>
        <w:t>SQL failure: inspect the exception and Application Insights dependency telemetry, confirm the configured SQL endpoint and identity, and distinguish connection failure from authentication/authorisation or query timeout.</w:t>
      </w:r>
    </w:p>
    <w:p>
      <w:pPr>
        <w:pStyle w:val="ListBullet"/>
      </w:pPr>
      <w:r>
        <w:t>401: usually investigate token acquisition, audience/resource, issuer and authentication configuration.</w:t>
      </w:r>
    </w:p>
    <w:p>
      <w:pPr>
        <w:pStyle w:val="ListBullet"/>
      </w:pPr>
      <w:r>
        <w:t>403: authentication may have succeeded; investigate RBAC/data-plane permission, scope and target-service policy.</w:t>
      </w:r>
    </w:p>
    <w:p>
      <w:pPr>
        <w:pStyle w:val="ListBullet"/>
      </w:pPr>
      <w:r>
        <w:t>Works locally but not in Azure: compare environment configuration, identity source, filesystem/state assumptions, deployed package and dependency endpoints.</w:t>
      </w:r>
    </w:p>
    <w:p>
      <w:r>
        <w:t>Troubleshooting rule: change one thing at a time and record the evidence. Avoid broad permission changes or unrelated infrastructure changes just to make an error disappear.</w:t>
      </w:r>
    </w:p>
    <w:p>
      <w:pPr/>
      <w:r>
        <w:t>When a deployed application fails, avoid changing several settings at once. First confirm the symptom and time window. Then work through deployment state, application configuration, DNS/network reachability, identity, authorisation, target-service health and application code.</w:t>
      </w:r>
    </w:p>
    <w:p>
      <w:pPr/>
      <w:r>
        <w:t>Use evidence at each layer. Deployment logs confirm what version was released. App settings confirm runtime configuration. DNS tools and connectivity tests validate the network path. Token or principal details validate identity. Role assignments and database permissions validate authorisation. Application Insights traces and dependency telemetry then show application behaviour.</w:t>
      </w:r>
    </w:p>
    <w:p>
      <w:pPr/>
      <w:r>
        <w:t>Change one variable at a time and record the result. This keeps troubleshooting teachable and prevents a temporary fix from hiding the actual root cause.</w:t>
      </w:r>
    </w:p>
    <w:p>
      <w:pPr>
        <w:pStyle w:val="Heading1"/>
        <w:keepNext/>
      </w:pPr>
      <w:r>
        <w:t>17. Infrastructure as Code with Bicep</w:t>
      </w:r>
    </w:p>
    <w:p>
      <w:r>
        <w:t>Infrastructure as Code makes environment creation reviewable, repeatable and versioned. Bicep is a natural Azure-focused choice for this course because it compiles to Azure Resource Manager templates.</w:t>
      </w:r>
    </w:p>
    <w:tbl>
      <w:tblPr>
        <w:tblW w:type="auto" w:w="0"/>
        <w:tblLook w:firstColumn="1" w:firstRow="1" w:lastColumn="0" w:lastRow="0" w:noHBand="0" w:noVBand="1" w:val="04A0"/>
      </w:tblPr>
      <w:tblGrid>
        <w:gridCol w:w="10166"/>
      </w:tblGrid>
      <w:tr>
        <w:trPr>
          <w:cantSplit/>
        </w:trPr>
        <w:tc>
          <w:tcPr>
            <w:tcW w:type="dxa" w:w="10166"/>
            <w:shd w:fill="F3F5F7"/>
            <w:tcMar>
              <w:top w:w="120" w:type="dxa"/>
              <w:start w:w="140" w:type="dxa"/>
              <w:bottom w:w="120" w:type="dxa"/>
              <w:end w:w="140" w:type="dxa"/>
            </w:tcMar>
          </w:tcPr>
          <w:p>
            <w:pPr>
              <w:spacing w:after="0"/>
            </w:pPr>
            <w:r/>
            <w:r>
              <w:rPr>
                <w:rFonts w:ascii="Consolas" w:hAnsi="Consolas"/>
                <w:color w:val="263442"/>
                <w:sz w:val="16"/>
              </w:rPr>
              <w:t>param location string = resourceGroup().location</w:t>
              <w:br/>
              <w:t>param appName string</w:t>
              <w:br/>
              <w:br/>
              <w:t>resource plan 'Microsoft.Web/serverfarms@2024-04-01' = {</w:t>
              <w:br/>
              <w:t xml:space="preserve">  name: '${appName}-plan'</w:t>
              <w:br/>
              <w:t xml:space="preserve">  location: location</w:t>
              <w:br/>
              <w:t xml:space="preserve">  sku: { name: 'B1'; tier: 'Basic' }</w:t>
              <w:br/>
              <w:t>}</w:t>
              <w:br/>
              <w:br/>
              <w:t>resource app 'Microsoft.Web/sites@2024-04-01' = {</w:t>
              <w:br/>
              <w:t xml:space="preserve">  name: appName</w:t>
              <w:br/>
              <w:t xml:space="preserve">  location: location</w:t>
              <w:br/>
              <w:t xml:space="preserve">  identity: { type: 'SystemAssigned' }</w:t>
              <w:br/>
              <w:t xml:space="preserve">  properties: { serverFarmId: plan.id; httpsOnly: true }</w:t>
              <w:br/>
              <w:t>}</w:t>
            </w:r>
          </w:p>
        </w:tc>
      </w:tr>
    </w:tbl>
    <w:tbl>
      <w:tblPr>
        <w:tblW w:type="auto" w:w="0"/>
        <w:jc w:val="center"/>
        <w:tblLayout w:type="fixed"/>
        <w:tblLook w:firstColumn="1" w:firstRow="1" w:lastColumn="0" w:lastRow="0" w:noHBand="0" w:noVBand="1" w:val="04A0"/>
      </w:tblPr>
      <w:tblGrid>
        <w:gridCol w:w="9792"/>
      </w:tblGrid>
      <w:tr>
        <w:trPr>
          <w:cantSplit/>
        </w:trPr>
        <w:tc>
          <w:tcPr>
            <w:tcW w:type="dxa" w:w="10166"/>
            <w:shd w:fill="E8F3E3"/>
            <w:tcMar>
              <w:top w:w="90" w:type="dxa"/>
              <w:start w:w="110" w:type="dxa"/>
              <w:bottom w:w="90" w:type="dxa"/>
              <w:end w:w="110" w:type="dxa"/>
            </w:tcMar>
            <w:vAlign w:val="center"/>
          </w:tcPr>
          <w:p>
            <w:r/>
            <w:r>
              <w:rPr>
                <w:rFonts w:ascii="Verdana" w:hAnsi="Verdana"/>
                <w:b/>
                <w:color w:val="17365D"/>
                <w:sz w:val="19"/>
              </w:rPr>
              <w:t>IaC principle</w:t>
            </w:r>
          </w:p>
          <w:p>
            <w:pPr>
              <w:spacing w:after="0"/>
            </w:pPr>
            <w:r>
              <w:rPr>
                <w:rFonts w:ascii="Verdana" w:hAnsi="Verdana"/>
                <w:color w:val="263442"/>
                <w:sz w:val="17"/>
              </w:rPr>
              <w:t>The template should describe the desired environment. Environment-specific values belong in parameters/configuration, not duplicated copies of the whole template.</w:t>
            </w:r>
          </w:p>
        </w:tc>
      </w:tr>
    </w:tbl>
    <w:p>
      <w:pPr>
        <w:spacing w:after="0"/>
      </w:pPr>
    </w:p>
    <w:p>
      <w:r>
        <w:br w:type="page"/>
      </w:r>
    </w:p>
    <w:p>
      <w:pPr>
        <w:pStyle w:val="Heading2"/>
      </w:pPr>
      <w:r>
        <w:t>What belongs in Bicep</w:t>
      </w:r>
    </w:p>
    <w:p>
      <w:pPr>
        <w:pStyle w:val="Heading2"/>
      </w:pPr>
      <w:r>
        <w:t>Bicep workflow for repeatable environments</w:t>
      </w:r>
    </w:p>
    <w:p>
      <w:r>
        <w:t>Bicep describes Azure resources declaratively and is deployed through Azure Resource Manager. The template should express the intended environment shape; parameters provide environment-specific values.</w:t>
      </w:r>
    </w:p>
    <w:p>
      <w:pPr>
        <w:pStyle w:val="NoSpacing"/>
      </w:pPr>
      <w:r>
        <w:rPr>
          <w:rFonts w:ascii="Consolas" w:hAnsi="Consolas"/>
          <w:sz w:val="17"/>
        </w:rPr>
        <w:t>param location string = resourceGroup().location</w:t>
        <w:br/>
        <w:t>param appName string</w:t>
        <w:br/>
        <w:br/>
        <w:t>resource plan 'Microsoft.Web/serverfarms@2024-04-01' = {</w:t>
        <w:br/>
        <w:t xml:space="preserve">  name: '${appName}-plan'</w:t>
        <w:br/>
        <w:t xml:space="preserve">  location: location</w:t>
        <w:br/>
        <w:t xml:space="preserve">  sku: { name: 'B1'; tier: 'Basic' }</w:t>
        <w:br/>
        <w:t>}</w:t>
        <w:br/>
        <w:br/>
        <w:t>resource app 'Microsoft.Web/sites@2024-04-01' = {</w:t>
        <w:br/>
        <w:t xml:space="preserve">  name: appName</w:t>
        <w:br/>
        <w:t xml:space="preserve">  location: location</w:t>
        <w:br/>
        <w:t xml:space="preserve">  identity: { type: 'SystemAssigned' }</w:t>
        <w:br/>
        <w:t xml:space="preserve">  properties: { serverFarmId: plan.id }</w:t>
        <w:br/>
        <w:t>}</w:t>
      </w:r>
    </w:p>
    <w:p>
      <w:pPr>
        <w:pStyle w:val="ListBullet"/>
      </w:pPr>
      <w:r>
        <w:t>Keep secrets out of source-controlled parameter files. Prefer identity-based access and secure secret sources.</w:t>
      </w:r>
    </w:p>
    <w:p>
      <w:pPr>
        <w:pStyle w:val="ListBullet"/>
      </w:pPr>
      <w:r>
        <w:t>Run validation/what-if where appropriate before deployment so unintended infrastructure changes are visible.</w:t>
      </w:r>
    </w:p>
    <w:p>
      <w:pPr>
        <w:pStyle w:val="ListBullet"/>
      </w:pPr>
      <w:r>
        <w:t>Use the same modules/template shape across DEV/TEST/PROD and vary only justified configuration, capacity and policy inputs.</w:t>
      </w:r>
    </w:p>
    <w:p>
      <w:r>
        <w:t>Architecture decision: IaC should recreate the environment without relying on undocumented portal clicks. If a setting matters to production, decide whether it belongs in code, application configuration, policy or an operational procedure.</w:t>
      </w:r>
    </w:p>
    <w:p>
      <w:pPr/>
      <w:r>
        <w:t>Bicep should describe Azure resources and important configuration that must be repeatable: App Service plans and apps, SQL resources, Storage, monitoring resources, identities, role assignments where appropriate, diagnostic settings and network components. Parameters capture values that legitimately vary by environment.</w:t>
      </w:r>
    </w:p>
    <w:p>
      <w:pPr/>
      <w:r>
        <w:t>Keep environment-specific values out of duplicated templates. Prefer reusable modules and environment parameter files. A DEV deployment and a PROD deployment should use the same architectural definition wherever possible, with deliberate differences such as SKU, scale, retention or network restrictions expressed as parameters.</w:t>
      </w:r>
    </w:p>
    <w:p>
      <w:pPr/>
      <w:r>
        <w:t>Treat IaC like application code: version it, review it, validate it in CI, and make production changes through a controlled deployment path. The objective is not merely automation; it is reproducibility and an auditable record of infrastructure intent.</w:t>
      </w:r>
    </w:p>
    <w:p>
      <w:pPr>
        <w:pStyle w:val="Heading1"/>
        <w:keepNext/>
      </w:pPr>
      <w:r>
        <w:t>18. DEV, TEST and PROD</w:t>
      </w:r>
    </w:p>
    <w:p>
      <w:r>
        <w:t>Environment separation reduces blast radius and gives teams a controlled path for change. Separation can involve subscriptions, resource groups, distinct resources and different policies depending on organisational requirements.</w:t>
      </w:r>
    </w:p>
    <w:p>
      <w:pPr>
        <w:pStyle w:val="Heading2"/>
        <w:keepNext/>
      </w:pPr>
      <w:r>
        <w:t>Keep the shape consistent</w:t>
      </w:r>
    </w:p>
    <w:p>
      <w:r>
        <w:t>DEV, TEST and PROD should be recognisably the same architecture even when SKU size, scale, network restrictions or data differ. Infrastructure as Code helps prevent “production is special because somebody clicked different options six months ago”.</w:t>
      </w:r>
    </w:p>
    <w:p>
      <w:pPr>
        <w:pStyle w:val="ListBullet"/>
        <w:ind w:left="317" w:hanging="173"/>
      </w:pPr>
      <w:r>
        <w:t>Use deterministic naming and tags.</w:t>
      </w:r>
    </w:p>
    <w:p>
      <w:pPr>
        <w:pStyle w:val="ListBullet"/>
        <w:ind w:left="317" w:hanging="173"/>
      </w:pPr>
      <w:r>
        <w:t>Keep secrets and identities environment-specific.</w:t>
      </w:r>
    </w:p>
    <w:p>
      <w:pPr>
        <w:pStyle w:val="ListBullet"/>
        <w:ind w:left="317" w:hanging="173"/>
      </w:pPr>
      <w:r>
        <w:t>Do not copy production data into lower environments without an approved data-handling process.</w:t>
      </w:r>
    </w:p>
    <w:p>
      <w:pPr>
        <w:pStyle w:val="ListBullet"/>
        <w:ind w:left="317" w:hanging="173"/>
      </w:pPr>
      <w:r>
        <w:t>Promote the same build artifact where practical; vary configuration, not source code.</w:t>
      </w:r>
    </w:p>
    <w:p>
      <w:r>
        <w:br w:type="page"/>
      </w:r>
    </w:p>
    <w:p>
      <w:pPr>
        <w:pStyle w:val="Heading2"/>
      </w:pPr>
      <w:r>
        <w:t>Separate environments without creating three architectures</w:t>
      </w:r>
    </w:p>
    <w:p>
      <w:pPr/>
      <w:r>
        <w:t>Environment separation reduces the risk that development activity affects production data or availability. Each environment should have its own resources and appropriately scoped identities. Production permissions should be more restrictive than development permissions.</w:t>
      </w:r>
    </w:p>
    <w:p>
      <w:pPr/>
      <w:r>
        <w:t>The architectural shape should remain recognisable across environments. If DEV uses App Service, Azure SQL and Managed Identity, PROD should not become an unrelated manual architecture unless a requirement justifies the difference. Consistency makes defects easier to reproduce and deployment behaviour easier to trust.</w:t>
      </w:r>
    </w:p>
    <w:p>
      <w:pPr/>
      <w:r>
        <w:t>What usually changes is capacity and policy: SKU, instance count, backup retention, network exposure, monitoring thresholds, data classification and approval controls. Express those differences explicitly rather than relying on undocumented portal configuration.</w:t>
      </w:r>
    </w:p>
    <w:p>
      <w:pPr>
        <w:pStyle w:val="Heading1"/>
        <w:keepNext/>
      </w:pPr>
      <w:r>
        <w:t>19. CI/CD: Safe, Repeatable Delivery</w:t>
      </w:r>
    </w:p>
    <w:p>
      <w:r>
        <w:t>CI/CD should prove quality before deployment and use a dedicated deployment identity. It should not depend on a developer remaining logged in.</w:t>
      </w:r>
    </w:p>
    <w:p>
      <w:pPr>
        <w:spacing w:after="5760"/>
        <w:jc w:val="center"/>
      </w:pPr>
      <w:r>
        <w:pict>
          <v:roundrect id="Figure 8._0" style="position:absolute;left:20.0pt;top:20pt;width:135.33333333333334pt;height:72pt;z-index:2" arcsize="8%" fillcolor="#EAF3FB" strokecolor="#0078D4" strokeweight="1.3pt">
            <v:textbox inset="6pt,5pt,6pt,4pt">
              <w:txbxContent>
                <w:p>
                  <w:pPr>
                    <w:jc w:val="center"/>
                    <w:spacing w:after="0"/>
                  </w:pPr>
                  <w:r>
                    <w:rPr>
                      <w:rFonts w:ascii="Verdana" w:hAnsi="Verdana"/>
                      <w:b/>
                      <w:color w:val="17365D"/>
                      <w:sz w:val="24"/>
                    </w:rPr>
                    <w:t>Developer</w:t>
                  </w:r>
                </w:p>
                <w:p>
                  <w:pPr>
                    <w:jc w:val="center"/>
                    <w:spacing w:before="0" w:after="0"/>
                  </w:pPr>
                  <w:r>
                    <w:rPr>
                      <w:rFonts w:ascii="Verdana" w:hAnsi="Verdana"/>
                      <w:color w:val="5B6573"/>
                      <w:sz w:val="16"/>
                    </w:rPr>
                    <w:t>Code</w:t>
                  </w:r>
                </w:p>
              </w:txbxContent>
            </v:textbox>
          </v:roundrect>
        </w:pict>
      </w:r>
      <w:r>
        <w:pict>
          <v:roundrect id="Figure 8._1" style="position:absolute;left:177.33333333333334pt;top:20pt;width:135.33333333333334pt;height:72pt;z-index:2" arcsize="8%" fillcolor="#EAF3FB" strokecolor="#0078D4" strokeweight="1.3pt">
            <v:textbox inset="6pt,5pt,6pt,4pt">
              <w:txbxContent>
                <w:p>
                  <w:pPr>
                    <w:jc w:val="center"/>
                    <w:spacing w:after="0"/>
                  </w:pPr>
                  <w:r>
                    <w:rPr>
                      <w:rFonts w:ascii="Verdana" w:hAnsi="Verdana"/>
                      <w:b/>
                      <w:color w:val="17365D"/>
                      <w:sz w:val="24"/>
                    </w:rPr>
                    <w:t>Git / Pull Request</w:t>
                  </w:r>
                </w:p>
                <w:p>
                  <w:pPr>
                    <w:jc w:val="center"/>
                    <w:spacing w:before="0" w:after="0"/>
                  </w:pPr>
                  <w:r>
                    <w:rPr>
                      <w:rFonts w:ascii="Verdana" w:hAnsi="Verdana"/>
                      <w:color w:val="5B6573"/>
                      <w:sz w:val="16"/>
                    </w:rPr>
                    <w:t>Review</w:t>
                  </w:r>
                </w:p>
              </w:txbxContent>
            </v:textbox>
          </v:roundrect>
        </w:pict>
      </w:r>
      <w:r>
        <w:pict>
          <v:roundrect id="Figure 8._2" style="position:absolute;left:334.6666666666667pt;top:20pt;width:135.33333333333334pt;height:72pt;z-index:2" arcsize="8%" fillcolor="#EAF3FB" strokecolor="#0078D4" strokeweight="1.3pt">
            <v:textbox inset="6pt,5pt,6pt,4pt">
              <w:txbxContent>
                <w:p>
                  <w:pPr>
                    <w:jc w:val="center"/>
                    <w:spacing w:after="0"/>
                  </w:pPr>
                  <w:r>
                    <w:rPr>
                      <w:rFonts w:ascii="Verdana" w:hAnsi="Verdana"/>
                      <w:b/>
                      <w:color w:val="17365D"/>
                      <w:sz w:val="24"/>
                    </w:rPr>
                    <w:t>Build + Test</w:t>
                  </w:r>
                </w:p>
                <w:p>
                  <w:pPr>
                    <w:jc w:val="center"/>
                    <w:spacing w:before="0" w:after="0"/>
                  </w:pPr>
                  <w:r>
                    <w:rPr>
                      <w:rFonts w:ascii="Verdana" w:hAnsi="Verdana"/>
                      <w:color w:val="5B6573"/>
                      <w:sz w:val="16"/>
                    </w:rPr>
                    <w:t>Validation</w:t>
                  </w:r>
                </w:p>
              </w:txbxContent>
            </v:textbox>
          </v:roundrect>
        </w:pict>
      </w:r>
      <w:r>
        <w:pict>
          <v:roundrect id="Figure 8._3" style="position:absolute;left:334.6666666666667pt;top:145pt;width:135.33333333333334pt;height:72pt;z-index:2" arcsize="8%" fillcolor="#EAF3FB" strokecolor="#0078D4" strokeweight="1.3pt">
            <v:textbox inset="6pt,5pt,6pt,4pt">
              <w:txbxContent>
                <w:p>
                  <w:pPr>
                    <w:jc w:val="center"/>
                    <w:spacing w:after="0"/>
                  </w:pPr>
                  <w:r>
                    <w:rPr>
                      <w:rFonts w:ascii="Verdana" w:hAnsi="Verdana"/>
                      <w:b/>
                      <w:color w:val="17365D"/>
                      <w:sz w:val="24"/>
                    </w:rPr>
                    <w:t>Security checks</w:t>
                  </w:r>
                </w:p>
                <w:p>
                  <w:pPr>
                    <w:jc w:val="center"/>
                    <w:spacing w:before="0" w:after="0"/>
                  </w:pPr>
                  <w:r>
                    <w:rPr>
                      <w:rFonts w:ascii="Verdana" w:hAnsi="Verdana"/>
                      <w:color w:val="5B6573"/>
                      <w:sz w:val="16"/>
                    </w:rPr>
                    <w:t>Scan</w:t>
                  </w:r>
                </w:p>
              </w:txbxContent>
            </v:textbox>
          </v:roundrect>
        </w:pict>
      </w:r>
      <w:r>
        <w:pict>
          <v:roundrect id="Figure 8._4" style="position:absolute;left:177.33333333333334pt;top:145pt;width:135.33333333333334pt;height:72pt;z-index:2" arcsize="8%" fillcolor="#EAF3FB" strokecolor="#0078D4" strokeweight="1.3pt">
            <v:textbox inset="6pt,5pt,6pt,4pt">
              <w:txbxContent>
                <w:p>
                  <w:pPr>
                    <w:jc w:val="center"/>
                    <w:spacing w:after="0"/>
                  </w:pPr>
                  <w:r>
                    <w:rPr>
                      <w:rFonts w:ascii="Verdana" w:hAnsi="Verdana"/>
                      <w:b/>
                      <w:color w:val="17365D"/>
                      <w:sz w:val="24"/>
                    </w:rPr>
                    <w:t>Bicep + Deploy</w:t>
                  </w:r>
                </w:p>
                <w:p>
                  <w:pPr>
                    <w:jc w:val="center"/>
                    <w:spacing w:before="0" w:after="0"/>
                  </w:pPr>
                  <w:r>
                    <w:rPr>
                      <w:rFonts w:ascii="Verdana" w:hAnsi="Verdana"/>
                      <w:color w:val="5B6573"/>
                      <w:sz w:val="16"/>
                    </w:rPr>
                    <w:t>Repeatable release</w:t>
                  </w:r>
                </w:p>
              </w:txbxContent>
            </v:textbox>
          </v:roundrect>
        </w:pict>
      </w:r>
      <w:r>
        <w:pict>
          <v:roundrect id="Figure 8._5" style="position:absolute;left:20.0pt;top:145pt;width:135.33333333333334pt;height:72pt;z-index:2" arcsize="8%" fillcolor="#EAF3FB" strokecolor="#0078D4" strokeweight="1.3pt">
            <v:textbox inset="6pt,5pt,6pt,4pt">
              <w:txbxContent>
                <w:p>
                  <w:pPr>
                    <w:jc w:val="center"/>
                    <w:spacing w:after="0"/>
                  </w:pPr>
                  <w:r>
                    <w:rPr>
                      <w:rFonts w:ascii="Verdana" w:hAnsi="Verdana"/>
                      <w:b/>
                      <w:color w:val="17365D"/>
                      <w:sz w:val="24"/>
                    </w:rPr>
                    <w:t>Smoke test</w:t>
                  </w:r>
                </w:p>
                <w:p>
                  <w:pPr>
                    <w:jc w:val="center"/>
                    <w:spacing w:before="0" w:after="0"/>
                  </w:pPr>
                  <w:r>
                    <w:rPr>
                      <w:rFonts w:ascii="Verdana" w:hAnsi="Verdana"/>
                      <w:color w:val="5B6573"/>
                      <w:sz w:val="16"/>
                    </w:rPr>
                    <w:t>Verify</w:t>
                  </w:r>
                </w:p>
              </w:txbxContent>
            </v:textbox>
          </v:roundrect>
        </w:pict>
      </w:r>
      <w:r>
        <w:pict>
          <v:line id="Figure 8._a0" from="155.33333333333334pt,56.0pt" to="177.33333333333334pt,56.0pt" style="position:absolute;z-index:1" strokecolor="#0078D4" strokeweight="1.4pt">
            <v:stroke endarrow="block"/>
          </v:line>
        </w:pict>
      </w:r>
      <w:r>
        <w:pict>
          <v:line id="Figure 8._a1" from="312.6666666666667pt,56.0pt" to="334.6666666666667pt,56.0pt" style="position:absolute;z-index:1" strokecolor="#0078D4" strokeweight="1.4pt">
            <v:stroke endarrow="block"/>
          </v:line>
        </w:pict>
      </w:r>
      <w:r>
        <w:pict>
          <v:line id="Figure 8._a2" from="402.33333333333337pt,92pt" to="402.33333333333337pt,145pt" style="position:absolute;z-index:1" strokecolor="#0078D4" strokeweight="1.4pt">
            <v:stroke endarrow="block"/>
          </v:line>
        </w:pict>
      </w:r>
      <w:r>
        <w:pict>
          <v:line id="Figure 8._a3" from="334.6666666666667pt,181.0pt" to="312.6666666666667pt,181.0pt" style="position:absolute;z-index:1" strokecolor="#0078D4" strokeweight="1.4pt">
            <v:stroke endarrow="block"/>
          </v:line>
        </w:pict>
      </w:r>
      <w:r>
        <w:pict>
          <v:line id="Figure 8._a4" from="177.33333333333334pt,181.0pt" to="155.33333333333334pt,181.0pt" style="position:absolute;z-index:1" strokecolor="#0078D4" strokeweight="1.4pt">
            <v:stroke endarrow="block"/>
          </v:line>
        </w:pict>
      </w:r>
    </w:p>
    <w:p>
      <w:pPr>
        <w:jc w:val="center"/>
      </w:pPr>
      <w:r>
        <w:rPr>
          <w:rFonts w:ascii="Verdana" w:hAnsi="Verdana"/>
        </w:rPr>
        <w:t>Figure 8. Secure delivery flow using source control, validation, deployment identity and Bicep.</w:t>
      </w:r>
    </w:p>
    <w:p>
      <w:pPr>
        <w:pStyle w:val="Heading2"/>
        <w:keepNext/>
      </w:pPr>
      <w:r>
        <w:t>A practical pipeline</w:t>
      </w:r>
    </w:p>
    <w:p>
      <w:pPr>
        <w:pStyle w:val="ListBullet"/>
        <w:ind w:left="317" w:hanging="173"/>
      </w:pPr>
      <w:r>
        <w:t>Pull request: compile, unit tests, static analysis and policy/security checks.</w:t>
      </w:r>
    </w:p>
    <w:p>
      <w:pPr>
        <w:pStyle w:val="ListBullet"/>
        <w:ind w:left="317" w:hanging="173"/>
      </w:pPr>
      <w:r>
        <w:t>Merge: produce a versioned application artifact.</w:t>
      </w:r>
    </w:p>
    <w:p>
      <w:pPr>
        <w:pStyle w:val="ListBullet"/>
        <w:ind w:left="317" w:hanging="173"/>
      </w:pPr>
      <w:r>
        <w:t>Infrastructure stage: validate/what-if and deploy Bicep.</w:t>
      </w:r>
    </w:p>
    <w:p>
      <w:pPr>
        <w:pStyle w:val="ListBullet"/>
        <w:ind w:left="317" w:hanging="173"/>
      </w:pPr>
      <w:r>
        <w:t>Application stage: deploy the versioned build.</w:t>
      </w:r>
    </w:p>
    <w:p>
      <w:pPr>
        <w:pStyle w:val="ListBullet"/>
        <w:ind w:left="317" w:hanging="173"/>
      </w:pPr>
      <w:r>
        <w:t>Post-deploy: smoke test and verify telemetry.</w:t>
      </w:r>
    </w:p>
    <w:p>
      <w:pPr>
        <w:pStyle w:val="ListBullet"/>
        <w:ind w:left="317" w:hanging="173"/>
      </w:pPr>
      <w:r>
        <w:t>Promotion: require the controls appropriate to TEST/PROD.</w:t>
      </w:r>
    </w:p>
    <w:tbl>
      <w:tblPr>
        <w:tblW w:type="auto" w:w="0"/>
        <w:jc w:val="center"/>
        <w:tblLayout w:type="fixed"/>
        <w:tblLook w:firstColumn="1" w:firstRow="1" w:lastColumn="0" w:lastRow="0" w:noHBand="0" w:noVBand="1" w:val="04A0"/>
      </w:tblPr>
      <w:tblGrid>
        <w:gridCol w:w="9792"/>
      </w:tblGrid>
      <w:tr>
        <w:trPr>
          <w:cantSplit/>
        </w:trPr>
        <w:tc>
          <w:tcPr>
            <w:tcW w:type="dxa" w:w="10166"/>
            <w:shd w:fill="F1EAF8"/>
            <w:tcMar>
              <w:top w:w="90" w:type="dxa"/>
              <w:start w:w="110" w:type="dxa"/>
              <w:bottom w:w="90" w:type="dxa"/>
              <w:end w:w="110" w:type="dxa"/>
            </w:tcMar>
            <w:vAlign w:val="center"/>
          </w:tcPr>
          <w:p>
            <w:r/>
            <w:r>
              <w:rPr>
                <w:rFonts w:ascii="Verdana" w:hAnsi="Verdana"/>
                <w:b/>
                <w:color w:val="17365D"/>
                <w:sz w:val="19"/>
              </w:rPr>
              <w:t>Identity choice</w:t>
            </w:r>
          </w:p>
          <w:p>
            <w:pPr>
              <w:spacing w:after="0"/>
            </w:pPr>
            <w:r>
              <w:rPr>
                <w:rFonts w:ascii="Verdana" w:hAnsi="Verdana"/>
                <w:color w:val="263442"/>
                <w:sz w:val="17"/>
              </w:rPr>
              <w:t>For GitHub Actions or other supported CI/CD platforms, prefer workload identity federation/OIDC over long-lived client secrets.</w:t>
            </w:r>
          </w:p>
        </w:tc>
      </w:tr>
    </w:tbl>
    <w:p>
      <w:pPr>
        <w:spacing w:after="0"/>
      </w:pPr>
    </w:p>
    <w:p>
      <w:r>
        <w:br w:type="page"/>
      </w:r>
    </w:p>
    <w:p>
      <w:pPr>
        <w:pStyle w:val="Heading2"/>
      </w:pPr>
      <w:r>
        <w:t>Separate build identity, deployment identity and runtime identity</w:t>
      </w:r>
    </w:p>
    <w:p>
      <w:pPr>
        <w:pStyle w:val="Heading2"/>
      </w:pPr>
      <w:r>
        <w:t>CI/CD controls beyond “deploy on commit”</w:t>
      </w:r>
    </w:p>
    <w:p>
      <w:pPr>
        <w:pStyle w:val="ListBullet"/>
      </w:pPr>
      <w:r>
        <w:t>Pull request: run build, unit tests, static analysis and security/dependency checks before code is merged.</w:t>
      </w:r>
    </w:p>
    <w:p>
      <w:pPr>
        <w:pStyle w:val="ListBullet"/>
      </w:pPr>
      <w:r>
        <w:t>Build once: produce a versioned artefact so the same tested output can move between environments rather than being rebuilt differently for PROD.</w:t>
      </w:r>
    </w:p>
    <w:p>
      <w:pPr>
        <w:pStyle w:val="ListBullet"/>
      </w:pPr>
      <w:r>
        <w:t>Infrastructure deployment: use a dedicated pipeline identity with only the scopes required to deploy the intended resources.</w:t>
      </w:r>
    </w:p>
    <w:p>
      <w:pPr>
        <w:pStyle w:val="ListBullet"/>
      </w:pPr>
      <w:r>
        <w:t>Application deployment: deploy the versioned artefact, then perform a smoke/health check.</w:t>
      </w:r>
    </w:p>
    <w:p>
      <w:pPr>
        <w:pStyle w:val="ListBullet"/>
      </w:pPr>
      <w:r>
        <w:t>Promotion: production may require approval, protected environments or change evidence depending on organisational controls.</w:t>
      </w:r>
    </w:p>
    <w:p>
      <w:pPr>
        <w:pStyle w:val="ListBullet"/>
      </w:pPr>
      <w:r>
        <w:t>Rollback/recovery: know how to restore the previous application version and how infrastructure/data changes affect rollback safety.</w:t>
      </w:r>
    </w:p>
    <w:p>
      <w:r>
        <w:t>Prefer workload identity federation/OIDC for supported CI/CD systems so the pipeline does not depend on a long-lived client secret. This pipeline identity is separate from the App Service Managed Identity used at runtime.</w:t>
      </w:r>
    </w:p>
    <w:p>
      <w:pPr/>
      <w:r>
        <w:t>The build process compiles and tests code. The deployment process changes Azure resources or publishes application artefacts. The running application then uses its own runtime identity to call dependencies. These are three different trust contexts and should not share a broad credential.</w:t>
      </w:r>
    </w:p>
    <w:p>
      <w:pPr/>
      <w:r>
        <w:t>For GitHub Actions or Azure DevOps, prefer workload identity federation/OIDC where supported instead of a long-lived client secret. Scope the deployment identity to the resources and actions required by the pipeline. The App Service Managed Identity remains dedicated to runtime access such as Azure SQL, Storage or Key Vault.</w:t>
      </w:r>
    </w:p>
    <w:p>
      <w:pPr/>
      <w:r>
        <w:t>A practical pipeline includes restore/build, automated tests, security or dependency checks, infrastructure validation, deployment to the target environment, configuration, smoke tests and a clear rollback or forward-fix strategy.</w:t>
      </w:r>
    </w:p>
    <w:p>
      <w:pPr>
        <w:pStyle w:val="Heading1"/>
        <w:keepNext/>
      </w:pPr>
      <w:r>
        <w:t>20. Testing in Azure</w:t>
      </w:r>
    </w:p>
    <w:p>
      <w:r>
        <w:t>Cloud testing extends normal software testing. The code may be correct while identity, network, configuration or deployment is wrong.</w:t>
      </w:r>
    </w:p>
    <w:p>
      <w:pPr>
        <w:pStyle w:val="ListBullet"/>
        <w:ind w:left="317" w:hanging="173"/>
      </w:pPr>
      <w:r>
        <w:t>Unit tests: business logic in isolation.</w:t>
      </w:r>
    </w:p>
    <w:p>
      <w:pPr>
        <w:pStyle w:val="ListBullet"/>
        <w:ind w:left="317" w:hanging="173"/>
      </w:pPr>
      <w:r>
        <w:t>Integration tests: application + real/representative dependencies.</w:t>
      </w:r>
    </w:p>
    <w:p>
      <w:pPr>
        <w:pStyle w:val="ListBullet"/>
        <w:ind w:left="317" w:hanging="173"/>
      </w:pPr>
      <w:r>
        <w:t>Deployment tests: endpoint, configuration and identity are usable after release.</w:t>
      </w:r>
    </w:p>
    <w:p>
      <w:pPr>
        <w:pStyle w:val="ListBullet"/>
        <w:ind w:left="317" w:hanging="173"/>
      </w:pPr>
      <w:r>
        <w:t>Security tests: unauthorised callers are denied; least-privilege access is enforced.</w:t>
      </w:r>
    </w:p>
    <w:p>
      <w:pPr>
        <w:pStyle w:val="ListBullet"/>
        <w:ind w:left="317" w:hanging="173"/>
      </w:pPr>
      <w:r>
        <w:t>Failure-path tests: dependency timeout, unavailable SQL, bad configuration, token/permission failure.</w:t>
      </w:r>
    </w:p>
    <w:p>
      <w:pPr>
        <w:pStyle w:val="ListBullet"/>
        <w:ind w:left="317" w:hanging="173"/>
      </w:pPr>
      <w:r>
        <w:t>Operational tests: alerts fire and telemetry is sufficient to diagnose the issue.</w:t>
      </w:r>
    </w:p>
    <w:tbl>
      <w:tblPr>
        <w:tblW w:type="auto" w:w="0"/>
        <w:jc w:val="center"/>
        <w:tblLayout w:type="fixed"/>
        <w:tblLook w:firstColumn="1" w:firstRow="1" w:lastColumn="0" w:lastRow="0" w:noHBand="0" w:noVBand="1" w:val="04A0"/>
      </w:tblPr>
      <w:tblGrid>
        <w:gridCol w:w="9792"/>
      </w:tblGrid>
      <w:tr>
        <w:trPr>
          <w:cantSplit/>
        </w:trPr>
        <w:tc>
          <w:tcPr>
            <w:tcW w:type="dxa" w:w="10166"/>
            <w:shd w:fill="E8F3E3"/>
            <w:tcMar>
              <w:top w:w="90" w:type="dxa"/>
              <w:start w:w="110" w:type="dxa"/>
              <w:bottom w:w="90" w:type="dxa"/>
              <w:end w:w="110" w:type="dxa"/>
            </w:tcMar>
            <w:vAlign w:val="center"/>
          </w:tcPr>
          <w:p>
            <w:r/>
            <w:r>
              <w:rPr>
                <w:rFonts w:ascii="Verdana" w:hAnsi="Verdana"/>
                <w:b/>
                <w:color w:val="17365D"/>
                <w:sz w:val="19"/>
              </w:rPr>
              <w:t>Shift left without pretending production is local</w:t>
            </w:r>
          </w:p>
          <w:p>
            <w:pPr>
              <w:spacing w:after="0"/>
            </w:pPr>
            <w:r>
              <w:rPr>
                <w:rFonts w:ascii="Verdana" w:hAnsi="Verdana"/>
                <w:color w:val="263442"/>
                <w:sz w:val="17"/>
              </w:rPr>
              <w:t>Automate what can be validated early, but still test the deployed architecture. A unit test cannot prove Private DNS, RBAC or a Managed Identity assignment is correct.</w:t>
            </w:r>
          </w:p>
        </w:tc>
      </w:tr>
    </w:tbl>
    <w:p>
      <w:pPr>
        <w:spacing w:after="0"/>
      </w:pPr>
    </w:p>
    <w:p>
      <w:r>
        <w:br w:type="page"/>
      </w:r>
    </w:p>
    <w:p>
      <w:pPr>
        <w:pStyle w:val="Heading2"/>
      </w:pPr>
      <w:r>
        <w:t>Test the architecture, not only the code</w:t>
      </w:r>
    </w:p>
    <w:p>
      <w:pPr>
        <w:pStyle w:val="Heading2"/>
      </w:pPr>
      <w:r>
        <w:t>Security and failure-path tests</w:t>
      </w:r>
    </w:p>
    <w:p>
      <w:pPr>
        <w:pStyle w:val="ListBullet"/>
      </w:pPr>
      <w:r>
        <w:t>Remove the application database permission temporarily in a safe environment and confirm the failure is observable and understandable.</w:t>
      </w:r>
    </w:p>
    <w:p>
      <w:pPr>
        <w:pStyle w:val="ListBullet"/>
      </w:pPr>
      <w:r>
        <w:t>Test an invalid or expired user token and confirm the API returns the correct authentication/authorisation response without exposing sensitive details.</w:t>
      </w:r>
    </w:p>
    <w:p>
      <w:pPr>
        <w:pStyle w:val="ListBullet"/>
      </w:pPr>
      <w:r>
        <w:t>Break a dependency endpoint or configuration value and verify alerts/logs provide enough evidence to diagnose the failure.</w:t>
      </w:r>
    </w:p>
    <w:p>
      <w:pPr>
        <w:pStyle w:val="ListBullet"/>
      </w:pPr>
      <w:r>
        <w:t>If private connectivity is used, verify application connectivity and record any issue that requires platform/network-team validation.</w:t>
      </w:r>
    </w:p>
    <w:p>
      <w:pPr>
        <w:pStyle w:val="ListBullet"/>
      </w:pPr>
      <w:r>
        <w:t>Scale to multiple instances and confirm session state, uploaded files and background work do not depend on one local instance.</w:t>
      </w:r>
    </w:p>
    <w:p>
      <w:r>
        <w:t>The goal is not to manufacture failures in production. It is to prove in a controlled environment that the architecture behaves predictably when a dependency, permission or deployment assumption is wrong.</w:t>
      </w:r>
    </w:p>
    <w:p>
      <w:pPr/>
      <w:r>
        <w:t>Unit tests remain important, but cloud delivery adds tests that validate integration and configuration. Confirm that the application can start with environment configuration, authenticate using the intended identity, reach required dependencies, and fail safely when a dependency is unavailable.</w:t>
      </w:r>
    </w:p>
    <w:p>
      <w:pPr/>
      <w:r>
        <w:t>Integration tests should use controlled test resources and data. Deployment smoke tests should verify the deployed endpoint and one or two critical dependency paths. Security tests should confirm that unauthorised identities are denied, not merely that the happy path works.</w:t>
      </w:r>
    </w:p>
    <w:p>
      <w:pPr/>
      <w:r>
        <w:t>Include failure-path tests where practical: invalid configuration, expired or missing external credentials, database unavailability, network restrictions and dependency timeout. These tests turn resilience from an architecture diagram into observed behaviour.</w:t>
      </w:r>
    </w:p>
    <w:p>
      <w:pPr>
        <w:pStyle w:val="Heading1"/>
        <w:keepNext/>
      </w:pPr>
      <w:r>
        <w:t>21. Production-Minded Building Society Architecture</w:t>
      </w:r>
    </w:p>
    <w:p>
      <w:r>
        <w:t>A production architecture is not one enormous diagram. Use a context view, then focused identity, network, observability and delivery views. This keeps each diagram readable and each decision testable.</w:t>
      </w:r>
    </w:p>
    <w:p>
      <w:pPr>
        <w:spacing w:after="7776"/>
        <w:jc w:val="center"/>
      </w:pPr>
      <w:r>
        <w:pict>
          <v:roundrect id="f9_user" style="position:absolute;left:10pt;top:20pt;width:85pt;height:55pt;z-index:2" arcsize="8%" fillcolor="#EAF3FB" strokecolor="#0078D4" strokeweight="1.3pt">
            <v:textbox inset="6pt,5pt,6pt,4pt">
              <w:txbxContent>
                <w:p>
                  <w:pPr>
                    <w:jc w:val="center"/>
                    <w:spacing w:after="0"/>
                  </w:pPr>
                  <w:r>
                    <w:rPr>
                      <w:rFonts w:ascii="Verdana" w:hAnsi="Verdana"/>
                      <w:b/>
                      <w:color w:val="17365D"/>
                      <w:sz w:val="22"/>
                    </w:rPr>
                    <w:t>Member / Staff</w:t>
                  </w:r>
                </w:p>
                <w:p>
                  <w:pPr>
                    <w:jc w:val="center"/>
                    <w:spacing w:before="0" w:after="0"/>
                  </w:pPr>
                  <w:r>
                    <w:rPr>
                      <w:rFonts w:ascii="Verdana" w:hAnsi="Verdana"/>
                      <w:color w:val="5B6573"/>
                      <w:sz w:val="16"/>
                    </w:rPr>
                    <w:t>HTTPS</w:t>
                  </w:r>
                </w:p>
              </w:txbxContent>
            </v:textbox>
          </v:roundrect>
        </w:pict>
      </w:r>
      <w:r>
        <w:pict>
          <v:roundrect id="f9_app" style="position:absolute;left:135pt;top:20pt;width:125pt;height:55pt;z-index:2" arcsize="8%" fillcolor="#EAF5E4" strokecolor="#0078D4" strokeweight="1.3pt">
            <v:textbox inset="6pt,5pt,6pt,4pt">
              <w:txbxContent>
                <w:p>
                  <w:pPr>
                    <w:jc w:val="center"/>
                    <w:spacing w:after="0"/>
                  </w:pPr>
                  <w:r>
                    <w:rPr>
                      <w:rFonts w:ascii="Verdana" w:hAnsi="Verdana"/>
                      <w:b/>
                      <w:color w:val="17365D"/>
                      <w:sz w:val="22"/>
                    </w:rPr>
                    <w:t>Azure App Service</w:t>
                  </w:r>
                </w:p>
                <w:p>
                  <w:pPr>
                    <w:jc w:val="center"/>
                    <w:spacing w:before="0" w:after="0"/>
                  </w:pPr>
                  <w:r>
                    <w:rPr>
                      <w:rFonts w:ascii="Verdana" w:hAnsi="Verdana"/>
                      <w:color w:val="5B6573"/>
                      <w:sz w:val="16"/>
                    </w:rPr>
                    <w:t>.NET Web / API</w:t>
                  </w:r>
                </w:p>
              </w:txbxContent>
            </v:textbox>
          </v:roundrect>
        </w:pict>
      </w:r>
      <w:r>
        <w:pict>
          <v:roundrect id="f9_sql" style="position:absolute;left:310pt;top:5pt;width:120pt;height:50pt;z-index:2" arcsize="8%" fillcolor="#FFF4D6" strokecolor="#0078D4" strokeweight="1.3pt">
            <v:textbox inset="6pt,5pt,6pt,4pt">
              <w:txbxContent>
                <w:p>
                  <w:pPr>
                    <w:jc w:val="center"/>
                    <w:spacing w:after="0"/>
                  </w:pPr>
                  <w:r>
                    <w:rPr>
                      <w:rFonts w:ascii="Verdana" w:hAnsi="Verdana"/>
                      <w:b/>
                      <w:color w:val="17365D"/>
                      <w:sz w:val="22"/>
                    </w:rPr>
                    <w:t>Azure SQL</w:t>
                  </w:r>
                </w:p>
                <w:p>
                  <w:pPr>
                    <w:jc w:val="center"/>
                    <w:spacing w:before="0" w:after="0"/>
                  </w:pPr>
                  <w:r>
                    <w:rPr>
                      <w:rFonts w:ascii="Verdana" w:hAnsi="Verdana"/>
                      <w:color w:val="5B6573"/>
                      <w:sz w:val="16"/>
                    </w:rPr>
                    <w:t>Application data</w:t>
                  </w:r>
                </w:p>
              </w:txbxContent>
            </v:textbox>
          </v:roundrect>
        </w:pict>
      </w:r>
      <w:r>
        <w:pict>
          <v:roundrect id="f9_blob" style="position:absolute;left:310pt;top:65pt;width:120pt;height:50pt;z-index:2" arcsize="8%" fillcolor="#FFF4D6" strokecolor="#0078D4" strokeweight="1.3pt">
            <v:textbox inset="6pt,5pt,6pt,4pt">
              <w:txbxContent>
                <w:p>
                  <w:pPr>
                    <w:jc w:val="center"/>
                    <w:spacing w:after="0"/>
                  </w:pPr>
                  <w:r>
                    <w:rPr>
                      <w:rFonts w:ascii="Verdana" w:hAnsi="Verdana"/>
                      <w:b/>
                      <w:color w:val="17365D"/>
                      <w:sz w:val="22"/>
                    </w:rPr>
                    <w:t>Blob Storage</w:t>
                  </w:r>
                </w:p>
                <w:p>
                  <w:pPr>
                    <w:jc w:val="center"/>
                    <w:spacing w:before="0" w:after="0"/>
                  </w:pPr>
                  <w:r>
                    <w:rPr>
                      <w:rFonts w:ascii="Verdana" w:hAnsi="Verdana"/>
                      <w:color w:val="5B6573"/>
                      <w:sz w:val="16"/>
                    </w:rPr>
                    <w:t>Documents</w:t>
                  </w:r>
                </w:p>
              </w:txbxContent>
            </v:textbox>
          </v:roundrect>
        </w:pict>
      </w:r>
      <w:r>
        <w:pict>
          <v:line id="f9_a1" from="95pt,47pt" to="135pt,47pt" style="position:absolute;z-index:1" strokecolor="#0078D4" strokeweight="1.4pt">
            <v:stroke endarrow="block"/>
          </v:line>
        </w:pict>
      </w:r>
      <w:r>
        <w:pict>
          <v:line id="f9_a2" from="260pt,38pt" to="310pt,30pt" style="position:absolute;z-index:1" strokecolor="#0078D4" strokeweight="1.4pt">
            <v:stroke endarrow="block"/>
          </v:line>
        </w:pict>
      </w:r>
      <w:r>
        <w:pict>
          <v:line id="f9_a3" from="260pt,58pt" to="310pt,90pt" style="position:absolute;z-index:1" strokecolor="#0078D4" strokeweight="1.4pt">
            <v:stroke endarrow="block"/>
          </v:line>
        </w:pict>
      </w:r>
      <w:r>
        <w:pict>
          <v:roundrect id="f9_mi" style="position:absolute;left:55pt;top:145pt;width:130pt;height:55pt;z-index:2" arcsize="8%" fillcolor="#F1ECFA" strokecolor="#0078D4" strokeweight="1.3pt">
            <v:textbox inset="6pt,5pt,6pt,4pt">
              <w:txbxContent>
                <w:p>
                  <w:pPr>
                    <w:jc w:val="center"/>
                    <w:spacing w:after="0"/>
                  </w:pPr>
                  <w:r>
                    <w:rPr>
                      <w:rFonts w:ascii="Verdana" w:hAnsi="Verdana"/>
                      <w:b/>
                      <w:color w:val="17365D"/>
                      <w:sz w:val="22"/>
                    </w:rPr>
                    <w:t>Managed Identity</w:t>
                  </w:r>
                </w:p>
                <w:p>
                  <w:pPr>
                    <w:jc w:val="center"/>
                    <w:spacing w:before="0" w:after="0"/>
                  </w:pPr>
                  <w:r>
                    <w:rPr>
                      <w:rFonts w:ascii="Verdana" w:hAnsi="Verdana"/>
                      <w:color w:val="5B6573"/>
                      <w:sz w:val="16"/>
                    </w:rPr>
                    <w:t>Assigned to App Service</w:t>
                  </w:r>
                </w:p>
              </w:txbxContent>
            </v:textbox>
          </v:roundrect>
        </w:pict>
      </w:r>
      <w:r>
        <w:pict>
          <v:roundrect id="f9_entra" style="position:absolute;left:245pt;top:145pt;width:150pt;height:55pt;z-index:2" arcsize="8%" fillcolor="#F1ECFA" strokecolor="#0078D4" strokeweight="1.3pt">
            <v:textbox inset="6pt,5pt,6pt,4pt">
              <w:txbxContent>
                <w:p>
                  <w:pPr>
                    <w:jc w:val="center"/>
                    <w:spacing w:after="0"/>
                  </w:pPr>
                  <w:r>
                    <w:rPr>
                      <w:rFonts w:ascii="Verdana" w:hAnsi="Verdana"/>
                      <w:b/>
                      <w:color w:val="17365D"/>
                      <w:sz w:val="22"/>
                    </w:rPr>
                    <w:t>Microsoft Entra ID</w:t>
                  </w:r>
                </w:p>
                <w:p>
                  <w:pPr>
                    <w:jc w:val="center"/>
                    <w:spacing w:before="0" w:after="0"/>
                  </w:pPr>
                  <w:r>
                    <w:rPr>
                      <w:rFonts w:ascii="Verdana" w:hAnsi="Verdana"/>
                      <w:color w:val="5B6573"/>
                      <w:sz w:val="16"/>
                    </w:rPr>
                    <w:t>Issues access token</w:t>
                  </w:r>
                </w:p>
              </w:txbxContent>
            </v:textbox>
          </v:roundrect>
        </w:pict>
      </w:r>
      <w:r>
        <w:pict>
          <v:line id="f9_i1" from="185pt,172pt" to="245pt,172pt" style="position:absolute;z-index:1" strokecolor="#0078D4" strokeweight="1.4pt">
            <v:stroke endarrow="block"/>
          </v:line>
        </w:pict>
      </w:r>
      <w:r>
        <w:pict>
          <v:roundrect id="f9_ai" style="position:absolute;left:55pt;top:245pt;width:135pt;height:55pt;z-index:2" arcsize="8%" fillcolor="#EAF3FB" strokecolor="#0078D4" strokeweight="1.3pt">
            <v:textbox inset="6pt,5pt,6pt,4pt">
              <w:txbxContent>
                <w:p>
                  <w:pPr>
                    <w:jc w:val="center"/>
                    <w:spacing w:after="0"/>
                  </w:pPr>
                  <w:r>
                    <w:rPr>
                      <w:rFonts w:ascii="Verdana" w:hAnsi="Verdana"/>
                      <w:b/>
                      <w:color w:val="17365D"/>
                      <w:sz w:val="20"/>
                    </w:rPr>
                    <w:t>Application Insights</w:t>
                  </w:r>
                </w:p>
                <w:p>
                  <w:pPr>
                    <w:jc w:val="center"/>
                    <w:spacing w:before="0" w:after="0"/>
                  </w:pPr>
                  <w:r>
                    <w:rPr>
                      <w:rFonts w:ascii="Verdana" w:hAnsi="Verdana"/>
                      <w:color w:val="5B6573"/>
                      <w:sz w:val="16"/>
                    </w:rPr>
                    <w:t>Requests + dependencies</w:t>
                  </w:r>
                </w:p>
              </w:txbxContent>
            </v:textbox>
          </v:roundrect>
        </w:pict>
      </w:r>
      <w:r>
        <w:pict>
          <v:roundrect id="f9_mon" style="position:absolute;left:245pt;top:245pt;width:135pt;height:55pt;z-index:2" arcsize="8%" fillcolor="#EAF3FB" strokecolor="#0078D4" strokeweight="1.3pt">
            <v:textbox inset="6pt,5pt,6pt,4pt">
              <w:txbxContent>
                <w:p>
                  <w:pPr>
                    <w:jc w:val="center"/>
                    <w:spacing w:after="0"/>
                  </w:pPr>
                  <w:r>
                    <w:rPr>
                      <w:rFonts w:ascii="Verdana" w:hAnsi="Verdana"/>
                      <w:b/>
                      <w:color w:val="17365D"/>
                      <w:sz w:val="20"/>
                    </w:rPr>
                    <w:t>Azure Monitor</w:t>
                  </w:r>
                </w:p>
                <w:p>
                  <w:pPr>
                    <w:jc w:val="center"/>
                    <w:spacing w:before="0" w:after="0"/>
                  </w:pPr>
                  <w:r>
                    <w:rPr>
                      <w:rFonts w:ascii="Verdana" w:hAnsi="Verdana"/>
                      <w:color w:val="5B6573"/>
                      <w:sz w:val="16"/>
                    </w:rPr>
                    <w:t>Logs • metrics • alerts</w:t>
                  </w:r>
                </w:p>
              </w:txbxContent>
            </v:textbox>
          </v:roundrect>
        </w:pict>
      </w:r>
      <w:r>
        <w:pict>
          <v:line id="f9_o1" from="190pt,272pt" to="245pt,272pt" style="position:absolute;z-index:1" strokecolor="#0078D4" strokeweight="1.4pt">
            <v:stroke endarrow="block"/>
          </v:line>
        </w:pict>
      </w:r>
      <w:r>
        <w:pict>
          <v:roundrect id="f9_git" style="position:absolute;left:55pt;top:345pt;width:100pt;height:55pt;z-index:2" arcsize="8%" fillcolor="#EAF3FB" strokecolor="#0078D4" strokeweight="1.3pt">
            <v:textbox inset="6pt,5pt,6pt,4pt">
              <w:txbxContent>
                <w:p>
                  <w:pPr>
                    <w:jc w:val="center"/>
                    <w:spacing w:after="0"/>
                  </w:pPr>
                  <w:r>
                    <w:rPr>
                      <w:rFonts w:ascii="Verdana" w:hAnsi="Verdana"/>
                      <w:b/>
                      <w:color w:val="17365D"/>
                      <w:sz w:val="22"/>
                    </w:rPr>
                    <w:t>Git</w:t>
                  </w:r>
                </w:p>
                <w:p>
                  <w:pPr>
                    <w:jc w:val="center"/>
                    <w:spacing w:before="0" w:after="0"/>
                  </w:pPr>
                  <w:r>
                    <w:rPr>
                      <w:rFonts w:ascii="Verdana" w:hAnsi="Verdana"/>
                      <w:color w:val="5B6573"/>
                      <w:sz w:val="16"/>
                    </w:rPr>
                    <w:t>Source + Bicep</w:t>
                  </w:r>
                </w:p>
              </w:txbxContent>
            </v:textbox>
          </v:roundrect>
        </w:pict>
      </w:r>
      <w:r>
        <w:pict>
          <v:roundrect id="f9_ci" style="position:absolute;left:205pt;top:345pt;width:110pt;height:55pt;z-index:2" arcsize="8%" fillcolor="#EAF3FB" strokecolor="#0078D4" strokeweight="1.3pt">
            <v:textbox inset="6pt,5pt,6pt,4pt">
              <w:txbxContent>
                <w:p>
                  <w:pPr>
                    <w:jc w:val="center"/>
                    <w:spacing w:after="0"/>
                  </w:pPr>
                  <w:r>
                    <w:rPr>
                      <w:rFonts w:ascii="Verdana" w:hAnsi="Verdana"/>
                      <w:b/>
                      <w:color w:val="17365D"/>
                      <w:sz w:val="22"/>
                    </w:rPr>
                    <w:t>CI/CD</w:t>
                  </w:r>
                </w:p>
                <w:p>
                  <w:pPr>
                    <w:jc w:val="center"/>
                    <w:spacing w:before="0" w:after="0"/>
                  </w:pPr>
                  <w:r>
                    <w:rPr>
                      <w:rFonts w:ascii="Verdana" w:hAnsi="Verdana"/>
                      <w:color w:val="5B6573"/>
                      <w:sz w:val="16"/>
                    </w:rPr>
                    <w:t>Build • test • deploy</w:t>
                  </w:r>
                </w:p>
              </w:txbxContent>
            </v:textbox>
          </v:roundrect>
        </w:pict>
      </w:r>
      <w:r>
        <w:pict>
          <v:roundrect id="f9_az" style="position:absolute;left:365pt;top:345pt;width:100pt;height:55pt;z-index:2" arcsize="8%" fillcolor="#EAF5E4" strokecolor="#0078D4" strokeweight="1.3pt">
            <v:textbox inset="6pt,5pt,6pt,4pt">
              <w:txbxContent>
                <w:p>
                  <w:pPr>
                    <w:jc w:val="center"/>
                    <w:spacing w:after="0"/>
                  </w:pPr>
                  <w:r>
                    <w:rPr>
                      <w:rFonts w:ascii="Verdana" w:hAnsi="Verdana"/>
                      <w:b/>
                      <w:color w:val="17365D"/>
                      <w:sz w:val="22"/>
                    </w:rPr>
                    <w:t>Azure</w:t>
                  </w:r>
                </w:p>
                <w:p>
                  <w:pPr>
                    <w:jc w:val="center"/>
                    <w:spacing w:before="0" w:after="0"/>
                  </w:pPr>
                  <w:r>
                    <w:rPr>
                      <w:rFonts w:ascii="Verdana" w:hAnsi="Verdana"/>
                      <w:color w:val="5B6573"/>
                      <w:sz w:val="16"/>
                    </w:rPr>
                    <w:t>Deploy resources</w:t>
                  </w:r>
                </w:p>
              </w:txbxContent>
            </v:textbox>
          </v:roundrect>
        </w:pict>
      </w:r>
      <w:r>
        <w:pict>
          <v:line id="f9_d1" from="155pt,372pt" to="205pt,372pt" style="position:absolute;z-index:1" strokecolor="#0078D4" strokeweight="1.4pt">
            <v:stroke endarrow="block"/>
          </v:line>
        </w:pict>
      </w:r>
      <w:r>
        <w:pict>
          <v:line id="f9_d2" from="315pt,372pt" to="365pt,372pt" style="position:absolute;z-index:1" strokecolor="#0078D4" strokeweight="1.4pt">
            <v:stroke endarrow="block"/>
          </v:line>
        </w:pict>
      </w:r>
    </w:p>
    <w:p>
      <w:pPr>
        <w:jc w:val="center"/>
      </w:pPr>
      <w:r>
        <w:rPr>
          <w:rFonts w:ascii="Verdana" w:hAnsi="Verdana"/>
        </w:rPr>
        <w:t>Figure 9. Production-minded Building Society context view. Runtime, identity, observability and delivery objects remain separately editable in Word.</w:t>
      </w:r>
    </w:p>
    <w:p>
      <w:pPr>
        <w:pStyle w:val="Heading2"/>
        <w:keepNext/>
      </w:pPr>
      <w:r>
        <w:t>What this architecture deliberately separates</w:t>
      </w:r>
    </w:p>
    <w:p>
      <w:pPr>
        <w:pStyle w:val="ListBullet"/>
        <w:ind w:left="317" w:hanging="173"/>
      </w:pPr>
      <w:r>
        <w:t>Runtime traffic from deployment traffic.</w:t>
      </w:r>
    </w:p>
    <w:p>
      <w:pPr>
        <w:pStyle w:val="ListBullet"/>
        <w:ind w:left="317" w:hanging="173"/>
      </w:pPr>
      <w:r>
        <w:t>Workload identity from CI/CD identity.</w:t>
      </w:r>
    </w:p>
    <w:p>
      <w:pPr>
        <w:pStyle w:val="ListBullet"/>
        <w:ind w:left="317" w:hanging="173"/>
      </w:pPr>
      <w:r>
        <w:t>Authentication from authorisation.</w:t>
      </w:r>
    </w:p>
    <w:p>
      <w:pPr>
        <w:pStyle w:val="ListBullet"/>
        <w:ind w:left="317" w:hanging="173"/>
      </w:pPr>
      <w:r>
        <w:t>Application hosting from durable data.</w:t>
      </w:r>
    </w:p>
    <w:p>
      <w:pPr>
        <w:pStyle w:val="ListBullet"/>
        <w:ind w:left="317" w:hanging="173"/>
      </w:pPr>
      <w:r>
        <w:t>Public/private network design from identity design.</w:t>
      </w:r>
    </w:p>
    <w:p>
      <w:pPr>
        <w:pStyle w:val="ListBullet"/>
        <w:ind w:left="317" w:hanging="173"/>
      </w:pPr>
      <w:r>
        <w:t>Telemetry collection from business processing.</w:t>
      </w:r>
    </w:p>
    <w:tbl>
      <w:tblPr>
        <w:tblW w:type="auto" w:w="0"/>
        <w:jc w:val="center"/>
        <w:tblLayout w:type="fixed"/>
        <w:tblLook w:firstColumn="1" w:firstRow="1" w:lastColumn="0" w:lastRow="0" w:noHBand="0" w:noVBand="1" w:val="04A0"/>
      </w:tblPr>
      <w:tblGrid>
        <w:gridCol w:w="9792"/>
      </w:tblGrid>
      <w:tr>
        <w:trPr>
          <w:cantSplit/>
        </w:trPr>
        <w:tc>
          <w:tcPr>
            <w:tcW w:type="dxa" w:w="10166"/>
            <w:shd w:fill="E8F3E3"/>
            <w:tcMar>
              <w:top w:w="90" w:type="dxa"/>
              <w:start w:w="110" w:type="dxa"/>
              <w:bottom w:w="90" w:type="dxa"/>
              <w:end w:w="110" w:type="dxa"/>
            </w:tcMar>
            <w:vAlign w:val="center"/>
          </w:tcPr>
          <w:p>
            <w:r/>
            <w:r>
              <w:rPr>
                <w:rFonts w:ascii="Verdana" w:hAnsi="Verdana"/>
                <w:b/>
                <w:color w:val="17365D"/>
                <w:sz w:val="19"/>
              </w:rPr>
              <w:t>Architecture review</w:t>
            </w:r>
          </w:p>
          <w:p>
            <w:pPr>
              <w:spacing w:after="0"/>
            </w:pPr>
            <w:r>
              <w:rPr>
                <w:rFonts w:ascii="Verdana" w:hAnsi="Verdana"/>
                <w:color w:val="263442"/>
                <w:sz w:val="17"/>
              </w:rPr>
              <w:t>Ask “what requirement caused this component to exist?” If there is no answer, the design may be carrying unnecessary complexity.</w:t>
            </w:r>
          </w:p>
        </w:tc>
      </w:tr>
    </w:tbl>
    <w:p>
      <w:pPr>
        <w:spacing w:after="0"/>
      </w:pPr>
    </w:p>
    <w:p>
      <w:r>
        <w:br w:type="page"/>
      </w:r>
    </w:p>
    <w:p>
      <w:pPr>
        <w:pStyle w:val="Heading2"/>
      </w:pPr>
      <w:r>
        <w:t>How the pieces work together</w:t>
      </w:r>
    </w:p>
    <w:p>
      <w:pPr/>
      <w:r>
        <w:t>The runtime path is intentionally simple: a member or staff user reaches the .NET application hosted in App Service, and the application uses managed data services for relational data and documents. This path should remain understandable before additional controls are layered around it.</w:t>
      </w:r>
    </w:p>
    <w:p>
      <w:pPr/>
      <w:r>
        <w:t>Identity is a separate concern. The application’s Managed Identity obtains Microsoft Entra access tokens and the target services authorise that principal. User authentication is a different flow and may use App Service authentication or application-level Microsoft identity libraries depending on requirements.</w:t>
      </w:r>
    </w:p>
    <w:p>
      <w:pPr/>
      <w:r>
        <w:t>Networking, observability and delivery surround the runtime rather than replacing it. Private connectivity can restrict network paths, Application Insights and Azure Monitor provide operational evidence, and CI/CD plus Bicep make the environment repeatable. Keeping these concerns visually and conceptually separate makes the architecture easier to troubleshoot.</w:t>
      </w:r>
    </w:p>
    <w:p>
      <w:pPr>
        <w:pStyle w:val="Heading2"/>
      </w:pPr>
      <w:r>
        <w:t>Common enterprise evolution patterns</w:t>
      </w:r>
    </w:p>
    <w:p>
      <w:pPr/>
      <w:r>
        <w:t>The training architecture is intentionally simple. Enterprise solutions often evolve by adding capabilities only when a requirement justifies them.</w:t>
      </w:r>
    </w:p>
    <w:p>
      <w:pPr>
        <w:pStyle w:val="Heading3"/>
      </w:pPr>
      <w:r>
        <w:t>Pattern A - Managed API gateway</w:t>
      </w:r>
    </w:p>
    <w:p>
      <w:pPr/>
      <w:r>
        <w:t>Client -&gt; API Management -&gt; App Service API -&gt; Azure SQL</w:t>
      </w:r>
    </w:p>
    <w:p>
      <w:pPr/>
      <w:r>
        <w:t>Use when multiple consumers need gateway policies, central API security, throttling, versioning or a stable API facade.</w:t>
      </w:r>
    </w:p>
    <w:p>
      <w:pPr>
        <w:pStyle w:val="Heading3"/>
      </w:pPr>
      <w:r>
        <w:t>Pattern B - Global web/API entry</w:t>
      </w:r>
    </w:p>
    <w:p>
      <w:pPr/>
      <w:r>
        <w:t>Client -&gt; Azure Front Door -&gt; API Management -&gt; App Service -&gt; Azure SQL</w:t>
      </w:r>
    </w:p>
    <w:p>
      <w:pPr/>
      <w:r>
        <w:t>Use when global HTTP entry, edge routing, web application protection or multi-region routing requirements justify an edge service. Do not add Front Door solely to make a diagram look enterprise-grade.</w:t>
      </w:r>
    </w:p>
    <w:p>
      <w:pPr>
        <w:pStyle w:val="Heading3"/>
      </w:pPr>
      <w:r>
        <w:t>Pattern C - Asynchronous workload</w:t>
      </w:r>
    </w:p>
    <w:p>
      <w:pPr/>
      <w:r>
        <w:t>Client -&gt; App Service / API -&gt; Service Bus -&gt; Worker or Function -&gt; Azure SQL / Storage</w:t>
      </w:r>
    </w:p>
    <w:p>
      <w:pPr/>
      <w:r>
        <w:t>Use when background work should be decoupled from the user request, absorb bursts or survive temporary downstream failure.</w:t>
      </w:r>
    </w:p>
    <w:p>
      <w:pPr/>
      <w:r>
        <w:t>Architecture rule: start with the simplest design that satisfies the requirements. Add gateway, edge, messaging, caching or private connectivity when a specific security, reliability, performance, integration or operational requirement demands it.</w:t>
      </w:r>
    </w:p>
    <w:p>
      <w:pPr>
        <w:pStyle w:val="Heading1"/>
        <w:keepNext/>
      </w:pPr>
      <w:r>
        <w:t>22. Reliability and Recovery</w:t>
      </w:r>
    </w:p>
    <w:p>
      <w:r>
        <w:t>Reliability is a business requirement translated into technical design. Begin with acceptable outage and data-loss targets, then choose architecture accordingly.</w:t>
      </w:r>
    </w:p>
    <w:p>
      <w:pPr>
        <w:pStyle w:val="Heading2"/>
        <w:keepNext/>
      </w:pPr>
      <w:r>
        <w:t>RTO and RPO</w:t>
      </w:r>
    </w:p>
    <w:p>
      <w:r>
        <w:t>Recovery Time Objective (RTO) describes how quickly service should be restored. Recovery Point Objective (RPO) describes how much recent data loss is acceptable. These targets influence backup, replication, failover and operational procedures.</w:t>
      </w:r>
    </w:p>
    <w:p>
      <w:pPr>
        <w:pStyle w:val="Heading2"/>
        <w:keepNext/>
      </w:pPr>
      <w:r>
        <w:t>Design for failure</w:t>
      </w:r>
    </w:p>
    <w:p>
      <w:pPr>
        <w:pStyle w:val="ListBullet"/>
        <w:ind w:left="317" w:hanging="173"/>
      </w:pPr>
      <w:r>
        <w:t>Know which dependencies are critical.</w:t>
      </w:r>
    </w:p>
    <w:p>
      <w:pPr>
        <w:pStyle w:val="ListBullet"/>
        <w:ind w:left="317" w:hanging="173"/>
      </w:pPr>
      <w:r>
        <w:t>Use health checks that reflect meaningful application readiness.</w:t>
      </w:r>
    </w:p>
    <w:p>
      <w:pPr>
        <w:pStyle w:val="ListBullet"/>
        <w:ind w:left="317" w:hanging="173"/>
      </w:pPr>
      <w:r>
        <w:t>Avoid retry storms.</w:t>
      </w:r>
    </w:p>
    <w:p>
      <w:pPr>
        <w:pStyle w:val="ListBullet"/>
        <w:ind w:left="317" w:hanging="173"/>
      </w:pPr>
      <w:r>
        <w:t>Plan backup/restore and test restoration.</w:t>
      </w:r>
    </w:p>
    <w:p>
      <w:pPr>
        <w:pStyle w:val="ListBullet"/>
        <w:ind w:left="317" w:hanging="173"/>
      </w:pPr>
      <w:r>
        <w:t>Document manual failover/recovery steps where automation is not appropriate.</w:t>
      </w:r>
    </w:p>
    <w:p>
      <w:pPr>
        <w:pStyle w:val="ListBullet"/>
        <w:ind w:left="317" w:hanging="173"/>
      </w:pPr>
      <w:r>
        <w:t>Treat zone/region resilience as a requirement-driven decision with cost and complexity trade-offs.</w:t>
      </w:r>
    </w:p>
    <w:p>
      <w:r>
        <w:br w:type="page"/>
      </w:r>
    </w:p>
    <w:p>
      <w:pPr>
        <w:pStyle w:val="Heading2"/>
      </w:pPr>
      <w:r>
        <w:t>Availability is an application property</w:t>
      </w:r>
    </w:p>
    <w:p>
      <w:pPr/>
      <w:r>
        <w:t>Azure provides capabilities for availability, but the workload must use them correctly. A highly available hosting service does not help if the application stores critical state on one instance or cannot tolerate a temporary database connection failure.</w:t>
      </w:r>
    </w:p>
    <w:p>
      <w:pPr/>
      <w:r>
        <w:t>RTO describes how quickly the service must be restored after an incident. RPO describes how much data loss is acceptable. These targets should drive backup, redundancy, failover and operational choices rather than being decided after the architecture is built.</w:t>
      </w:r>
    </w:p>
    <w:p>
      <w:pPr/>
      <w:r>
        <w:t>Document dependency failure behaviour. Decide which failures should be retried, which should return a clear error, which can degrade gracefully and which require operator action. Test recovery procedures so that the first attempt is not during a production incident.</w:t>
      </w:r>
    </w:p>
    <w:p>
      <w:pPr>
        <w:pStyle w:val="Heading1"/>
        <w:keepNext/>
      </w:pPr>
      <w:r>
        <w:t>23. Cost and Governance</w:t>
      </w:r>
    </w:p>
    <w:p>
      <w:r>
        <w:t>Cloud cost is an architectural signal. Engineers should understand what drives cost and how governance keeps resource sprawl under control.</w:t>
      </w:r>
    </w:p>
    <w:p>
      <w:pPr>
        <w:pStyle w:val="ListBullet"/>
        <w:ind w:left="317" w:hanging="173"/>
      </w:pPr>
      <w:r>
        <w:t>Right-size SKUs and scale based on evidence.</w:t>
      </w:r>
    </w:p>
    <w:p>
      <w:pPr>
        <w:pStyle w:val="ListBullet"/>
        <w:ind w:left="317" w:hanging="173"/>
      </w:pPr>
      <w:r>
        <w:t>Tag resources for owner, environment, workload and cost allocation.</w:t>
      </w:r>
    </w:p>
    <w:p>
      <w:pPr>
        <w:pStyle w:val="ListBullet"/>
        <w:ind w:left="317" w:hanging="173"/>
      </w:pPr>
      <w:r>
        <w:t>Use budgets/alerts to surface unexpected spend.</w:t>
      </w:r>
    </w:p>
    <w:p>
      <w:pPr>
        <w:pStyle w:val="ListBullet"/>
        <w:ind w:left="317" w:hanging="173"/>
      </w:pPr>
      <w:r>
        <w:t>Delete unused DEV resources or automate schedules where appropriate.</w:t>
      </w:r>
    </w:p>
    <w:p>
      <w:pPr>
        <w:pStyle w:val="ListBullet"/>
        <w:ind w:left="317" w:hanging="173"/>
      </w:pPr>
      <w:r>
        <w:t>Use Azure Policy to enforce organisational requirements.</w:t>
      </w:r>
    </w:p>
    <w:p>
      <w:pPr>
        <w:pStyle w:val="ListBullet"/>
        <w:ind w:left="317" w:hanging="173"/>
      </w:pPr>
      <w:r>
        <w:t>Review data egress, retention, logging volume and high-availability choices because they can materially affect cost.</w:t>
      </w:r>
    </w:p>
    <w:tbl>
      <w:tblPr>
        <w:tblW w:type="auto" w:w="0"/>
        <w:jc w:val="center"/>
        <w:tblLayout w:type="fixed"/>
        <w:tblLook w:firstColumn="1" w:firstRow="1" w:lastColumn="0" w:lastRow="0" w:noHBand="0" w:noVBand="1" w:val="04A0"/>
      </w:tblPr>
      <w:tblGrid>
        <w:gridCol w:w="9792"/>
      </w:tblGrid>
      <w:tr>
        <w:trPr>
          <w:cantSplit/>
        </w:trPr>
        <w:tc>
          <w:tcPr>
            <w:tcW w:type="dxa" w:w="10166"/>
            <w:shd w:fill="FFF4D6"/>
            <w:tcMar>
              <w:top w:w="90" w:type="dxa"/>
              <w:start w:w="110" w:type="dxa"/>
              <w:bottom w:w="90" w:type="dxa"/>
              <w:end w:w="110" w:type="dxa"/>
            </w:tcMar>
            <w:vAlign w:val="center"/>
          </w:tcPr>
          <w:p>
            <w:r/>
            <w:r>
              <w:rPr>
                <w:rFonts w:ascii="Verdana" w:hAnsi="Verdana"/>
                <w:b/>
                <w:color w:val="17365D"/>
                <w:sz w:val="19"/>
              </w:rPr>
              <w:t>Cost is not “use the cheapest SKU”</w:t>
            </w:r>
          </w:p>
          <w:p>
            <w:pPr>
              <w:spacing w:after="0"/>
            </w:pPr>
            <w:r>
              <w:rPr>
                <w:rFonts w:ascii="Verdana" w:hAnsi="Verdana"/>
                <w:color w:val="263442"/>
                <w:sz w:val="17"/>
              </w:rPr>
              <w:t>Optimise for required business value and reliability. The cheapest component can be expensive if it creates outages or excessive operational effort.</w:t>
            </w:r>
          </w:p>
        </w:tc>
      </w:tr>
    </w:tbl>
    <w:p>
      <w:pPr>
        <w:spacing w:after="0"/>
      </w:pPr>
    </w:p>
    <w:p>
      <w:r>
        <w:br w:type="page"/>
      </w:r>
    </w:p>
    <w:p>
      <w:pPr>
        <w:pStyle w:val="Heading2"/>
      </w:pPr>
      <w:r>
        <w:t>Make cost visible during design</w:t>
      </w:r>
    </w:p>
    <w:p>
      <w:pPr/>
      <w:r>
        <w:t>Cloud cost is shaped by architecture choices: service tier, instance count, data volume, retention, network egress, logging volume and idle resources. Azure is not automatically cheaper than on-premises infrastructure; it provides different ways to consume and optimise capacity.</w:t>
      </w:r>
    </w:p>
    <w:p>
      <w:pPr/>
      <w:r>
        <w:t>Use tags and resource organisation to make ownership and environment clear. Apply policy for controls that must be consistent, such as allowed regions, required tags or diagnostic settings. Use budgets and cost analysis to identify unexpected growth early.</w:t>
      </w:r>
    </w:p>
    <w:p>
      <w:pPr/>
      <w:r>
        <w:t>Cost optimisation should not undermine reliability or security requirements. The useful question is not “What is the cheapest service?” but “What is the lowest-cost architecture that still meets the agreed workload requirements?”</w:t>
      </w:r>
    </w:p>
    <w:p>
      <w:pPr>
        <w:pStyle w:val="Heading2"/>
      </w:pPr>
      <w:r>
        <w:t>Developer FinOps: cost optimisation checklist</w:t>
      </w:r>
    </w:p>
    <w:p>
      <w:pPr/>
      <w:r>
        <w:t>Developers influence cloud cost through architecture, SKU selection, telemetry volume and application behaviour. Cost optimisation should be continuous and evidence-based; do not reduce reliability or security simply to make the monthly bill smaller.</w:t>
      </w:r>
    </w:p>
    <w:p>
      <w:pPr>
        <w:pStyle w:val="ListBullet"/>
      </w:pPr>
      <w:r>
        <w:t>Right-size App Service plans and Azure SQL using measured utilisation rather than assumptions.</w:t>
      </w:r>
    </w:p>
    <w:p>
      <w:pPr>
        <w:pStyle w:val="ListBullet"/>
      </w:pPr>
      <w:r>
        <w:t>Use autoscale where workload behaviour and service capabilities justify it; define sensible minimum and maximum capacity.</w:t>
      </w:r>
    </w:p>
    <w:p>
      <w:pPr>
        <w:pStyle w:val="ListBullet"/>
      </w:pPr>
      <w:r>
        <w:t>Schedule or scale down non-production environments when they are not required, where organisational policy permits.</w:t>
      </w:r>
    </w:p>
    <w:p>
      <w:pPr>
        <w:pStyle w:val="ListBullet"/>
      </w:pPr>
      <w:r>
        <w:t>Use Azure savings plans or reservations for predictable eligible compute only after the usage pattern is understood.</w:t>
      </w:r>
    </w:p>
    <w:p>
      <w:pPr>
        <w:pStyle w:val="ListBullet"/>
      </w:pPr>
      <w:r>
        <w:t>Apply Blob lifecycle/tiering policies to data that becomes cooler over time; use archive only when retrieval characteristics are acceptable.</w:t>
      </w:r>
    </w:p>
    <w:p>
      <w:pPr>
        <w:pStyle w:val="ListBullet"/>
      </w:pPr>
      <w:r>
        <w:t>Control log volume and retention. Keep the telemetry required for operations, security and compliance, but avoid collecting high-volume low-value data indefinitely.</w:t>
      </w:r>
    </w:p>
    <w:p>
      <w:pPr>
        <w:pStyle w:val="ListBullet"/>
      </w:pPr>
      <w:r>
        <w:t>Remove orphaned resources and temporary test environments through ownership, tagging and automated cleanup.</w:t>
      </w:r>
    </w:p>
    <w:p>
      <w:pPr>
        <w:pStyle w:val="ListBullet"/>
      </w:pPr>
      <w:r>
        <w:t>Use budgets/cost alerts and meaningful tags so teams can see the cost of their workload and environments.</w:t>
      </w:r>
    </w:p>
    <w:p>
      <w:pPr/>
      <w:r>
        <w:t>Building Society example: DEV may not need the same capacity or retention as PROD. The architecture should make environment differences explicit rather than copying production-sized resources everywhere.</w:t>
      </w:r>
    </w:p>
    <w:p>
      <w:pPr>
        <w:pStyle w:val="Heading2"/>
      </w:pPr>
      <w:r>
        <w:t>LBS Priority 1 — Azure Cost Management: What, Why and How</w:t>
      </w:r>
    </w:p>
    <w:p>
      <w:pPr/>
      <w:r>
        <w:t>WHAT: Azure Cost Management is the practice of understanding, allocating, forecasting and controlling cloud spending. It includes Microsoft Cost Management (Cost Analysis, budgets and exports), Azure Advisor recommendations, pricing estimation, tagging and application design choices. Cloud cost is not only an infrastructure concern: developers influence cost through resource SKUs, logging volume, data retention, scale behaviour, retry loops and unused test environments.</w:t>
      </w:r>
    </w:p>
    <w:p>
      <w:pPr/>
      <w:r>
        <w:t>WHY: A working application can still be an unsuitable cloud solution if it exceeds budget. For the fictional Building Society portal, App Service plan capacity, Azure SQL compute/storage, Application Insights/Log Analytics ingestion and retention, outbound data transfer and optional services can all contribute. A budget is an alerting control, not a hard spending cap.</w:t>
      </w:r>
    </w:p>
    <w:p>
      <w:pPr>
        <w:pStyle w:val="Heading3"/>
      </w:pPr>
      <w:r>
        <w:t>How to estimate cost before deployment</w:t>
      </w:r>
    </w:p>
    <w:p>
      <w:pPr>
        <w:pStyle w:val="ListNumber"/>
      </w:pPr>
      <w:r>
        <w:t>1. Define region, expected traffic, uptime, data volume, retention, number of environments and reliability requirements.</w:t>
      </w:r>
    </w:p>
    <w:p>
      <w:pPr>
        <w:pStyle w:val="ListNumber"/>
      </w:pPr>
      <w:r>
        <w:t>2. Use Azure Pricing Calculator to estimate App Service, Azure SQL, storage and monitoring. Record assumptions rather than presenting estimates as bills.</w:t>
      </w:r>
    </w:p>
    <w:p>
      <w:pPr>
        <w:pStyle w:val="ListNumber"/>
      </w:pPr>
      <w:r>
        <w:t>3. Compare at least two viable service tiers; identify features lost or gained, such as scale, high availability and backup capabilities.</w:t>
      </w:r>
    </w:p>
    <w:p>
      <w:pPr>
        <w:pStyle w:val="ListNumber"/>
      </w:pPr>
      <w:r>
        <w:t>4. Document DEV versus PROD differences. DEV may use a smaller tier and shorter operating hours, but do not disable controls needed for a meaningful test.</w:t>
      </w:r>
    </w:p>
    <w:p>
      <w:pPr>
        <w:pStyle w:val="ListNumber"/>
      </w:pPr>
      <w:r>
        <w:t>5. Revisit the estimate after a pilot using actual consumption and Cost Analysis data.</w:t>
      </w:r>
    </w:p>
    <w:p>
      <w:pPr>
        <w:pStyle w:val="Heading3"/>
      </w:pPr>
      <w:r>
        <w:t>How to inspect actual cost in Azure Portal</w:t>
      </w:r>
    </w:p>
    <w:p>
      <w:pPr>
        <w:pStyle w:val="ListNumber"/>
      </w:pPr>
      <w:r>
        <w:t>1. Open Cost Management + Billing, or Cost Management at the subscription/resource-group scope where you have access.</w:t>
      </w:r>
    </w:p>
    <w:p>
      <w:pPr>
        <w:pStyle w:val="ListNumber"/>
      </w:pPr>
      <w:r>
        <w:t>2. Open Cost Analysis. Set the correct scope, billing period and currency. Check whether data is delayed and whether the selected view shows actual or amortised cost.</w:t>
      </w:r>
    </w:p>
    <w:p>
      <w:pPr>
        <w:pStyle w:val="ListNumber"/>
      </w:pPr>
      <w:r>
        <w:t>3. Group costs by Service name, Resource, Resource group or Tag. Identify which resources account for the most spend.</w:t>
      </w:r>
    </w:p>
    <w:p>
      <w:pPr>
        <w:pStyle w:val="ListNumber"/>
      </w:pPr>
      <w:r>
        <w:t>4. Compare current-period spending and daily trend. Look for resources left running after labs, unexpectedly large log ingestion, and oversized compute.</w:t>
      </w:r>
    </w:p>
    <w:p>
      <w:pPr>
        <w:pStyle w:val="ListNumber"/>
      </w:pPr>
      <w:r>
        <w:t>5. Create a budget at the appropriate scope with thresholds and action-group/email notifications; confirm who receives alerts and what action they take.</w:t>
      </w:r>
    </w:p>
    <w:p>
      <w:pPr>
        <w:pStyle w:val="ListNumber"/>
      </w:pPr>
      <w:r>
        <w:t>6. Record three actions, their estimated savings, owner, risk and validation date. Verify results against later cost data.</w:t>
      </w:r>
    </w:p>
    <w:p>
      <w:pPr>
        <w:pStyle w:val="Heading3"/>
      </w:pPr>
      <w:r>
        <w:t>Developer cost optimisation decisions</w:t>
      </w:r>
    </w:p>
    <w:p>
      <w:pPr>
        <w:pStyle w:val="ListBullet"/>
      </w:pPr>
      <w:r>
        <w:t>App Service: choose the smallest tier that satisfies the required features; understand scale-out instances, autoscale rules and shared App Service plan costs. Autoscale does not necessarily reduce the minimum baseline.</w:t>
      </w:r>
    </w:p>
    <w:p>
      <w:pPr>
        <w:pStyle w:val="ListBullet"/>
      </w:pPr>
      <w:r>
        <w:t>Azure SQL: select a suitable compute model/tier and storage; evaluate serverless auto-pause only where supported and appropriate; measure real workload before rightsizing.</w:t>
      </w:r>
    </w:p>
    <w:p>
      <w:pPr>
        <w:pStyle w:val="ListBullet"/>
      </w:pPr>
      <w:r>
        <w:t>Storage: choose hot/cool/cold/archive access tiers according to access and retrieval needs; use lifecycle rules, noting retrieval and transaction charges.</w:t>
      </w:r>
    </w:p>
    <w:p>
      <w:pPr>
        <w:pStyle w:val="ListBullet"/>
      </w:pPr>
      <w:r>
        <w:t>Monitoring: collect actionable telemetry, avoid excessive verbose logs or sensitive data, and choose sensible retention. Log Analytics ingestion and retention can be material costs.</w:t>
      </w:r>
    </w:p>
    <w:p>
      <w:pPr>
        <w:pStyle w:val="ListBullet"/>
      </w:pPr>
      <w:r>
        <w:t>Non-production: use automation to stop/deallocate eligible resources when idle. Not every PaaS service can be paused, and a stopped app does not necessarily stop its plan charges.</w:t>
      </w:r>
    </w:p>
    <w:p>
      <w:pPr>
        <w:pStyle w:val="ListBullet"/>
      </w:pPr>
      <w:r>
        <w:t>Commitment discounts: reservations and savings plans may help predictable eligible usage, but verify product eligibility, term and utilisation before purchasing. These are not universal discounts.</w:t>
      </w:r>
    </w:p>
    <w:p>
      <w:pPr>
        <w:pStyle w:val="Heading3"/>
      </w:pPr>
      <w:r>
        <w:t>Building Society exercise — cost review (25–35 minutes)</w:t>
      </w:r>
    </w:p>
    <w:p>
      <w:pPr/>
      <w:r>
        <w:t>Scenario: the DEV environment contains an App Service plan, Azure SQL, a Storage account and workspace-based Application Insights. A stakeholder asks why the monthly estimate has increased. Use a real training subscription where permitted, or a prepared screenshot/export if cost permissions or billing data are unavailable.</w:t>
      </w:r>
    </w:p>
    <w:p>
      <w:pPr>
        <w:pStyle w:val="ListNumber"/>
      </w:pPr>
      <w:r>
        <w:t>1. Identify the billing scope and time range; list the top three cost contributors.</w:t>
      </w:r>
    </w:p>
    <w:p>
      <w:pPr>
        <w:pStyle w:val="ListNumber"/>
      </w:pPr>
      <w:r>
        <w:t>2. For each contributor, decide whether the driver is fixed capacity, usage, retention or an unexpected resource.</w:t>
      </w:r>
    </w:p>
    <w:p>
      <w:pPr>
        <w:pStyle w:val="ListNumber"/>
      </w:pPr>
      <w:r>
        <w:t>3. Propose two low-risk cost changes and one change you would reject without performance/security evidence.</w:t>
      </w:r>
    </w:p>
    <w:p>
      <w:pPr>
        <w:pStyle w:val="ListNumber"/>
      </w:pPr>
      <w:r>
        <w:t>4. Create or sketch a budget with an owner, alert thresholds and an escalation action.</w:t>
      </w:r>
    </w:p>
    <w:p>
      <w:pPr>
        <w:pStyle w:val="ListNumber"/>
      </w:pPr>
      <w:r>
        <w:t>5. Write a two-sentence architecture decision explaining why the chosen DEV tier is adequate.</w:t>
      </w:r>
    </w:p>
    <w:p>
      <w:pPr/>
      <w:r>
        <w:t>Expected evidence: cost breakdown or prepared sample, budget configuration/design, proposed actions with trade-offs, and a clear distinction between forecast and actual spend.</w:t>
      </w:r>
    </w:p>
    <w:p>
      <w:pPr/>
      <w:r>
        <w:t>Tips: check the scope before interpreting cost; use consistent environment/cost-centre tags; avoid claiming a 20% saving without a baseline; do not optimise by weakening identity, backup or monitoring requirements.</w:t>
      </w:r>
    </w:p>
    <w:p>
      <w:pPr>
        <w:pStyle w:val="Heading3"/>
      </w:pPr>
      <w:r>
        <w:t>Knowledge check</w:t>
      </w:r>
    </w:p>
    <w:p>
      <w:pPr>
        <w:pStyle w:val="ListBullet"/>
      </w:pPr>
      <w:r>
        <w:t>Why is a budget alert not the same as a hard spending limit?</w:t>
      </w:r>
    </w:p>
    <w:p>
      <w:pPr>
        <w:pStyle w:val="ListBullet"/>
      </w:pPr>
      <w:r>
        <w:t>What is the difference between an estimated monthly price and actual billed consumption?</w:t>
      </w:r>
    </w:p>
    <w:p>
      <w:pPr>
        <w:pStyle w:val="ListBullet"/>
      </w:pPr>
      <w:r>
        <w:t>Why might verbose application logs increase Azure cost?</w:t>
      </w:r>
    </w:p>
    <w:p>
      <w:pPr>
        <w:pStyle w:val="ListBullet"/>
      </w:pPr>
      <w:r>
        <w:t>When would a reservation be a poor choice for a DEV workload?</w:t>
      </w:r>
    </w:p>
    <w:p>
      <w:pPr>
        <w:pStyle w:val="Heading1"/>
        <w:keepNext/>
      </w:pPr>
      <w:r>
        <w:t>24. Hands-On Lab 1 — Deploy the .NET Application</w:t>
      </w:r>
    </w:p>
    <w:p>
      <w:r>
        <w:t>Goal: take the prepared Building Society application from source control to Azure App Service and connect it to Azure SQL using a clear, observable deployment process.</w:t>
      </w:r>
    </w:p>
    <w:p>
      <w:pPr>
        <w:pStyle w:val="Heading2"/>
        <w:keepNext/>
      </w:pPr>
      <w:r>
        <w:t>Lab outcomes</w:t>
      </w:r>
    </w:p>
    <w:p>
      <w:pPr>
        <w:pStyle w:val="ListBullet"/>
        <w:ind w:left="317" w:hanging="173"/>
      </w:pPr>
      <w:r>
        <w:t>Create/identify the resource group and region.</w:t>
      </w:r>
    </w:p>
    <w:p>
      <w:pPr>
        <w:pStyle w:val="ListBullet"/>
        <w:ind w:left="317" w:hanging="173"/>
      </w:pPr>
      <w:r>
        <w:t>Deploy App Service and Azure SQL using the prepared path.</w:t>
      </w:r>
    </w:p>
    <w:p>
      <w:pPr>
        <w:pStyle w:val="ListBullet"/>
        <w:ind w:left="317" w:hanging="173"/>
      </w:pPr>
      <w:r>
        <w:t>Deploy the application.</w:t>
      </w:r>
    </w:p>
    <w:p>
      <w:pPr>
        <w:pStyle w:val="ListBullet"/>
        <w:ind w:left="317" w:hanging="173"/>
      </w:pPr>
      <w:r>
        <w:t>Configure environment-specific settings.</w:t>
      </w:r>
    </w:p>
    <w:p>
      <w:pPr>
        <w:pStyle w:val="ListBullet"/>
        <w:ind w:left="317" w:hanging="173"/>
      </w:pPr>
      <w:r>
        <w:t>Verify the health endpoint and a business request.</w:t>
      </w:r>
    </w:p>
    <w:p>
      <w:pPr>
        <w:pStyle w:val="ListBullet"/>
        <w:ind w:left="317" w:hanging="173"/>
      </w:pPr>
      <w:r>
        <w:t>Open Application Insights and locate the request.</w:t>
      </w:r>
    </w:p>
    <w:p>
      <w:pPr>
        <w:pStyle w:val="Heading2"/>
        <w:keepNext/>
      </w:pPr>
      <w:r>
        <w:t>Verification</w:t>
      </w:r>
    </w:p>
    <w:p>
      <w:r>
        <w:t>Record the application URL, deployment version, request timestamp and telemetry evidence. A lab is not complete merely because the Portal shows green resource icons.</w:t>
      </w:r>
    </w:p>
    <w:tbl>
      <w:tblPr>
        <w:tblW w:type="auto" w:w="0"/>
        <w:jc w:val="center"/>
        <w:tblLayout w:type="fixed"/>
        <w:tblLook w:firstColumn="1" w:firstRow="1" w:lastColumn="0" w:lastRow="0" w:noHBand="0" w:noVBand="1" w:val="04A0"/>
      </w:tblPr>
      <w:tblGrid>
        <w:gridCol w:w="9792"/>
      </w:tblGrid>
      <w:tr>
        <w:trPr>
          <w:cantSplit/>
        </w:trPr>
        <w:tc>
          <w:tcPr>
            <w:tcW w:type="dxa" w:w="10166"/>
            <w:shd w:fill="FFF4D6"/>
            <w:tcMar>
              <w:top w:w="90" w:type="dxa"/>
              <w:start w:w="110" w:type="dxa"/>
              <w:bottom w:w="90" w:type="dxa"/>
              <w:end w:w="110" w:type="dxa"/>
            </w:tcMar>
            <w:vAlign w:val="center"/>
          </w:tcPr>
          <w:p>
            <w:r/>
            <w:r>
              <w:rPr>
                <w:rFonts w:ascii="Verdana" w:hAnsi="Verdana"/>
                <w:b/>
                <w:color w:val="17365D"/>
                <w:sz w:val="19"/>
              </w:rPr>
              <w:t>Cleanup</w:t>
            </w:r>
          </w:p>
          <w:p>
            <w:pPr>
              <w:spacing w:after="0"/>
            </w:pPr>
            <w:r>
              <w:rPr>
                <w:rFonts w:ascii="Verdana" w:hAnsi="Verdana"/>
                <w:color w:val="263442"/>
                <w:sz w:val="17"/>
              </w:rPr>
              <w:t>Use only the supplied training subscription/sandbox. Remove resources according to the trainer’s cleanup instructions to avoid unnecessary cost.</w:t>
            </w:r>
          </w:p>
        </w:tc>
      </w:tr>
    </w:tbl>
    <w:p>
      <w:pPr>
        <w:spacing w:after="0"/>
      </w:pPr>
    </w:p>
    <w:p>
      <w:r>
        <w:br w:type="page"/>
      </w:r>
    </w:p>
    <w:p>
      <w:pPr>
        <w:pStyle w:val="Heading2"/>
      </w:pPr>
      <w:r>
        <w:t>What the learner should understand, not just click</w:t>
      </w:r>
    </w:p>
    <w:p>
      <w:pPr/>
      <w:r>
        <w:t>The objective is to connect familiar .NET deployment concepts to Azure. As you perform the lab, identify which Azure resource provides compute, which setting controls the application runtime, where configuration is stored, and how you verify that the deployed application is the expected version.</w:t>
      </w:r>
    </w:p>
    <w:p>
      <w:pPr/>
      <w:r>
        <w:t>After deployment, deliberately inspect the App Service overview, configuration and logs rather than stopping when the browser returns HTTP 200. A successful page proves only that one request worked; it does not prove identity, dependency connectivity, monitoring or recovery are correctly configured.</w:t>
      </w:r>
    </w:p>
    <w:p>
      <w:pPr>
        <w:pStyle w:val="Heading1"/>
        <w:keepNext/>
      </w:pPr>
      <w:r>
        <w:t>25. Hands-On Lab 2 — Remove the SQL Password</w:t>
      </w:r>
    </w:p>
    <w:p>
      <w:r>
        <w:t>Goal: enable Managed Identity on App Service, authorise that identity in Azure SQL, remove the stored database password and prove the application still works.</w:t>
      </w:r>
    </w:p>
    <w:p>
      <w:pPr>
        <w:pStyle w:val="Heading2"/>
        <w:keepNext/>
      </w:pPr>
      <w:r>
        <w:t>Steps</w:t>
      </w:r>
    </w:p>
    <w:p>
      <w:pPr>
        <w:pStyle w:val="ListBullet"/>
        <w:ind w:left="317" w:hanging="173"/>
      </w:pPr>
      <w:r>
        <w:t>Enable system-assigned Managed Identity on App Service.</w:t>
      </w:r>
    </w:p>
    <w:p>
      <w:pPr>
        <w:pStyle w:val="ListBullet"/>
        <w:ind w:left="317" w:hanging="173"/>
      </w:pPr>
      <w:r>
        <w:t>Create/authorise the corresponding database principal using the lab instructions.</w:t>
      </w:r>
    </w:p>
    <w:p>
      <w:pPr>
        <w:pStyle w:val="ListBullet"/>
        <w:ind w:left="317" w:hanging="173"/>
      </w:pPr>
      <w:r>
        <w:t>Change the application connection/authentication approach to use Microsoft Entra tokens.</w:t>
      </w:r>
    </w:p>
    <w:p>
      <w:pPr>
        <w:pStyle w:val="ListBullet"/>
        <w:ind w:left="317" w:hanging="173"/>
      </w:pPr>
      <w:r>
        <w:t>Remove the SQL password from application configuration.</w:t>
      </w:r>
    </w:p>
    <w:p>
      <w:pPr>
        <w:pStyle w:val="ListBullet"/>
        <w:ind w:left="317" w:hanging="173"/>
      </w:pPr>
      <w:r>
        <w:t>Restart/redeploy if required and test.</w:t>
      </w:r>
    </w:p>
    <w:p>
      <w:pPr>
        <w:pStyle w:val="ListBullet"/>
        <w:ind w:left="317" w:hanging="173"/>
      </w:pPr>
      <w:r>
        <w:t>Use telemetry to diagnose an intentionally removed permission, then restore the minimum permission.</w:t>
      </w:r>
    </w:p>
    <w:tbl>
      <w:tblPr>
        <w:tblW w:type="auto" w:w="0"/>
        <w:jc w:val="center"/>
        <w:tblLayout w:type="fixed"/>
        <w:tblLook w:firstColumn="1" w:firstRow="1" w:lastColumn="0" w:lastRow="0" w:noHBand="0" w:noVBand="1" w:val="04A0"/>
      </w:tblPr>
      <w:tblGrid>
        <w:gridCol w:w="9792"/>
      </w:tblGrid>
      <w:tr>
        <w:trPr>
          <w:cantSplit/>
        </w:trPr>
        <w:tc>
          <w:tcPr>
            <w:tcW w:type="dxa" w:w="10166"/>
            <w:shd w:fill="F1EAF8"/>
            <w:tcMar>
              <w:top w:w="90" w:type="dxa"/>
              <w:start w:w="110" w:type="dxa"/>
              <w:bottom w:w="90" w:type="dxa"/>
              <w:end w:w="110" w:type="dxa"/>
            </w:tcMar>
            <w:vAlign w:val="center"/>
          </w:tcPr>
          <w:p>
            <w:r/>
            <w:r>
              <w:rPr>
                <w:rFonts w:ascii="Verdana" w:hAnsi="Verdana"/>
                <w:b/>
                <w:color w:val="17365D"/>
                <w:sz w:val="19"/>
              </w:rPr>
              <w:t>Success criteria</w:t>
            </w:r>
          </w:p>
          <w:p>
            <w:pPr>
              <w:spacing w:after="0"/>
            </w:pPr>
            <w:r>
              <w:rPr>
                <w:rFonts w:ascii="Verdana" w:hAnsi="Verdana"/>
                <w:color w:val="263442"/>
                <w:sz w:val="17"/>
              </w:rPr>
              <w:t>The application reaches Azure SQL without a database username/password stored in App Service configuration, and the learner can explain which identity is authenticated and where authorisation is enforced.</w:t>
            </w:r>
          </w:p>
        </w:tc>
      </w:tr>
    </w:tbl>
    <w:p>
      <w:pPr>
        <w:spacing w:after="0"/>
      </w:pPr>
    </w:p>
    <w:p>
      <w:r>
        <w:br w:type="page"/>
      </w:r>
    </w:p>
    <w:p>
      <w:pPr>
        <w:pStyle w:val="Heading2"/>
      </w:pPr>
      <w:r>
        <w:t>Verification questions</w:t>
      </w:r>
    </w:p>
    <w:p>
      <w:pPr/>
      <w:r>
        <w:t>After enabling Managed Identity, confirm the identity object that App Service is actually using. Then confirm the corresponding Azure SQL principal and its database permissions. The lab is complete only when the application connects without a SQL username/password and an intentionally unauthorised identity is denied.</w:t>
      </w:r>
    </w:p>
    <w:p>
      <w:pPr/>
      <w:r>
        <w:t>If the connection fails, separate token acquisition from database authorisation. A token error points toward identity or credential selection. A login or permission error after a token is obtained points toward Azure SQL configuration and database permissions.</w:t>
      </w:r>
    </w:p>
    <w:p>
      <w:pPr>
        <w:pStyle w:val="Heading1"/>
        <w:keepNext/>
      </w:pPr>
      <w:r>
        <w:t>26. Hands-On Lab 3 — Productionise the Workload</w:t>
      </w:r>
    </w:p>
    <w:p>
      <w:r>
        <w:t>Goal: move from “it runs” to a repeatable and supportable Azure workload.</w:t>
      </w:r>
    </w:p>
    <w:p>
      <w:pPr>
        <w:pStyle w:val="ListBullet"/>
        <w:ind w:left="317" w:hanging="173"/>
      </w:pPr>
      <w:r>
        <w:t>Represent infrastructure in Bicep.</w:t>
      </w:r>
    </w:p>
    <w:p>
      <w:pPr>
        <w:pStyle w:val="ListBullet"/>
        <w:ind w:left="317" w:hanging="173"/>
      </w:pPr>
      <w:r>
        <w:t>Separate environment parameters.</w:t>
      </w:r>
    </w:p>
    <w:p>
      <w:pPr>
        <w:pStyle w:val="ListBullet"/>
        <w:ind w:left="317" w:hanging="173"/>
      </w:pPr>
      <w:r>
        <w:t>Deploy through CI/CD with a deployment identity.</w:t>
      </w:r>
    </w:p>
    <w:p>
      <w:pPr>
        <w:pStyle w:val="ListBullet"/>
        <w:ind w:left="317" w:hanging="173"/>
      </w:pPr>
      <w:r>
        <w:t>Enable/verify Application Insights and at least one meaningful alert.</w:t>
      </w:r>
    </w:p>
    <w:p>
      <w:pPr>
        <w:pStyle w:val="ListBullet"/>
        <w:ind w:left="317" w:hanging="173"/>
      </w:pPr>
      <w:r>
        <w:t>Review network exposure and decide whether private access is required.</w:t>
      </w:r>
    </w:p>
    <w:p>
      <w:pPr>
        <w:pStyle w:val="ListBullet"/>
        <w:ind w:left="317" w:hanging="173"/>
      </w:pPr>
      <w:r>
        <w:t>Review scale-out/state assumptions.</w:t>
      </w:r>
    </w:p>
    <w:p>
      <w:pPr>
        <w:pStyle w:val="ListBullet"/>
        <w:ind w:left="317" w:hanging="173"/>
      </w:pPr>
      <w:r>
        <w:t>Exercise one failure path and use telemetry to diagnose it.</w:t>
      </w:r>
    </w:p>
    <w:p>
      <w:pPr>
        <w:pStyle w:val="ListBullet"/>
        <w:ind w:left="317" w:hanging="173"/>
      </w:pPr>
      <w:r>
        <w:t>Complete the production-readiness checklist.</w:t>
      </w:r>
    </w:p>
    <w:tbl>
      <w:tblPr>
        <w:tblW w:type="auto" w:w="0"/>
        <w:jc w:val="center"/>
        <w:tblLayout w:type="fixed"/>
        <w:tblLook w:firstColumn="1" w:firstRow="1" w:lastColumn="0" w:lastRow="0" w:noHBand="0" w:noVBand="1" w:val="04A0"/>
      </w:tblPr>
      <w:tblGrid>
        <w:gridCol w:w="9792"/>
      </w:tblGrid>
      <w:tr>
        <w:trPr>
          <w:cantSplit/>
        </w:trPr>
        <w:tc>
          <w:tcPr>
            <w:tcW w:type="dxa" w:w="10166"/>
            <w:shd w:fill="E8F3E3"/>
            <w:tcMar>
              <w:top w:w="90" w:type="dxa"/>
              <w:start w:w="110" w:type="dxa"/>
              <w:bottom w:w="90" w:type="dxa"/>
              <w:end w:w="110" w:type="dxa"/>
            </w:tcMar>
            <w:vAlign w:val="center"/>
          </w:tcPr>
          <w:p>
            <w:r/>
            <w:r>
              <w:rPr>
                <w:rFonts w:ascii="Verdana" w:hAnsi="Verdana"/>
                <w:b/>
                <w:color w:val="17365D"/>
                <w:sz w:val="19"/>
              </w:rPr>
              <w:t>Architecture exercise</w:t>
            </w:r>
          </w:p>
          <w:p>
            <w:pPr>
              <w:spacing w:after="0"/>
            </w:pPr>
            <w:r>
              <w:rPr>
                <w:rFonts w:ascii="Verdana" w:hAnsi="Verdana"/>
                <w:color w:val="263442"/>
                <w:sz w:val="17"/>
              </w:rPr>
              <w:t>For every control you add, state the requirement it addresses, the operational cost it introduces and how you will verify it works.</w:t>
            </w:r>
          </w:p>
        </w:tc>
      </w:tr>
    </w:tbl>
    <w:p>
      <w:pPr>
        <w:spacing w:after="0"/>
      </w:pPr>
    </w:p>
    <w:p>
      <w:r>
        <w:br w:type="page"/>
      </w:r>
    </w:p>
    <w:p>
      <w:pPr>
        <w:pStyle w:val="Heading2"/>
      </w:pPr>
      <w:r>
        <w:t>Productionisation is a set of evidence</w:t>
      </w:r>
    </w:p>
    <w:p>
      <w:pPr>
        <w:pStyle w:val="Heading2"/>
      </w:pPr>
      <w:r>
        <w:t>Lab completion evidence and recovery</w:t>
      </w:r>
    </w:p>
    <w:p>
      <w:r>
        <w:t>Each lab should finish with evidence, not only a successful portal screen. Learners should be able to show what was deployed, which identity is used, which permissions were granted, how the request path works and where telemetry appears.</w:t>
      </w:r>
    </w:p>
    <w:p>
      <w:pPr>
        <w:pStyle w:val="ListBullet"/>
      </w:pPr>
      <w:r>
        <w:t>Expected result: record the URL/resource state and the successful user journey.</w:t>
      </w:r>
    </w:p>
    <w:p>
      <w:pPr>
        <w:pStyle w:val="ListBullet"/>
      </w:pPr>
      <w:r>
        <w:t>Verification: inspect App Service configuration, Managed Identity, SQL/Storage access, Application Insights and deployment history.</w:t>
      </w:r>
    </w:p>
    <w:p>
      <w:pPr>
        <w:pStyle w:val="ListBullet"/>
      </w:pPr>
      <w:r>
        <w:t>Common error: capture at least one realistic failure such as 403, SQL connectivity failure or incorrect configuration and identify the layer that produced it.</w:t>
      </w:r>
    </w:p>
    <w:p>
      <w:pPr>
        <w:pStyle w:val="ListBullet"/>
      </w:pPr>
      <w:r>
        <w:t>Recovery: know how to restore the lab to the checkpoint without granting excessive permissions.</w:t>
      </w:r>
    </w:p>
    <w:p>
      <w:pPr>
        <w:pStyle w:val="ListBullet"/>
      </w:pPr>
      <w:r>
        <w:t>Cleanup: remove temporary resources when required and confirm no unnecessary billable resources remain.</w:t>
      </w:r>
    </w:p>
    <w:p>
      <w:r>
        <w:t>Architecture discussion after the lab: what would have to change for production - private access, stronger SKU/availability, alerts, backup/recovery, policy, deployment approvals or additional scale?</w:t>
      </w:r>
    </w:p>
    <w:p>
      <w:pPr/>
      <w:r>
        <w:t>The final lab should leave evidence that another engineer can reproduce and operate the workload: source-controlled infrastructure, a repeatable deployment path, monitored application behaviour, documented identity and permissions, understood network paths and an environment-specific configuration strategy.</w:t>
      </w:r>
    </w:p>
    <w:p>
      <w:pPr/>
      <w:r>
        <w:t>Do not add controls only to make the architecture look sophisticated. For every addition, state the requirement it satisfies. If private endpoints are introduced, explain the security/network requirement. If scale-out is configured, explain the capacity or availability requirement. If an alert is created, explain who responds and what action they take.</w:t>
      </w:r>
    </w:p>
    <w:p>
      <w:pPr>
        <w:pStyle w:val="Heading1"/>
        <w:keepNext/>
      </w:pPr>
      <w:r>
        <w:t>27. Common Mistakes and How to Correct Them</w:t>
      </w:r>
    </w:p>
    <w:p>
      <w:r>
        <w:t>Most early Azure problems are not caused by obscure platform behaviour. They are caused by blurred boundaries: identity versus permission, public versus private connectivity, code versus configuration, or deployment versus runtime.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65D"/>
            <w:tcMar>
              <w:top w:w="90" w:type="dxa"/>
              <w:start w:w="110" w:type="dxa"/>
              <w:bottom w:w="90" w:type="dxa"/>
              <w:end w:w="110" w:type="dxa"/>
            </w:tcMar>
            <w:vAlign w:val="center"/>
          </w:tcPr>
          <w:p>
            <w:r/>
            <w:r>
              <w:rPr>
                <w:rFonts w:ascii="Verdana" w:hAnsi="Verdana"/>
                <w:b/>
                <w:color w:val="17365D"/>
                <w:sz w:val="19"/>
              </w:rPr>
              <w:t>Mistake</w:t>
            </w:r>
          </w:p>
        </w:tc>
        <w:tc>
          <w:tcPr>
            <w:tcW w:type="dxa" w:w="5083"/>
            <w:shd w:fill="17365D"/>
            <w:tcMar>
              <w:top w:w="90" w:type="dxa"/>
              <w:start w:w="110" w:type="dxa"/>
              <w:bottom w:w="90" w:type="dxa"/>
              <w:end w:w="110" w:type="dxa"/>
            </w:tcMar>
            <w:vAlign w:val="center"/>
          </w:tcPr>
          <w:p>
            <w:r/>
            <w:r>
              <w:rPr>
                <w:rFonts w:ascii="Verdana" w:hAnsi="Verdana"/>
                <w:b/>
                <w:color w:val="17365D"/>
                <w:sz w:val="19"/>
              </w:rPr>
              <w:t>Correction</w:t>
            </w:r>
          </w:p>
        </w:tc>
      </w:tr>
      <w:tr>
        <w:trPr>
          <w:cantSplit/>
        </w:trPr>
        <w:tc>
          <w:tcPr>
            <w:tcW w:type="dxa" w:w="5083"/>
            <w:shd w:fill="F8FAFC"/>
            <w:tcMar>
              <w:top w:w="90" w:type="dxa"/>
              <w:start w:w="110" w:type="dxa"/>
              <w:bottom w:w="90" w:type="dxa"/>
              <w:end w:w="110" w:type="dxa"/>
            </w:tcMar>
            <w:vAlign w:val="center"/>
          </w:tcPr>
          <w:p>
            <w:r/>
            <w:r>
              <w:rPr>
                <w:rFonts w:ascii="Verdana" w:hAnsi="Verdana"/>
                <w:b/>
                <w:color w:val="17365D"/>
                <w:sz w:val="19"/>
              </w:rPr>
              <w:t>“Managed Identity is enabled, so access should work.”</w:t>
            </w:r>
          </w:p>
        </w:tc>
        <w:tc>
          <w:tcPr>
            <w:tcW w:type="dxa" w:w="5083"/>
            <w:shd w:fill="FFFFFF"/>
            <w:tcMar>
              <w:top w:w="90" w:type="dxa"/>
              <w:start w:w="110" w:type="dxa"/>
              <w:bottom w:w="90" w:type="dxa"/>
              <w:end w:w="110" w:type="dxa"/>
            </w:tcMar>
            <w:vAlign w:val="center"/>
          </w:tcPr>
          <w:p>
            <w:r/>
            <w:r>
              <w:rPr>
                <w:rFonts w:ascii="Verdana" w:hAnsi="Verdana"/>
                <w:b/>
                <w:color w:val="17365D"/>
                <w:sz w:val="19"/>
              </w:rPr>
              <w:t>Grant and verify the required target-service permission.</w:t>
            </w:r>
          </w:p>
        </w:tc>
      </w:tr>
      <w:tr>
        <w:trPr>
          <w:cantSplit/>
        </w:trPr>
        <w:tc>
          <w:tcPr>
            <w:tcW w:type="dxa" w:w="5083"/>
            <w:shd w:fill="F8FAFC"/>
            <w:tcMar>
              <w:top w:w="90" w:type="dxa"/>
              <w:start w:w="110" w:type="dxa"/>
              <w:bottom w:w="90" w:type="dxa"/>
              <w:end w:w="110" w:type="dxa"/>
            </w:tcMar>
            <w:vAlign w:val="center"/>
          </w:tcPr>
          <w:p>
            <w:r/>
            <w:r>
              <w:rPr>
                <w:rFonts w:ascii="Verdana" w:hAnsi="Verdana"/>
                <w:b/>
                <w:color w:val="17365D"/>
                <w:sz w:val="19"/>
              </w:rPr>
              <w:t>“Put every secret in Key Vault.”</w:t>
            </w:r>
          </w:p>
        </w:tc>
        <w:tc>
          <w:tcPr>
            <w:tcW w:type="dxa" w:w="5083"/>
            <w:shd w:fill="FFFFFF"/>
            <w:tcMar>
              <w:top w:w="90" w:type="dxa"/>
              <w:start w:w="110" w:type="dxa"/>
              <w:bottom w:w="90" w:type="dxa"/>
              <w:end w:w="110" w:type="dxa"/>
            </w:tcMar>
            <w:vAlign w:val="center"/>
          </w:tcPr>
          <w:p>
            <w:r/>
            <w:r>
              <w:rPr>
                <w:rFonts w:ascii="Verdana" w:hAnsi="Verdana"/>
                <w:b/>
                <w:color w:val="17365D"/>
                <w:sz w:val="19"/>
              </w:rPr>
              <w:t>First ask whether identity can eliminate the secret.</w:t>
            </w:r>
          </w:p>
        </w:tc>
      </w:tr>
      <w:tr>
        <w:trPr>
          <w:cantSplit/>
        </w:trPr>
        <w:tc>
          <w:tcPr>
            <w:tcW w:type="dxa" w:w="5083"/>
            <w:shd w:fill="F8FAFC"/>
            <w:tcMar>
              <w:top w:w="90" w:type="dxa"/>
              <w:start w:w="110" w:type="dxa"/>
              <w:bottom w:w="90" w:type="dxa"/>
              <w:end w:w="110" w:type="dxa"/>
            </w:tcMar>
            <w:vAlign w:val="center"/>
          </w:tcPr>
          <w:p>
            <w:r/>
            <w:r>
              <w:rPr>
                <w:rFonts w:ascii="Verdana" w:hAnsi="Verdana"/>
                <w:b/>
                <w:color w:val="17365D"/>
                <w:sz w:val="19"/>
              </w:rPr>
              <w:t>“Private Endpoint means the app is secure.”</w:t>
            </w:r>
          </w:p>
        </w:tc>
        <w:tc>
          <w:tcPr>
            <w:tcW w:type="dxa" w:w="5083"/>
            <w:shd w:fill="FFFFFF"/>
            <w:tcMar>
              <w:top w:w="90" w:type="dxa"/>
              <w:start w:w="110" w:type="dxa"/>
              <w:bottom w:w="90" w:type="dxa"/>
              <w:end w:w="110" w:type="dxa"/>
            </w:tcMar>
            <w:vAlign w:val="center"/>
          </w:tcPr>
          <w:p>
            <w:r/>
            <w:r>
              <w:rPr>
                <w:rFonts w:ascii="Verdana" w:hAnsi="Verdana"/>
                <w:b/>
                <w:color w:val="17365D"/>
                <w:sz w:val="19"/>
              </w:rPr>
              <w:t>Private connectivity is one control; identity, authorisation and application security still matter.</w:t>
            </w:r>
          </w:p>
        </w:tc>
      </w:tr>
      <w:tr>
        <w:trPr>
          <w:cantSplit/>
        </w:trPr>
        <w:tc>
          <w:tcPr>
            <w:tcW w:type="dxa" w:w="5083"/>
            <w:shd w:fill="F8FAFC"/>
            <w:tcMar>
              <w:top w:w="90" w:type="dxa"/>
              <w:start w:w="110" w:type="dxa"/>
              <w:bottom w:w="90" w:type="dxa"/>
              <w:end w:w="110" w:type="dxa"/>
            </w:tcMar>
            <w:vAlign w:val="center"/>
          </w:tcPr>
          <w:p>
            <w:r/>
            <w:r>
              <w:rPr>
                <w:rFonts w:ascii="Verdana" w:hAnsi="Verdana"/>
                <w:b/>
                <w:color w:val="17365D"/>
                <w:sz w:val="19"/>
              </w:rPr>
              <w:t>“It works on one App Service instance.”</w:t>
            </w:r>
          </w:p>
        </w:tc>
        <w:tc>
          <w:tcPr>
            <w:tcW w:type="dxa" w:w="5083"/>
            <w:shd w:fill="FFFFFF"/>
            <w:tcMar>
              <w:top w:w="90" w:type="dxa"/>
              <w:start w:w="110" w:type="dxa"/>
              <w:bottom w:w="90" w:type="dxa"/>
              <w:end w:w="110" w:type="dxa"/>
            </w:tcMar>
            <w:vAlign w:val="center"/>
          </w:tcPr>
          <w:p>
            <w:r/>
            <w:r>
              <w:rPr>
                <w:rFonts w:ascii="Verdana" w:hAnsi="Verdana"/>
                <w:b/>
                <w:color w:val="17365D"/>
                <w:sz w:val="19"/>
              </w:rPr>
              <w:t>Test statelessness and shared state before scale-out.</w:t>
            </w:r>
          </w:p>
        </w:tc>
      </w:tr>
      <w:tr>
        <w:trPr>
          <w:cantSplit/>
        </w:trPr>
        <w:tc>
          <w:tcPr>
            <w:tcW w:type="dxa" w:w="5083"/>
            <w:shd w:fill="F8FAFC"/>
            <w:tcMar>
              <w:top w:w="90" w:type="dxa"/>
              <w:start w:w="110" w:type="dxa"/>
              <w:bottom w:w="90" w:type="dxa"/>
              <w:end w:w="110" w:type="dxa"/>
            </w:tcMar>
            <w:vAlign w:val="center"/>
          </w:tcPr>
          <w:p>
            <w:r/>
            <w:r>
              <w:rPr>
                <w:rFonts w:ascii="Verdana" w:hAnsi="Verdana"/>
                <w:b/>
                <w:color w:val="17365D"/>
                <w:sz w:val="19"/>
              </w:rPr>
              <w:t>“The pipeline uses my Azure login.”</w:t>
            </w:r>
          </w:p>
        </w:tc>
        <w:tc>
          <w:tcPr>
            <w:tcW w:type="dxa" w:w="5083"/>
            <w:shd w:fill="FFFFFF"/>
            <w:tcMar>
              <w:top w:w="90" w:type="dxa"/>
              <w:start w:w="110" w:type="dxa"/>
              <w:bottom w:w="90" w:type="dxa"/>
              <w:end w:w="110" w:type="dxa"/>
            </w:tcMar>
            <w:vAlign w:val="center"/>
          </w:tcPr>
          <w:p>
            <w:r/>
            <w:r>
              <w:rPr>
                <w:rFonts w:ascii="Verdana" w:hAnsi="Verdana"/>
                <w:b/>
                <w:color w:val="17365D"/>
                <w:sz w:val="19"/>
              </w:rPr>
              <w:t>Use a dedicated federated/workload deployment identity.</w:t>
            </w:r>
          </w:p>
        </w:tc>
      </w:tr>
      <w:tr>
        <w:trPr>
          <w:cantSplit/>
        </w:trPr>
        <w:tc>
          <w:tcPr>
            <w:tcW w:type="dxa" w:w="5083"/>
            <w:shd w:fill="F8FAFC"/>
            <w:tcMar>
              <w:top w:w="90" w:type="dxa"/>
              <w:start w:w="110" w:type="dxa"/>
              <w:bottom w:w="90" w:type="dxa"/>
              <w:end w:w="110" w:type="dxa"/>
            </w:tcMar>
            <w:vAlign w:val="center"/>
          </w:tcPr>
          <w:p>
            <w:r/>
            <w:r>
              <w:rPr>
                <w:rFonts w:ascii="Verdana" w:hAnsi="Verdana"/>
                <w:b/>
                <w:color w:val="17365D"/>
                <w:sz w:val="19"/>
              </w:rPr>
              <w:t>“No errors in logs means healthy.”</w:t>
            </w:r>
          </w:p>
        </w:tc>
        <w:tc>
          <w:tcPr>
            <w:tcW w:type="dxa" w:w="5083"/>
            <w:shd w:fill="FFFFFF"/>
            <w:tcMar>
              <w:top w:w="90" w:type="dxa"/>
              <w:start w:w="110" w:type="dxa"/>
              <w:bottom w:w="90" w:type="dxa"/>
              <w:end w:w="110" w:type="dxa"/>
            </w:tcMar>
            <w:vAlign w:val="center"/>
          </w:tcPr>
          <w:p>
            <w:r/>
            <w:r>
              <w:rPr>
                <w:rFonts w:ascii="Verdana" w:hAnsi="Verdana"/>
                <w:b/>
                <w:color w:val="17365D"/>
                <w:sz w:val="19"/>
              </w:rPr>
              <w:t>Use metrics, traces, dependency telemetry and alerts as well as logs.</w:t>
            </w:r>
          </w:p>
        </w:tc>
      </w:tr>
    </w:tbl>
    <w:p>
      <w:r>
        <w:br w:type="page"/>
      </w:r>
    </w:p>
    <w:p>
      <w:pPr>
        <w:pStyle w:val="Heading1"/>
      </w:pPr>
      <w:r>
        <w:t>27A. AI-Assisted Azure Development with GitHub Copilot</w:t>
      </w:r>
    </w:p>
    <w:p>
      <w:pPr/>
      <w:r>
        <w:t>GitHub Copilot can accelerate the same Azure developer workflow used throughout this handbook. The objective is not to let AI make architecture decisions on behalf of the engineer. The objective is to use AI to understand code faster, generate a first draft, automate repetitive work, explore Azure options and troubleshoot more efficiently — while the developer remains responsible for architecture, security, correctness, cost and production readiness.</w:t>
      </w:r>
    </w:p>
    <w:p>
      <w:pPr>
        <w:pStyle w:val="Heading2"/>
      </w:pPr>
      <w:r>
        <w:t>Where Copilot fits in the Azure developer journey</w:t>
      </w:r>
    </w:p>
    <w:p>
      <w:pPr/>
      <w:r>
        <w:t>For an experienced .NET developer who is new to Azure, Copilot is most useful when it is grounded in the application, the Azure target architecture and explicit engineering constraints. It can help explain an unfamiliar solution, propose code changes, generate tests, draft infrastructure, suggest deployment commands and investigate errors. GitHub Copilot for Azure can also help developers learn about Azure, design and develop applications, deploy resources and troubleshoot Azure workloads from supported development environments.</w:t>
      </w:r>
    </w:p>
    <w:p>
      <w:pPr>
        <w:pStyle w:val="ListBullet"/>
      </w:pPr>
      <w:r>
        <w:t>Understand — ask Copilot to explain the existing solution, dependencies, configuration and likely cloud migration concerns.</w:t>
      </w:r>
    </w:p>
    <w:p>
      <w:pPr>
        <w:pStyle w:val="ListBullet"/>
      </w:pPr>
      <w:r>
        <w:t>Design — use it to compare Azure options, but require the response to explain assumptions, trade-offs and why an option fits the workload.</w:t>
      </w:r>
    </w:p>
    <w:p>
      <w:pPr>
        <w:pStyle w:val="ListBullet"/>
      </w:pPr>
      <w:r>
        <w:t>Build — generate or refactor C#/.NET code, Azure SDK integration, configuration and tests.</w:t>
      </w:r>
    </w:p>
    <w:p>
      <w:pPr>
        <w:pStyle w:val="ListBullet"/>
      </w:pPr>
      <w:r>
        <w:t>Secure — ask it to remove embedded credentials, use DefaultAzureCredential/Managed Identity where appropriate and identify required permissions.</w:t>
      </w:r>
    </w:p>
    <w:p>
      <w:pPr>
        <w:pStyle w:val="ListBullet"/>
      </w:pPr>
      <w:r>
        <w:t>Automate — draft Azure CLI, PowerShell, Bicep and CI/CD configuration, then validate before use.</w:t>
      </w:r>
    </w:p>
    <w:p>
      <w:pPr>
        <w:pStyle w:val="ListBullet"/>
      </w:pPr>
      <w:r>
        <w:t>Observe — generate KQL queries, interpret Application Insights telemetry and help isolate dependency, identity or configuration failures.</w:t>
      </w:r>
    </w:p>
    <w:p>
      <w:pPr>
        <w:pStyle w:val="ListBullet"/>
      </w:pPr>
      <w:r>
        <w:t>Review — use Copilot as an additional reviewer, not as the approval authority. Human review and automated pipeline checks still apply.</w:t>
      </w:r>
    </w:p>
    <w:p>
      <w:pPr>
        <w:pStyle w:val="Heading2"/>
      </w:pPr>
      <w:r>
        <w:t>Building Society example: use Copilot through the whole change</w:t>
      </w:r>
    </w:p>
    <w:p>
      <w:pPr/>
      <w:r>
        <w:t>Assume the team receives the Building Society ASP.NET Core application used in this course. It currently runs locally and connects to SQL using configuration. The developer wants to host it in Azure App Service, use Azure SQL Database, remove the database password, add monitoring and make the deployment repeatable.</w:t>
      </w:r>
    </w:p>
    <w:p>
      <w:pPr>
        <w:pStyle w:val="Heading3"/>
      </w:pPr>
      <w:r>
        <w:t>Step 1 — Ask for understanding before asking for code</w:t>
      </w:r>
    </w:p>
    <w:p>
      <w:pPr/>
      <w:r>
        <w:t>Example prompt: “Review this ASP.NET Core solution as an Azure migration task. Identify the web entry point, configuration sources, database access code, external dependencies, local file/state assumptions and anything that could prevent safe scale-out. Do not change files yet. Summarise the findings and list questions that must be answered before choosing Azure services.”</w:t>
      </w:r>
    </w:p>
    <w:p>
      <w:pPr/>
      <w:r>
        <w:t>Why this is useful: it makes Copilot inspect the problem before immediately generating a solution. The developer should compare the response with the actual repository and correct any false assumptions.</w:t>
      </w:r>
    </w:p>
    <w:p>
      <w:pPr>
        <w:pStyle w:val="Heading3"/>
      </w:pPr>
      <w:r>
        <w:t>Step 2 — Constrain the Azure architecture</w:t>
      </w:r>
    </w:p>
    <w:p>
      <w:pPr/>
      <w:r>
        <w:t>Example prompt: “For this Building Society application, propose a simple Azure PaaS architecture for DEV. Prefer Azure App Service for the .NET web/API and Azure SQL Database for relational data. Do not store database passwords. Use Microsoft Entra ID and Managed Identity where supported. Include Application Insights. Explain each service choice, the identity path, the network path, expected failure points and what would need to change for production.”</w:t>
      </w:r>
    </w:p>
    <w:p>
      <w:pPr/>
      <w:r>
        <w:t>The important technique is to provide constraints. A vague prompt such as “put this app in Azure” can produce an unnecessarily complex or unsuitable design. The developer still decides whether App Service, Functions, Container Apps, AKS or VMs are appropriate.</w:t>
      </w:r>
    </w:p>
    <w:p>
      <w:pPr>
        <w:pStyle w:val="Heading3"/>
      </w:pPr>
      <w:r>
        <w:t>Step 3 — Use Copilot to implement passwordless database access</w:t>
      </w:r>
    </w:p>
    <w:p>
      <w:pPr/>
      <w:r>
        <w:t>Example prompt: “Update the data-access approach so the App Service can connect to Azure SQL using DefaultAzureCredential and its system-assigned Managed Identity. Show the minimum C# changes, required application configuration, required database principal/permissions and separate local-development authentication from Azure-hosted authentication. Explain how I can verify token acquisition and how I can distinguish an authentication failure from a database-authorisation failure.”</w:t>
      </w:r>
    </w:p>
    <w:p>
      <w:pPr/>
      <w:r>
        <w:t>Check the result carefully. Enabling a Managed Identity does not grant Azure SQL permission. The target database must still recognise the identity and authorise the required operations. Copilot-generated code should never be used as evidence that the Azure-side permission model is complete.</w:t>
      </w:r>
    </w:p>
    <w:p>
      <w:pPr>
        <w:pStyle w:val="Heading3"/>
      </w:pPr>
      <w:r>
        <w:t>Step 4 — Generate infrastructure as a starting point</w:t>
      </w:r>
    </w:p>
    <w:p>
      <w:pPr/>
      <w:r>
        <w:t>Example prompt: “Create Bicep for a DEV Resource Group deployment containing an App Service plan, App Service, Azure SQL logical server/database and Application Insights. Use parameters for environment-specific values, tags and region. Enable system-assigned Managed Identity on the App Service. Do not invent passwords or place secrets in source control. Explain every resource and output before presenting the Bicep.”</w:t>
      </w:r>
    </w:p>
    <w:p>
      <w:pPr/>
      <w:r>
        <w:t>Treat generated Bicep as a draft. Run Bicep validation/linting, review API versions and SKUs, check naming and policy requirements, inspect the what-if result where appropriate and confirm that the deployment matches the architecture.</w:t>
      </w:r>
    </w:p>
    <w:p>
      <w:pPr>
        <w:pStyle w:val="Heading3"/>
      </w:pPr>
      <w:r>
        <w:t>Step 5 — Ask Copilot to help troubleshoot the application</w:t>
      </w:r>
    </w:p>
    <w:p>
      <w:pPr/>
      <w:r>
        <w:t>Example prompt: “The App Service returns HTTP 500 when reading Azure SQL. Application Insights shows a dependency failure. Give me a developer-focused troubleshooting plan that checks deployment, application configuration, exception/dependency telemetry, Managed Identity token acquisition, Azure SQL authorisation and database health. If evidence points to connectivity, tell me what to capture for the platform/network team. Do not suggest broad permissions as the first fix.”</w:t>
      </w:r>
    </w:p>
    <w:p>
      <w:pPr/>
      <w:r>
        <w:t>This is a better troubleshooting pattern than asking Copilot for a single fix. It encourages evidence-based diagnosis and prevents the common mistake of changing identity, network and application settings simultaneously.</w:t>
      </w:r>
    </w:p>
    <w:p>
      <w:pPr>
        <w:pStyle w:val="Heading2"/>
      </w:pPr>
      <w:r>
        <w:t>A reusable prompt pattern for Azure work</w:t>
      </w:r>
    </w:p>
    <w:p>
      <w:pPr/>
      <w:r>
        <w:t>Use a structured prompt so Copilot has enough context to produce something that can be reviewed. A useful pattern is: Context → Task → Azure constraints → Security requirements → Expected output → Validation.</w:t>
      </w:r>
    </w:p>
    <w:p>
      <w:pPr>
        <w:pStyle w:val="ListBullet"/>
      </w:pPr>
      <w:r>
        <w:t>Context — what application, language, current architecture and relevant files are involved?</w:t>
      </w:r>
    </w:p>
    <w:p>
      <w:pPr>
        <w:pStyle w:val="ListBullet"/>
      </w:pPr>
      <w:r>
        <w:t>Task — what exact outcome is required?</w:t>
      </w:r>
    </w:p>
    <w:p>
      <w:pPr>
        <w:pStyle w:val="ListBullet"/>
      </w:pPr>
      <w:r>
        <w:t>Azure constraints — preferred services, region/environment, organisational standards and services that are out of scope.</w:t>
      </w:r>
    </w:p>
    <w:p>
      <w:pPr>
        <w:pStyle w:val="ListBullet"/>
      </w:pPr>
      <w:r>
        <w:t>Security requirements — Managed Identity, least privilege, no hard-coded credentials, public/private access expectations.</w:t>
      </w:r>
    </w:p>
    <w:p>
      <w:pPr>
        <w:pStyle w:val="ListBullet"/>
      </w:pPr>
      <w:r>
        <w:t>Expected output — explanation, code, Bicep, commands, tests, architecture decisions or troubleshooting steps.</w:t>
      </w:r>
    </w:p>
    <w:p>
      <w:pPr>
        <w:pStyle w:val="ListBullet"/>
      </w:pPr>
      <w:r>
        <w:t>Validation — ask how to verify the result, expected evidence, likely errors and rollback/recovery steps.</w:t>
      </w:r>
    </w:p>
    <w:p>
      <w:pPr>
        <w:pStyle w:val="Heading2"/>
      </w:pPr>
      <w:r>
        <w:t>What the developer must verify</w:t>
      </w:r>
    </w:p>
    <w:p>
      <w:pPr/>
      <w:r>
        <w:t>AI-generated output is a proposal until it has been validated. This is particularly important for Azure because a syntactically correct answer can still create an insecure, expensive or operationally weak architecture.</w:t>
      </w:r>
    </w:p>
    <w:p>
      <w:pPr>
        <w:pStyle w:val="ListBullet"/>
      </w:pPr>
      <w:r>
        <w:t>Architecture — does the service actually fit the workload and non-functional requirements?</w:t>
      </w:r>
    </w:p>
    <w:p>
      <w:pPr>
        <w:pStyle w:val="ListBullet"/>
      </w:pPr>
      <w:r>
        <w:t>Identity — is the correct human or workload identity being used?</w:t>
      </w:r>
    </w:p>
    <w:p>
      <w:pPr>
        <w:pStyle w:val="ListBullet"/>
      </w:pPr>
      <w:r>
        <w:t>Authorisation — are RBAC and data-plane permissions explicit and least-privilege?</w:t>
      </w:r>
    </w:p>
    <w:p>
      <w:pPr>
        <w:pStyle w:val="ListBullet"/>
      </w:pPr>
      <w:r>
        <w:t>Secrets — can a credential be eliminated rather than stored? If a secret must exist, is it handled appropriately?</w:t>
      </w:r>
    </w:p>
    <w:p>
      <w:pPr>
        <w:pStyle w:val="ListBullet"/>
      </w:pPr>
      <w:r>
        <w:t>Connectivity — does the application know which dependency endpoint it uses, and is any private-connectivity requirement documented for the platform/network team?</w:t>
      </w:r>
    </w:p>
    <w:p>
      <w:pPr>
        <w:pStyle w:val="ListBullet"/>
      </w:pPr>
      <w:r>
        <w:t>Reliability — are timeout, retry, idempotency, health checks, state and dependency failures considered?</w:t>
      </w:r>
    </w:p>
    <w:p>
      <w:pPr>
        <w:pStyle w:val="ListBullet"/>
      </w:pPr>
      <w:r>
        <w:t>Observability — will logs, metrics, traces and alerts provide enough evidence to operate the workload?</w:t>
      </w:r>
    </w:p>
    <w:p>
      <w:pPr>
        <w:pStyle w:val="ListBullet"/>
      </w:pPr>
      <w:r>
        <w:t>Infrastructure — has generated Bicep/IaC been linted, reviewed and tested in the intended environment?</w:t>
      </w:r>
    </w:p>
    <w:p>
      <w:pPr>
        <w:pStyle w:val="ListBullet"/>
      </w:pPr>
      <w:r>
        <w:t>Delivery — do CI/CD identities and permissions differ appropriately from the application's runtime identity?</w:t>
      </w:r>
    </w:p>
    <w:p>
      <w:pPr>
        <w:pStyle w:val="ListBullet"/>
      </w:pPr>
      <w:r>
        <w:t>Cost and governance — do SKUs, scaling, region, Policy, naming and tagging align with organisational requirements?</w:t>
      </w:r>
    </w:p>
    <w:p>
      <w:pPr>
        <w:pStyle w:val="Heading2"/>
      </w:pPr>
      <w:r>
        <w:t>Copilot in the engineering workflow</w:t>
      </w:r>
    </w:p>
    <w:p>
      <w:pPr/>
      <w:r>
        <w:t>A safe working model is: Copilot proposes → Developer reviews → Automated checks validate → Peer review approves → Pipeline deploys → Azure telemetry verifies. Copilot can shorten the path to a useful first draft, but it should not bypass engineering controls.</w:t>
      </w:r>
    </w:p>
    <w:p>
      <w:pPr>
        <w:pStyle w:val="Heading3"/>
      </w:pPr>
      <w:r>
        <w:t>Practical mini-exercise</w:t>
      </w:r>
    </w:p>
    <w:p>
      <w:pPr/>
      <w:r>
        <w:t>Choose one part of the Building Society application and use Copilot to perform a bounded task: explain the component, propose one Azure-focused improvement, generate the change, generate or update tests, and provide verification steps. Before accepting the result, identify at least one assumption made by Copilot and one control that must be verified in Azure.</w:t>
      </w:r>
    </w:p>
    <w:p>
      <w:pPr>
        <w:pStyle w:val="Heading3"/>
      </w:pPr>
      <w:r>
        <w:t>Knowledge check</w:t>
      </w:r>
    </w:p>
    <w:p>
      <w:pPr>
        <w:pStyle w:val="ListBullet"/>
      </w:pPr>
      <w:r>
        <w:t>Why is “Deploy my application to Azure” a weak engineering prompt?</w:t>
      </w:r>
    </w:p>
    <w:p>
      <w:pPr>
        <w:pStyle w:val="ListBullet"/>
      </w:pPr>
      <w:r>
        <w:t>Why does generated Managed Identity code not prove that the application is authorised to access Azure SQL?</w:t>
      </w:r>
    </w:p>
    <w:p>
      <w:pPr>
        <w:pStyle w:val="ListBullet"/>
      </w:pPr>
      <w:r>
        <w:t>Which parts of an AI-generated Bicep deployment should be checked before deployment?</w:t>
      </w:r>
    </w:p>
    <w:p>
      <w:pPr>
        <w:pStyle w:val="ListBullet"/>
      </w:pPr>
      <w:r>
        <w:t>When troubleshooting with Copilot, why is a layered diagnostic plan safer than immediately applying suggested fixes?</w:t>
      </w:r>
    </w:p>
    <w:p>
      <w:pPr>
        <w:pStyle w:val="ListBullet"/>
      </w:pPr>
      <w:r>
        <w:t>What should remain a human engineering decision even when Copilot can generate the implementation?</w:t>
      </w:r>
    </w:p>
    <w:p>
      <w:pPr/>
      <w:r>
        <w:t>Key takeaway: GitHub Copilot can make an Azure developer faster, but the developer remains accountable for the architecture, security, networking, data protection, cost, reliability and operational consequences of the generated solution.</w:t>
      </w:r>
    </w:p>
    <w:p>
      <w:pPr>
        <w:pStyle w:val="Heading2"/>
      </w:pPr>
      <w:r>
        <w:t>Day 2 wrap-up — From working application to operated Azure service</w:t>
      </w:r>
    </w:p>
    <w:p>
      <w:pPr/>
      <w:r>
        <w:t>Before declaring the Building Society application ready, the developer should show evidence of cost visibility and application observability, not only a successful deployment. These are LBS priorities 1 and 2.</w:t>
      </w:r>
    </w:p>
    <w:p>
      <w:pPr>
        <w:pStyle w:val="Heading3"/>
      </w:pPr>
      <w:r>
        <w:t>Monday-morning sequence (developer action plan)</w:t>
      </w:r>
    </w:p>
    <w:p>
      <w:pPr/>
      <w:r>
        <w:t>1. Confirm workload assumptions: expected requests, SQL load, environments, availability target, data sensitivity and owners.</w:t>
      </w:r>
    </w:p>
    <w:p>
      <w:pPr/>
      <w:r>
        <w:t>2. Estimate monthly spend using the Azure Pricing Calculator for App Service, Azure SQL, storage and monitoring. Record assumptions, region, tier, hours and usage.</w:t>
      </w:r>
    </w:p>
    <w:p>
      <w:pPr/>
      <w:r>
        <w:t>3. Apply resource tags, agree a cost owner and create a budget with alert thresholds. Explain that budget alerts do not automatically stop spend.</w:t>
      </w:r>
    </w:p>
    <w:p>
      <w:pPr/>
      <w:r>
        <w:t>4. Enable workspace-based Application Insights; verify the application emits requests, dependencies, exceptions and structured traces. Do not log credentials or customer personal data.</w:t>
      </w:r>
    </w:p>
    <w:p>
      <w:pPr/>
      <w:r>
        <w:t>5. Run KQL queries for failed requests, slow dependencies and exceptions. Save one investigation query and identify the next action based on evidence.</w:t>
      </w:r>
    </w:p>
    <w:p>
      <w:pPr/>
      <w:r>
        <w:t>6. Validate Managed Identity access to Azure SQL, health checks, deployment configuration, rollback path and environment-specific settings.</w:t>
      </w:r>
    </w:p>
    <w:p>
      <w:pPr/>
      <w:r>
        <w:t>7. Consider Blob Storage for documents and asynchronous Functions + Service Bus for longer-running tasks only when the requirements justify them.</w:t>
      </w:r>
    </w:p>
    <w:p>
      <w:pPr/>
      <w:r>
        <w:t>8. Record architecture decisions, cost assumptions, telemetry checks and unresolved risks before handover.</w:t>
      </w:r>
    </w:p>
    <w:p>
      <w:pPr>
        <w:pStyle w:val="Heading1"/>
        <w:keepNext/>
      </w:pPr>
      <w:r>
        <w:t>28. Monday Morning: I Have a New Application. What Do I Do?</w:t>
      </w:r>
    </w:p>
    <w:p>
      <w:r>
        <w:t>Use this workflow after the course when no trainer is present. It is intentionally technology-agnostic at the start and becomes Azure-specific only after the workload is understood.</w:t>
      </w:r>
    </w:p>
    <w:p>
      <w:pPr>
        <w:pStyle w:val="Heading3"/>
        <w:keepNext/>
      </w:pPr>
      <w:r>
        <w:t>1. Understand the workload</w:t>
      </w:r>
    </w:p>
    <w:p>
      <w:r>
        <w:t>Users, traffic, protocols, data, integrations, compliance, expected growth.</w:t>
      </w:r>
    </w:p>
    <w:p>
      <w:pPr>
        <w:pStyle w:val="Heading3"/>
        <w:keepNext/>
      </w:pPr>
      <w:r>
        <w:t>2. Capture non-functional requirements</w:t>
      </w:r>
    </w:p>
    <w:p>
      <w:r>
        <w:t>Availability, performance, security, RTO/RPO, support hours, cost constraints.</w:t>
      </w:r>
    </w:p>
    <w:p>
      <w:pPr>
        <w:pStyle w:val="Heading3"/>
        <w:keepNext/>
      </w:pPr>
      <w:r>
        <w:t>3. Choose environment and region</w:t>
      </w:r>
    </w:p>
    <w:p>
      <w:r>
        <w:t>Subscription/resource group, region, naming, policy and data-location constraints.</w:t>
      </w:r>
    </w:p>
    <w:p>
      <w:pPr>
        <w:pStyle w:val="Heading3"/>
        <w:keepNext/>
      </w:pPr>
      <w:r>
        <w:t>4. Choose compute</w:t>
      </w:r>
    </w:p>
    <w:p>
      <w:r>
        <w:t>App Service is usually the best first option for conventional .NET web/API workloads unless workload requirements indicate otherwise.</w:t>
      </w:r>
    </w:p>
    <w:p>
      <w:pPr>
        <w:pStyle w:val="Heading3"/>
        <w:keepNext/>
      </w:pPr>
      <w:r>
        <w:t>5. Choose data services</w:t>
      </w:r>
    </w:p>
    <w:p>
      <w:r>
        <w:t>Relational data, object storage, caching and lifecycle requirements.</w:t>
      </w:r>
    </w:p>
    <w:p>
      <w:pPr>
        <w:pStyle w:val="Heading3"/>
        <w:keepNext/>
      </w:pPr>
      <w:r>
        <w:t>6. Design identity</w:t>
      </w:r>
    </w:p>
    <w:p>
      <w:r>
        <w:t>Human sign-in and workload identity separately.</w:t>
      </w:r>
    </w:p>
    <w:p>
      <w:pPr>
        <w:pStyle w:val="Heading3"/>
        <w:keepNext/>
      </w:pPr>
      <w:r>
        <w:t>7. Design authorisation</w:t>
      </w:r>
    </w:p>
    <w:p>
      <w:r>
        <w:t>RBAC/data permissions at least privilege.</w:t>
      </w:r>
    </w:p>
    <w:p>
      <w:pPr>
        <w:pStyle w:val="Heading3"/>
        <w:keepNext/>
      </w:pPr>
      <w:r>
        <w:t>8. Design network path</w:t>
      </w:r>
    </w:p>
    <w:p>
      <w:r>
        <w:t>Which application component calls which Azure service? Is access public, restricted or private? Record any network dependency that requires platform-team support.</w:t>
      </w:r>
    </w:p>
    <w:p>
      <w:pPr>
        <w:pStyle w:val="Heading3"/>
        <w:keepNext/>
      </w:pPr>
      <w:r>
        <w:t>9. Design configuration/secrets</w:t>
      </w:r>
    </w:p>
    <w:p>
      <w:r>
        <w:t>Environment settings; eliminate credentials where possible; Key Vault where secrets remain.</w:t>
      </w:r>
    </w:p>
    <w:p>
      <w:pPr>
        <w:pStyle w:val="Heading3"/>
        <w:keepNext/>
      </w:pPr>
      <w:r>
        <w:t>10. Design observability</w:t>
      </w:r>
    </w:p>
    <w:p>
      <w:r>
        <w:t>Logs, metrics, traces, dashboards and actionable alerts.</w:t>
      </w:r>
    </w:p>
    <w:p>
      <w:pPr>
        <w:pStyle w:val="Heading3"/>
        <w:keepNext/>
      </w:pPr>
      <w:r>
        <w:t>11. Design resilience</w:t>
      </w:r>
    </w:p>
    <w:p>
      <w:r>
        <w:t>Timeouts, retries, statelessness, health checks, recovery and dependency failure.</w:t>
      </w:r>
    </w:p>
    <w:p>
      <w:pPr>
        <w:pStyle w:val="Heading3"/>
        <w:keepNext/>
      </w:pPr>
      <w:r>
        <w:t>12. Write IaC</w:t>
      </w:r>
    </w:p>
    <w:p>
      <w:r>
        <w:t>Bicep for repeatable resources and environment parameters.</w:t>
      </w:r>
    </w:p>
    <w:p>
      <w:pPr>
        <w:pStyle w:val="Heading3"/>
        <w:keepNext/>
      </w:pPr>
      <w:r>
        <w:t>13. Build CI/CD</w:t>
      </w:r>
    </w:p>
    <w:p>
      <w:r>
        <w:t>Build, test, scan, deploy with dedicated identity, smoke test.</w:t>
      </w:r>
    </w:p>
    <w:p>
      <w:pPr>
        <w:pStyle w:val="Heading3"/>
        <w:keepNext/>
      </w:pPr>
      <w:r>
        <w:t>14. Test the deployed architecture</w:t>
      </w:r>
    </w:p>
    <w:p>
      <w:r>
        <w:t>Security, network, identity, failure paths and telemetry.</w:t>
      </w:r>
    </w:p>
    <w:p>
      <w:pPr>
        <w:pStyle w:val="Heading3"/>
        <w:keepNext/>
      </w:pPr>
      <w:r>
        <w:t>15. Review cost/governance</w:t>
      </w:r>
    </w:p>
    <w:p>
      <w:r>
        <w:t>SKU, tags, budgets, policy, ownership and cleanup.</w:t>
      </w:r>
    </w:p>
    <w:p>
      <w:pPr>
        <w:pStyle w:val="Heading3"/>
        <w:keepNext/>
      </w:pPr>
      <w:r>
        <w:t>16. Production readiness</w:t>
      </w:r>
    </w:p>
    <w:p>
      <w:r>
        <w:t>Support owner, runbook, backup/restore, alert ownership and recovery evidence.</w:t>
      </w:r>
    </w:p>
    <w:tbl>
      <w:tblPr>
        <w:tblW w:type="auto" w:w="0"/>
        <w:jc w:val="center"/>
        <w:tblLayout w:type="fixed"/>
        <w:tblLook w:firstColumn="1" w:firstRow="1" w:lastColumn="0" w:lastRow="0" w:noHBand="0" w:noVBand="1" w:val="04A0"/>
      </w:tblPr>
      <w:tblGrid>
        <w:gridCol w:w="9792"/>
      </w:tblGrid>
      <w:tr>
        <w:trPr>
          <w:cantSplit/>
        </w:trPr>
        <w:tc>
          <w:tcPr>
            <w:tcW w:type="dxa" w:w="10166"/>
            <w:shd w:fill="E8F3E3"/>
            <w:tcMar>
              <w:top w:w="90" w:type="dxa"/>
              <w:start w:w="110" w:type="dxa"/>
              <w:bottom w:w="90" w:type="dxa"/>
              <w:end w:w="110" w:type="dxa"/>
            </w:tcMar>
            <w:vAlign w:val="center"/>
          </w:tcPr>
          <w:p>
            <w:r/>
            <w:r>
              <w:rPr>
                <w:rFonts w:ascii="Verdana" w:hAnsi="Verdana"/>
                <w:b/>
                <w:color w:val="17365D"/>
                <w:sz w:val="19"/>
              </w:rPr>
              <w:t>Final test</w:t>
            </w:r>
          </w:p>
          <w:p>
            <w:pPr>
              <w:spacing w:after="0"/>
            </w:pPr>
            <w:r>
              <w:rPr>
                <w:rFonts w:ascii="Verdana" w:hAnsi="Verdana"/>
                <w:color w:val="263442"/>
                <w:sz w:val="17"/>
              </w:rPr>
              <w:t>You should be able to explain not only what you deployed, but why each Azure component exists, how it authenticates, how it is reached, how it fails, how it is monitored and how it is deployed again.</w:t>
            </w:r>
          </w:p>
        </w:tc>
      </w:tr>
    </w:tbl>
    <w:p>
      <w:pPr>
        <w:spacing w:after="0"/>
      </w:pPr>
    </w:p>
    <w:p>
      <w:r>
        <w:br w:type="page"/>
      </w:r>
    </w:p>
    <w:p>
      <w:pPr>
        <w:pStyle w:val="Heading2"/>
      </w:pPr>
      <w:r>
        <w:t>Day 2 capstone — Building Society production-readiness review (45 minutes)</w:t>
      </w:r>
    </w:p>
    <w:p>
      <w:pPr/>
      <w:r>
        <w:t>Scenario: the loan application API has been deployed to App Service and uses Azure SQL with Managed Identity. Operations reports increasing monthly cost and customers report occasional slow or failed submissions. Teams must produce an evidence-based improvement plan.</w:t>
      </w:r>
    </w:p>
    <w:p>
      <w:pPr>
        <w:pStyle w:val="Heading3"/>
      </w:pPr>
      <w:r>
        <w:t>Part A — Cost review (15 minutes; essential)</w:t>
      </w:r>
    </w:p>
    <w:p>
      <w:pPr/>
      <w:r>
        <w:t>Open Cost Management &gt; Cost analysis for the training subscription/resource group (or use the trainer-provided sample export where permissions or billing data are unavailable). Group by service and resource; inspect the selected period; identify the three largest cost drivers. Compare actual cost against the estimate and propose two safe optimisations, with trade-offs.</w:t>
      </w:r>
    </w:p>
    <w:p>
      <w:pPr/>
      <w:r>
        <w:t>Expected evidence: a small table of service, observed/estimated cost, cost driver, proposed action, risk and owner. Check that the plan includes budget alerts, tags and non-production scheduling where appropriate.</w:t>
      </w:r>
    </w:p>
    <w:p>
      <w:pPr>
        <w:pStyle w:val="Heading3"/>
      </w:pPr>
      <w:r>
        <w:t>Part B — KQL investigation (20 minutes; essential)</w:t>
      </w:r>
    </w:p>
    <w:p>
      <w:pPr/>
      <w:r>
        <w:t>Open the Application Insights Logs blade or the linked Log Analytics workspace. Set the correct time range; execute the queries below against workspace-based Application Insights tables. If the environment has no telemetry, use trainer-provided sample results and explain how the query would be validated.</w:t>
      </w:r>
    </w:p>
    <w:p>
      <w:pPr/>
      <w:r>
        <w:t>Failed requests:</w:t>
        <w:br/>
        <w:t>AppRequests</w:t>
        <w:br/>
        <w:t>| where TimeGenerated &gt; ago(24h)</w:t>
        <w:br/>
        <w:t>| where Success == false</w:t>
        <w:br/>
        <w:t>| summarize Failures=count() by Name, ResultCode</w:t>
        <w:br/>
        <w:t>| order by Failures desc</w:t>
      </w:r>
    </w:p>
    <w:p>
      <w:pPr/>
      <w:r>
        <w:t>Slow dependencies:</w:t>
        <w:br/>
        <w:t>AppDependencies</w:t>
        <w:br/>
        <w:t>| where TimeGenerated &gt; ago(24h)</w:t>
        <w:br/>
        <w:t>| where DurationMs &gt; 1000</w:t>
        <w:br/>
        <w:t>| summarize Calls=count(), P95Ms=percentile(DurationMs,95) by Target, Name</w:t>
        <w:br/>
        <w:t>| order by P95Ms desc</w:t>
      </w:r>
    </w:p>
    <w:p>
      <w:pPr/>
      <w:r>
        <w:t>Exceptions:</w:t>
        <w:br/>
        <w:t>AppExceptions</w:t>
        <w:br/>
        <w:t>| where TimeGenerated &gt; ago(24h)</w:t>
        <w:br/>
        <w:t>| summarize Exceptions=count() by ExceptionType</w:t>
        <w:br/>
        <w:t>| order by Exceptions desc</w:t>
      </w:r>
    </w:p>
    <w:p>
      <w:pPr/>
      <w:r>
        <w:t>Expected evidence: one plausible root-cause hypothesis supported by a query result, one code/configuration action, and one monitoring/alert improvement. Verify table names and telemetry configuration before concluding that zero rows means zero failures.</w:t>
      </w:r>
    </w:p>
    <w:p>
      <w:pPr>
        <w:pStyle w:val="Heading3"/>
      </w:pPr>
      <w:r>
        <w:t>Part C — Architecture decision and handover (10 minutes)</w:t>
      </w:r>
    </w:p>
    <w:p>
      <w:pPr/>
      <w:r>
        <w:t>Sketch the current App Service → Azure SQL solution and identify where Application Insights/Log Analytics and Cost Management fit. Decide whether Blob Storage is required for supporting documents and whether Service Bus + Functions is justified for asynchronous document processing. State the trade-offs; these are optional enhancements, not required implementations.</w:t>
      </w:r>
    </w:p>
    <w:p>
      <w:pPr/>
      <w:r>
        <w:t>Team deliverable: a one-page architecture decision, cost action list, KQL findings, production-readiness score and top three next actions.</w:t>
      </w:r>
    </w:p>
    <w:p>
      <w:pPr>
        <w:pStyle w:val="Heading3"/>
      </w:pPr>
      <w:r>
        <w:t>Trainer facilitation and fallback</w:t>
      </w:r>
    </w:p>
    <w:p>
      <w:pPr/>
      <w:r>
        <w:t>Prepare a pre-populated monitoring workspace and sample cost export ahead of delivery. If access, ingestion delay or budget permissions block the live exercise, use screenshots/sample results and have learners interpret them. Do not spend the core KQL session troubleshooting network or tenant permissions.</w:t>
      </w:r>
    </w:p>
    <w:p>
      <w:pPr>
        <w:pStyle w:val="Heading1"/>
        <w:keepNext/>
      </w:pPr>
      <w:r>
        <w:t>29. Production Readiness Checklist</w:t>
      </w:r>
    </w:p>
    <w:p>
      <w:r>
        <w:t>Use this checklist during design review and again before production release.</w:t>
      </w:r>
    </w:p>
    <w:p>
      <w:r>
        <w:t>☐  Workload owner and support owner identified.</w:t>
      </w:r>
    </w:p>
    <w:p>
      <w:r>
        <w:t>☐  Region and environment boundaries approved.</w:t>
      </w:r>
    </w:p>
    <w:p>
      <w:r>
        <w:t>☐  App uses appropriate compute and durable external state.</w:t>
      </w:r>
    </w:p>
    <w:p>
      <w:r>
        <w:t>☐  Human and workload identities are documented.</w:t>
      </w:r>
    </w:p>
    <w:p>
      <w:r>
        <w:t>☐  No avoidable long-lived credentials in application configuration.</w:t>
      </w:r>
    </w:p>
    <w:p>
      <w:r>
        <w:t>☐  RBAC/data permissions follow least privilege.</w:t>
      </w:r>
    </w:p>
    <w:p>
      <w:r>
        <w:t>☐  Network exposure is intentional and documented.</w:t>
      </w:r>
    </w:p>
    <w:p>
      <w:r>
        <w:t>☐  Application connectivity to required dependencies verified; platform/network validation recorded if private access is used.</w:t>
      </w:r>
    </w:p>
    <w:p>
      <w:r>
        <w:t>☐  Logs, metrics, traces and alerts are working.</w:t>
      </w:r>
    </w:p>
    <w:p>
      <w:r>
        <w:t>☐  Timeout/retry/idempotency behaviour is defined.</w:t>
      </w:r>
    </w:p>
    <w:p>
      <w:r>
        <w:t>☐  Backup/restore and RTO/RPO approach is documented and tested as required.</w:t>
      </w:r>
    </w:p>
    <w:p>
      <w:r>
        <w:t>☐  Infrastructure is reproducible from version-controlled IaC.</w:t>
      </w:r>
    </w:p>
    <w:p>
      <w:r>
        <w:t>☐  CI/CD uses a dedicated deployment identity.</w:t>
      </w:r>
    </w:p>
    <w:p>
      <w:r>
        <w:t>☐  Security and failure-path tests have evidence.</w:t>
      </w:r>
    </w:p>
    <w:p>
      <w:r>
        <w:t>☐  Cost ownership, tags, budgets/policies are in place.</w:t>
      </w:r>
    </w:p>
    <w:p>
      <w:r>
        <w:t>☐  Runbook and troubleshooting path exist.</w:t>
      </w:r>
    </w:p>
    <w:p>
      <w:r>
        <w:br w:type="page"/>
      </w:r>
    </w:p>
    <w:p>
      <w:pPr>
        <w:pStyle w:val="Heading2"/>
      </w:pPr>
      <w:r>
        <w:t>Day 2 exit checklist — evidence required</w:t>
      </w:r>
    </w:p>
    <w:p>
      <w:pPr/>
      <w:r>
        <w:t>□ I can identify the major cost drivers for App Service, Azure SQL and monitoring, and explain the difference between estimate, actual cost and forecast.</w:t>
      </w:r>
    </w:p>
    <w:p>
      <w:pPr/>
      <w:r>
        <w:t>□ I can describe a budget alert, choose meaningful resource tags and recommend one rightsizing or non-production cost action.</w:t>
      </w:r>
    </w:p>
    <w:p>
      <w:pPr/>
      <w:r>
        <w:t>□ I can distinguish Application Insights from its Log Analytics workspace and run KQL to investigate requests, dependencies and exceptions.</w:t>
      </w:r>
    </w:p>
    <w:p>
      <w:pPr/>
      <w:r>
        <w:t>□ I can explain why missing telemetry is not proof that an application is healthy.</w:t>
      </w:r>
    </w:p>
    <w:p>
      <w:pPr/>
      <w:r>
        <w:t>□ I can explain when Blob Storage and Functions + Service Bus add value without making them mandatory for every solution.</w:t>
      </w:r>
    </w:p>
    <w:p>
      <w:pPr/>
      <w:r>
        <w:t>□ I can justify a production readiness decision with evidence, risks and owners.</w:t>
      </w:r>
    </w:p>
    <w:p>
      <w:pPr>
        <w:pStyle w:val="Heading1"/>
        <w:keepNext/>
      </w:pPr>
      <w:r>
        <w:t>30. Knowledge Check and Architecture Discussion</w:t>
      </w:r>
    </w:p>
    <w:p>
      <w:r>
        <w:t>Use these questions as a learner self-check or trainer-led discussion. The goal is to explain the reasoning, not memorise product names.</w:t>
      </w:r>
    </w:p>
    <w:p>
      <w:pPr>
        <w:pStyle w:val="Heading3"/>
        <w:keepNext/>
      </w:pPr>
      <w:r>
        <w:t>1. Why is App Service preferable to a VM for the Building Society web/API scenario? What requirement could change that choice?</w:t>
      </w:r>
    </w:p>
    <w:p>
      <w:r>
        <w:t>Notes: ____________________________________________________________________________________</w:t>
      </w:r>
    </w:p>
    <w:p>
      <w:pPr>
        <w:pStyle w:val="Heading3"/>
        <w:keepNext/>
      </w:pPr>
      <w:r>
        <w:t>2. Explain the difference between Microsoft Entra ID, an App Registration, a Service Principal and a Managed Identity.</w:t>
      </w:r>
    </w:p>
    <w:p>
      <w:r>
        <w:t>Notes: ____________________________________________________________________________________</w:t>
      </w:r>
    </w:p>
    <w:p>
      <w:pPr>
        <w:pStyle w:val="Heading3"/>
        <w:keepNext/>
      </w:pPr>
      <w:r>
        <w:t>3. Why can Managed Identity authentication succeed while Azure SQL access still fails?</w:t>
      </w:r>
    </w:p>
    <w:p>
      <w:r>
        <w:t>Notes: ____________________________________________________________________________________</w:t>
      </w:r>
    </w:p>
    <w:p>
      <w:pPr>
        <w:pStyle w:val="Heading3"/>
        <w:keepNext/>
      </w:pPr>
      <w:r>
        <w:t>4. At developer level, when might a Private Endpoint matter to your application?</w:t>
      </w:r>
    </w:p>
    <w:p>
      <w:r>
        <w:t>Notes: ____________________________________________________________________________________</w:t>
      </w:r>
    </w:p>
    <w:p>
      <w:pPr>
        <w:pStyle w:val="Heading3"/>
        <w:keepNext/>
      </w:pPr>
      <w:r>
        <w:t>5. Where should uploaded documents be stored and why should they not live on App Service local disk?</w:t>
      </w:r>
    </w:p>
    <w:p>
      <w:r>
        <w:t>Notes: ____________________________________________________________________________________</w:t>
      </w:r>
    </w:p>
    <w:p>
      <w:pPr>
        <w:pStyle w:val="Heading3"/>
        <w:keepNext/>
      </w:pPr>
      <w:r>
        <w:t>6. What evidence would you collect when an API request is slow but returns HTTP 200?</w:t>
      </w:r>
    </w:p>
    <w:p>
      <w:r>
        <w:t>Notes: ____________________________________________________________________________________</w:t>
      </w:r>
    </w:p>
    <w:p>
      <w:pPr>
        <w:pStyle w:val="Heading3"/>
        <w:keepNext/>
      </w:pPr>
      <w:r>
        <w:t>7. Why should CI/CD use a different identity from the application runtime?</w:t>
      </w:r>
    </w:p>
    <w:p>
      <w:r>
        <w:t>Notes: ____________________________________________________________________________________</w:t>
      </w:r>
    </w:p>
    <w:p>
      <w:pPr>
        <w:pStyle w:val="Heading3"/>
        <w:keepNext/>
      </w:pPr>
      <w:r>
        <w:t>8. What changes between DEV and PROD, and what should remain structurally consistent?</w:t>
      </w:r>
    </w:p>
    <w:p>
      <w:r>
        <w:t>Notes: ____________________________________________________________________________________</w:t>
      </w:r>
    </w:p>
    <w:p>
      <w:pPr>
        <w:pStyle w:val="Heading3"/>
        <w:keepNext/>
      </w:pPr>
      <w:r>
        <w:t>9. How would you decide whether retry is safe for a failed operation?</w:t>
      </w:r>
    </w:p>
    <w:p>
      <w:r>
        <w:t>Notes: ____________________________________________________________________________________</w:t>
      </w:r>
    </w:p>
    <w:p>
      <w:pPr>
        <w:pStyle w:val="Heading3"/>
        <w:keepNext/>
      </w:pPr>
      <w:r>
        <w:t>10. What are the first five questions you ask when handed a new .NET application for Azure?</w:t>
      </w:r>
    </w:p>
    <w:p>
      <w:r>
        <w:t>Notes: ____________________________________________________________________________________</w:t>
      </w:r>
    </w:p>
    <w:p>
      <w:r>
        <w:br w:type="page"/>
      </w:r>
    </w:p>
    <w:p>
      <w:pPr>
        <w:pStyle w:val="Heading1"/>
      </w:pPr>
      <w:r>
        <w:t>30A. Architecture Decision Record (ADR) Template</w:t>
      </w:r>
    </w:p>
    <w:p>
      <w:pPr/>
      <w:r>
        <w:t>Use a short ADR for decisions that future engineers will need to understand. The purpose is not bureaucracy; it is to preserve the context and trade-offs that are otherwise lost after the project team changes.</w:t>
      </w:r>
    </w:p>
    <w:p>
      <w:pPr>
        <w:pStyle w:val="Heading2"/>
      </w:pPr>
      <w:r>
        <w:t>ADR template</w:t>
      </w:r>
    </w:p>
    <w:p>
      <w:pPr>
        <w:pStyle w:val="ListBullet"/>
      </w:pPr>
      <w:r>
        <w:t>Title: short description of the decision.</w:t>
      </w:r>
    </w:p>
    <w:p>
      <w:pPr>
        <w:pStyle w:val="ListBullet"/>
      </w:pPr>
      <w:r>
        <w:t>Status: proposed, accepted, superseded or rejected.</w:t>
      </w:r>
    </w:p>
    <w:p>
      <w:pPr>
        <w:pStyle w:val="ListBullet"/>
      </w:pPr>
      <w:r>
        <w:t>Context: requirement, constraint or problem that forced a decision.</w:t>
      </w:r>
    </w:p>
    <w:p>
      <w:pPr>
        <w:pStyle w:val="ListBullet"/>
      </w:pPr>
      <w:r>
        <w:t>Decision: what was chosen and the scope of the decision.</w:t>
      </w:r>
    </w:p>
    <w:p>
      <w:pPr>
        <w:pStyle w:val="ListBullet"/>
      </w:pPr>
      <w:r>
        <w:t>Alternatives considered: realistic options and why they were not selected.</w:t>
      </w:r>
    </w:p>
    <w:p>
      <w:pPr>
        <w:pStyle w:val="ListBullet"/>
      </w:pPr>
      <w:r>
        <w:t>Consequences: benefits, costs, risks and operational implications.</w:t>
      </w:r>
    </w:p>
    <w:p>
      <w:pPr>
        <w:pStyle w:val="ListBullet"/>
      </w:pPr>
      <w:r>
        <w:t>Review date/trigger: when the decision should be reconsidered.</w:t>
      </w:r>
    </w:p>
    <w:p>
      <w:pPr/>
      <w:r>
        <w:t>Example: “Use App Service rather than AKS for the Building Society API because the workload is a conventional .NET HTTP application, the team does not require Kubernetes-level orchestration, and reducing platform operational responsibility is a stated requirement.”</w:t>
      </w:r>
    </w:p>
    <w:p>
      <w:pPr>
        <w:pStyle w:val="Heading1"/>
      </w:pPr>
      <w:r>
        <w:t>30B. Azure Developer Service Selection Cheat Sheet</w:t>
      </w:r>
    </w:p>
    <w:tbl>
      <w:tblPr>
        <w:tblStyle w:val="TableGrid"/>
        <w:tblW w:type="auto" w:w="0"/>
        <w:tblLook w:firstColumn="1" w:firstRow="1" w:lastColumn="0" w:lastRow="0" w:noHBand="0" w:noVBand="1" w:val="04A0"/>
      </w:tblPr>
      <w:tblGrid>
        <w:gridCol w:w="3389"/>
        <w:gridCol w:w="3389"/>
        <w:gridCol w:w="3389"/>
      </w:tblGrid>
      <w:tr>
        <w:tc>
          <w:tcPr>
            <w:tcW w:type="dxa" w:w="3389"/>
          </w:tcPr>
          <w:p>
            <w:r>
              <w:t>Requirement</w:t>
            </w:r>
          </w:p>
        </w:tc>
        <w:tc>
          <w:tcPr>
            <w:tcW w:type="dxa" w:w="3389"/>
          </w:tcPr>
          <w:p>
            <w:r>
              <w:t>Good first service to evaluate</w:t>
            </w:r>
          </w:p>
        </w:tc>
        <w:tc>
          <w:tcPr>
            <w:tcW w:type="dxa" w:w="3389"/>
          </w:tcPr>
          <w:p>
            <w:r>
              <w:t>Key question</w:t>
            </w:r>
          </w:p>
        </w:tc>
      </w:tr>
      <w:tr>
        <w:tc>
          <w:tcPr>
            <w:tcW w:type="dxa" w:w="3389"/>
          </w:tcPr>
          <w:p>
            <w:r>
              <w:t>Conventional .NET web/API</w:t>
            </w:r>
          </w:p>
        </w:tc>
        <w:tc>
          <w:tcPr>
            <w:tcW w:type="dxa" w:w="3389"/>
          </w:tcPr>
          <w:p>
            <w:r>
              <w:t>Azure App Service</w:t>
            </w:r>
          </w:p>
        </w:tc>
        <w:tc>
          <w:tcPr>
            <w:tcW w:type="dxa" w:w="3389"/>
          </w:tcPr>
          <w:p>
            <w:r>
              <w:t>Do we need more runtime/orchestration control than managed web hosting provides?</w:t>
            </w:r>
          </w:p>
        </w:tc>
      </w:tr>
      <w:tr>
        <w:tc>
          <w:tcPr>
            <w:tcW w:type="dxa" w:w="3389"/>
          </w:tcPr>
          <w:p>
            <w:r>
              <w:t>Event-driven code</w:t>
            </w:r>
          </w:p>
        </w:tc>
        <w:tc>
          <w:tcPr>
            <w:tcW w:type="dxa" w:w="3389"/>
          </w:tcPr>
          <w:p>
            <w:r>
              <w:t>Azure Functions</w:t>
            </w:r>
          </w:p>
        </w:tc>
        <w:tc>
          <w:tcPr>
            <w:tcW w:type="dxa" w:w="3389"/>
          </w:tcPr>
          <w:p>
            <w:r>
              <w:t>Is execution naturally triggered and short/independent enough for serverless processing?</w:t>
            </w:r>
          </w:p>
        </w:tc>
      </w:tr>
      <w:tr>
        <w:tc>
          <w:tcPr>
            <w:tcW w:type="dxa" w:w="3389"/>
          </w:tcPr>
          <w:p>
            <w:r>
              <w:t>Containerised application</w:t>
            </w:r>
          </w:p>
        </w:tc>
        <w:tc>
          <w:tcPr>
            <w:tcW w:type="dxa" w:w="3389"/>
          </w:tcPr>
          <w:p>
            <w:r>
              <w:t>Azure Container Apps</w:t>
            </w:r>
          </w:p>
        </w:tc>
        <w:tc>
          <w:tcPr>
            <w:tcW w:type="dxa" w:w="3389"/>
          </w:tcPr>
          <w:p>
            <w:r>
              <w:t>Do we need container packaging without managing Kubernetes?</w:t>
            </w:r>
          </w:p>
        </w:tc>
      </w:tr>
      <w:tr>
        <w:tc>
          <w:tcPr>
            <w:tcW w:type="dxa" w:w="3389"/>
          </w:tcPr>
          <w:p>
            <w:r>
              <w:t>Kubernetes platform</w:t>
            </w:r>
          </w:p>
        </w:tc>
        <w:tc>
          <w:tcPr>
            <w:tcW w:type="dxa" w:w="3389"/>
          </w:tcPr>
          <w:p>
            <w:r>
              <w:t>AKS</w:t>
            </w:r>
          </w:p>
        </w:tc>
        <w:tc>
          <w:tcPr>
            <w:tcW w:type="dxa" w:w="3389"/>
          </w:tcPr>
          <w:p>
            <w:r>
              <w:t>Do requirements justify Kubernetes complexity and operational ownership?</w:t>
            </w:r>
          </w:p>
        </w:tc>
      </w:tr>
      <w:tr>
        <w:tc>
          <w:tcPr>
            <w:tcW w:type="dxa" w:w="3389"/>
          </w:tcPr>
          <w:p>
            <w:r>
              <w:t>Relational transactions</w:t>
            </w:r>
          </w:p>
        </w:tc>
        <w:tc>
          <w:tcPr>
            <w:tcW w:type="dxa" w:w="3389"/>
          </w:tcPr>
          <w:p>
            <w:r>
              <w:t>Azure SQL Database</w:t>
            </w:r>
          </w:p>
        </w:tc>
        <w:tc>
          <w:tcPr>
            <w:tcW w:type="dxa" w:w="3389"/>
          </w:tcPr>
          <w:p>
            <w:r>
              <w:t>Do we need relational consistency, SQL and managed database capabilities?</w:t>
            </w:r>
          </w:p>
        </w:tc>
      </w:tr>
      <w:tr>
        <w:tc>
          <w:tcPr>
            <w:tcW w:type="dxa" w:w="3389"/>
          </w:tcPr>
          <w:p>
            <w:r>
              <w:t>Object/document files</w:t>
            </w:r>
          </w:p>
        </w:tc>
        <w:tc>
          <w:tcPr>
            <w:tcW w:type="dxa" w:w="3389"/>
          </w:tcPr>
          <w:p>
            <w:r>
              <w:t>Azure Blob Storage</w:t>
            </w:r>
          </w:p>
        </w:tc>
        <w:tc>
          <w:tcPr>
            <w:tcW w:type="dxa" w:w="3389"/>
          </w:tcPr>
          <w:p>
            <w:r>
              <w:t>Is the data object/blob content rather than relational rows?</w:t>
            </w:r>
          </w:p>
        </w:tc>
      </w:tr>
      <w:tr>
        <w:tc>
          <w:tcPr>
            <w:tcW w:type="dxa" w:w="3389"/>
          </w:tcPr>
          <w:p>
            <w:r>
              <w:t>Secrets/keys that must exist</w:t>
            </w:r>
          </w:p>
        </w:tc>
        <w:tc>
          <w:tcPr>
            <w:tcW w:type="dxa" w:w="3389"/>
          </w:tcPr>
          <w:p>
            <w:r>
              <w:t>Azure Key Vault</w:t>
            </w:r>
          </w:p>
        </w:tc>
        <w:tc>
          <w:tcPr>
            <w:tcW w:type="dxa" w:w="3389"/>
          </w:tcPr>
          <w:p>
            <w:r>
              <w:t>Can the credential be eliminated with Managed Identity first?</w:t>
            </w:r>
          </w:p>
        </w:tc>
      </w:tr>
      <w:tr>
        <w:tc>
          <w:tcPr>
            <w:tcW w:type="dxa" w:w="3389"/>
          </w:tcPr>
          <w:p>
            <w:r>
              <w:t>API gateway/governance</w:t>
            </w:r>
          </w:p>
        </w:tc>
        <w:tc>
          <w:tcPr>
            <w:tcW w:type="dxa" w:w="3389"/>
          </w:tcPr>
          <w:p>
            <w:r>
              <w:t>API Management</w:t>
            </w:r>
          </w:p>
        </w:tc>
        <w:tc>
          <w:tcPr>
            <w:tcW w:type="dxa" w:w="3389"/>
          </w:tcPr>
          <w:p>
            <w:r>
              <w:t>Do multiple consumers require gateway policies, lifecycle and central API management?</w:t>
            </w:r>
          </w:p>
        </w:tc>
      </w:tr>
      <w:tr>
        <w:tc>
          <w:tcPr>
            <w:tcW w:type="dxa" w:w="3389"/>
          </w:tcPr>
          <w:p>
            <w:r>
              <w:t>Reliable business messaging</w:t>
            </w:r>
          </w:p>
        </w:tc>
        <w:tc>
          <w:tcPr>
            <w:tcW w:type="dxa" w:w="3389"/>
          </w:tcPr>
          <w:p>
            <w:r>
              <w:t>Azure Service Bus</w:t>
            </w:r>
          </w:p>
        </w:tc>
        <w:tc>
          <w:tcPr>
            <w:tcW w:type="dxa" w:w="3389"/>
          </w:tcPr>
          <w:p>
            <w:r>
              <w:t>Should work be decoupled and reliably processed asynchronously?</w:t>
            </w:r>
          </w:p>
        </w:tc>
      </w:tr>
      <w:tr>
        <w:tc>
          <w:tcPr>
            <w:tcW w:type="dxa" w:w="3389"/>
          </w:tcPr>
          <w:p>
            <w:r>
              <w:t>Event distribution</w:t>
            </w:r>
          </w:p>
        </w:tc>
        <w:tc>
          <w:tcPr>
            <w:tcW w:type="dxa" w:w="3389"/>
          </w:tcPr>
          <w:p>
            <w:r>
              <w:t>Azure Event Grid</w:t>
            </w:r>
          </w:p>
        </w:tc>
        <w:tc>
          <w:tcPr>
            <w:tcW w:type="dxa" w:w="3389"/>
          </w:tcPr>
          <w:p>
            <w:r>
              <w:t>Are publishers announcing events to one or more subscribers?</w:t>
            </w:r>
          </w:p>
        </w:tc>
      </w:tr>
      <w:tr>
        <w:tc>
          <w:tcPr>
            <w:tcW w:type="dxa" w:w="3389"/>
          </w:tcPr>
          <w:p>
            <w:r>
              <w:t>Telemetry streaming</w:t>
            </w:r>
          </w:p>
        </w:tc>
        <w:tc>
          <w:tcPr>
            <w:tcW w:type="dxa" w:w="3389"/>
          </w:tcPr>
          <w:p>
            <w:r>
              <w:t>Azure Event Hubs</w:t>
            </w:r>
          </w:p>
        </w:tc>
        <w:tc>
          <w:tcPr>
            <w:tcW w:type="dxa" w:w="3389"/>
          </w:tcPr>
          <w:p>
            <w:r>
              <w:t>Is this high-throughput event/telemetry ingestion?</w:t>
            </w:r>
          </w:p>
        </w:tc>
      </w:tr>
      <w:tr>
        <w:tc>
          <w:tcPr>
            <w:tcW w:type="dxa" w:w="3389"/>
          </w:tcPr>
          <w:p>
            <w:r>
              <w:t>Distributed caching</w:t>
            </w:r>
          </w:p>
        </w:tc>
        <w:tc>
          <w:tcPr>
            <w:tcW w:type="dxa" w:w="3389"/>
          </w:tcPr>
          <w:p>
            <w:r>
              <w:t>Managed Redis option</w:t>
            </w:r>
          </w:p>
        </w:tc>
        <w:tc>
          <w:tcPr>
            <w:tcW w:type="dxa" w:w="3389"/>
          </w:tcPr>
          <w:p>
            <w:r>
              <w:t>Can repeated reads be cached safely with clear expiry/invalidation?</w:t>
            </w:r>
          </w:p>
        </w:tc>
      </w:tr>
      <w:tr>
        <w:tc>
          <w:tcPr>
            <w:tcW w:type="dxa" w:w="3389"/>
          </w:tcPr>
          <w:p>
            <w:r>
              <w:t>Application telemetry</w:t>
            </w:r>
          </w:p>
        </w:tc>
        <w:tc>
          <w:tcPr>
            <w:tcW w:type="dxa" w:w="3389"/>
          </w:tcPr>
          <w:p>
            <w:r>
              <w:t>Application Insights / Azure Monitor</w:t>
            </w:r>
          </w:p>
        </w:tc>
        <w:tc>
          <w:tcPr>
            <w:tcW w:type="dxa" w:w="3389"/>
          </w:tcPr>
          <w:p>
            <w:r>
              <w:t>What evidence will we need when the application fails?</w:t>
            </w:r>
          </w:p>
        </w:tc>
      </w:tr>
    </w:tbl>
    <w:p>
      <w:pPr>
        <w:pStyle w:val="Heading2"/>
      </w:pPr>
      <w:r>
        <w:t>Day 2 additional knowledge check — LBS priorities</w:t>
      </w:r>
    </w:p>
    <w:p>
      <w:pPr/>
      <w:r>
        <w:t>1. A budget reaches 100%. Will Azure automatically stop the App Service? Explain what must be configured separately.</w:t>
      </w:r>
    </w:p>
    <w:p>
      <w:pPr/>
      <w:r>
        <w:t>2. Your Cost Analysis chart shows a rise in monitoring spend. What dimensions and settings would you inspect before reducing retention?</w:t>
      </w:r>
    </w:p>
    <w:p>
      <w:pPr/>
      <w:r>
        <w:t>3. A request returns HTTP 500. Which Application Insights table would you query first, and how would you investigate downstream SQL dependencies?</w:t>
      </w:r>
    </w:p>
    <w:p>
      <w:pPr/>
      <w:r>
        <w:t>4. Your KQL query returns no rows. Name three checks before assuming there were no failures.</w:t>
      </w:r>
    </w:p>
    <w:p>
      <w:pPr/>
      <w:r>
        <w:t>5. A document-processing step takes two minutes. Explain when a queue-triggered Function and Service Bus would be preferable to holding the HTTP request open.</w:t>
      </w:r>
    </w:p>
    <w:p>
      <w:pPr/>
      <w:r>
        <w:t>6. A user uploads a mortgage document. Why might Blob Storage be preferable to storing the file contents directly in Azure SQL? How would you secure access?</w:t>
      </w:r>
    </w:p>
    <w:p>
      <w:pPr/>
      <w:r>
        <w:t>Suggested answers: (1) No—budgets alert, not enforce shutdown. (2) Ingestion volume, table distribution, sampling, retention, workspace pricing and usage patterns. (3) AppRequests, then AppDependencies/AppExceptions and operation correlation. (4) Time range, correct workspace/table, ingestion/configuration, sampling. (5) Decoupling, reliability, retries and user response time, with idempotency. (6) Object storage, lifecycle and scale; use managed identity, scoped RBAC and appropriate access controls.</w:t>
      </w:r>
    </w:p>
    <w:p>
      <w:pPr>
        <w:pStyle w:val="Heading1"/>
      </w:pPr>
      <w:r>
        <w:t>30C. Production Readiness Scorecard</w:t>
      </w:r>
    </w:p>
    <w:p>
      <w:pPr/>
      <w:r>
        <w:t>Use this as a workshop discussion tool, not as a compliance certification. Score each area from 0 (not considered) to 10 (well designed, implemented, tested and evidenced). Any low score should produce an explicit action or accepted risk.</w:t>
      </w:r>
    </w:p>
    <w:tbl>
      <w:tblPr>
        <w:tblStyle w:val="TableGrid"/>
        <w:tblW w:type="auto" w:w="0"/>
        <w:tblLook w:firstColumn="1" w:firstRow="1" w:lastColumn="0" w:lastRow="0" w:noHBand="0" w:noVBand="1" w:val="04A0"/>
      </w:tblPr>
      <w:tblGrid>
        <w:gridCol w:w="3389"/>
        <w:gridCol w:w="3389"/>
        <w:gridCol w:w="3389"/>
      </w:tblGrid>
      <w:tr>
        <w:tc>
          <w:tcPr>
            <w:tcW w:type="dxa" w:w="3389"/>
          </w:tcPr>
          <w:p>
            <w:r>
              <w:t>Area</w:t>
            </w:r>
          </w:p>
        </w:tc>
        <w:tc>
          <w:tcPr>
            <w:tcW w:type="dxa" w:w="3389"/>
          </w:tcPr>
          <w:p>
            <w:r>
              <w:t>Score</w:t>
            </w:r>
          </w:p>
        </w:tc>
        <w:tc>
          <w:tcPr>
            <w:tcW w:type="dxa" w:w="3389"/>
          </w:tcPr>
          <w:p>
            <w:r>
              <w:t>Evidence / action</w:t>
            </w:r>
          </w:p>
        </w:tc>
      </w:tr>
      <w:tr>
        <w:tc>
          <w:tcPr>
            <w:tcW w:type="dxa" w:w="3389"/>
          </w:tcPr>
          <w:p>
            <w:r>
              <w:t>Security</w:t>
            </w:r>
          </w:p>
        </w:tc>
        <w:tc>
          <w:tcPr>
            <w:tcW w:type="dxa" w:w="3389"/>
          </w:tcPr>
          <w:p>
            <w:r>
              <w:t>/10</w:t>
            </w:r>
          </w:p>
        </w:tc>
        <w:tc>
          <w:tcPr>
            <w:tcW w:type="dxa" w:w="3389"/>
          </w:tcPr>
          <w:p>
            <w:r>
              <w:t>Identity, least privilege, secure coding, secrets, data protection.</w:t>
            </w:r>
          </w:p>
        </w:tc>
      </w:tr>
      <w:tr>
        <w:tc>
          <w:tcPr>
            <w:tcW w:type="dxa" w:w="3389"/>
          </w:tcPr>
          <w:p>
            <w:r>
              <w:t>Reliability</w:t>
            </w:r>
          </w:p>
        </w:tc>
        <w:tc>
          <w:tcPr>
            <w:tcW w:type="dxa" w:w="3389"/>
          </w:tcPr>
          <w:p>
            <w:r>
              <w:t>/10</w:t>
            </w:r>
          </w:p>
        </w:tc>
        <w:tc>
          <w:tcPr>
            <w:tcW w:type="dxa" w:w="3389"/>
          </w:tcPr>
          <w:p>
            <w:r>
              <w:t>Failure behaviour, health, backup/recovery, RTO/RPO.</w:t>
            </w:r>
          </w:p>
        </w:tc>
      </w:tr>
      <w:tr>
        <w:tc>
          <w:tcPr>
            <w:tcW w:type="dxa" w:w="3389"/>
          </w:tcPr>
          <w:p>
            <w:r>
              <w:t>Observability</w:t>
            </w:r>
          </w:p>
        </w:tc>
        <w:tc>
          <w:tcPr>
            <w:tcW w:type="dxa" w:w="3389"/>
          </w:tcPr>
          <w:p>
            <w:r>
              <w:t>/10</w:t>
            </w:r>
          </w:p>
        </w:tc>
        <w:tc>
          <w:tcPr>
            <w:tcW w:type="dxa" w:w="3389"/>
          </w:tcPr>
          <w:p>
            <w:r>
              <w:t>Logs, metrics, traces, alerts, correlation, support evidence.</w:t>
            </w:r>
          </w:p>
        </w:tc>
      </w:tr>
      <w:tr>
        <w:tc>
          <w:tcPr>
            <w:tcW w:type="dxa" w:w="3389"/>
          </w:tcPr>
          <w:p>
            <w:r>
              <w:t>Cost</w:t>
            </w:r>
          </w:p>
        </w:tc>
        <w:tc>
          <w:tcPr>
            <w:tcW w:type="dxa" w:w="3389"/>
          </w:tcPr>
          <w:p>
            <w:r>
              <w:t>/10</w:t>
            </w:r>
          </w:p>
        </w:tc>
        <w:tc>
          <w:tcPr>
            <w:tcW w:type="dxa" w:w="3389"/>
          </w:tcPr>
          <w:p>
            <w:r>
              <w:t>Right-sizing, budgets, retention, environment strategy, ownership.</w:t>
            </w:r>
          </w:p>
        </w:tc>
      </w:tr>
      <w:tr>
        <w:tc>
          <w:tcPr>
            <w:tcW w:type="dxa" w:w="3389"/>
          </w:tcPr>
          <w:p>
            <w:r>
              <w:t>Automation</w:t>
            </w:r>
          </w:p>
        </w:tc>
        <w:tc>
          <w:tcPr>
            <w:tcW w:type="dxa" w:w="3389"/>
          </w:tcPr>
          <w:p>
            <w:r>
              <w:t>/10</w:t>
            </w:r>
          </w:p>
        </w:tc>
        <w:tc>
          <w:tcPr>
            <w:tcW w:type="dxa" w:w="3389"/>
          </w:tcPr>
          <w:p>
            <w:r>
              <w:t>IaC, repeatable deployment, CI/CD controls, rollback/recovery.</w:t>
            </w:r>
          </w:p>
        </w:tc>
      </w:tr>
    </w:tbl>
    <w:p>
      <w:pPr/>
      <w:r>
        <w:t>Workshop question: if the Building Society application scores 9/10 for automation but 3/10 for observability, should it be considered production-ready? The scorecard encourages balanced engineering rather than optimising one dimension in isolation.</w:t>
      </w:r>
    </w:p>
    <w:p>
      <w:pPr>
        <w:pStyle w:val="Heading2"/>
      </w:pPr>
      <w:r>
        <w:t>LBS Priority References — Microsoft Learn</w:t>
      </w:r>
    </w:p>
    <w:p>
      <w:pPr/>
      <w:r>
        <w:t>The following links are intended for the learner to continue after the workshop; service behaviour, prices and portal labels can change.</w:t>
      </w:r>
    </w:p>
    <w:p>
      <w:pPr/>
      <w:r/>
      <w:hyperlink r:id="rId42">
        <w:r>
          <w:rPr>
            <w:color w:val="0563C1"/>
            <w:u w:val="single"/>
          </w:rPr>
          <w:t>Microsoft Cost Management overview</w:t>
        </w:r>
      </w:hyperlink>
    </w:p>
    <w:p>
      <w:pPr/>
      <w:r/>
      <w:hyperlink r:id="rId43">
        <w:r>
          <w:rPr>
            <w:color w:val="0563C1"/>
            <w:u w:val="single"/>
          </w:rPr>
          <w:t>Cost Analysis overview</w:t>
        </w:r>
      </w:hyperlink>
    </w:p>
    <w:p>
      <w:pPr/>
      <w:r/>
      <w:hyperlink r:id="rId44">
        <w:r>
          <w:rPr>
            <w:color w:val="0563C1"/>
            <w:u w:val="single"/>
          </w:rPr>
          <w:t>Azure Pricing Calculator</w:t>
        </w:r>
      </w:hyperlink>
    </w:p>
    <w:p>
      <w:pPr/>
      <w:r/>
      <w:hyperlink r:id="rId45">
        <w:r>
          <w:rPr>
            <w:color w:val="0563C1"/>
            <w:u w:val="single"/>
          </w:rPr>
          <w:t>Azure Monitor Logs and KQL</w:t>
        </w:r>
      </w:hyperlink>
    </w:p>
    <w:p>
      <w:pPr/>
      <w:r/>
      <w:hyperlink r:id="rId46">
        <w:r>
          <w:rPr>
            <w:color w:val="0563C1"/>
            <w:u w:val="single"/>
          </w:rPr>
          <w:t>Application Insights overview</w:t>
        </w:r>
      </w:hyperlink>
    </w:p>
    <w:p>
      <w:pPr/>
      <w:r/>
      <w:hyperlink r:id="rId47">
        <w:r>
          <w:rPr>
            <w:color w:val="0563C1"/>
            <w:u w:val="single"/>
          </w:rPr>
          <w:t>KQL quick reference</w:t>
        </w:r>
      </w:hyperlink>
    </w:p>
    <w:p>
      <w:pPr/>
      <w:r/>
      <w:hyperlink r:id="rId48">
        <w:r>
          <w:rPr>
            <w:color w:val="0563C1"/>
            <w:u w:val="single"/>
          </w:rPr>
          <w:t>Azure Functions overview</w:t>
        </w:r>
      </w:hyperlink>
    </w:p>
    <w:p>
      <w:pPr/>
      <w:r/>
      <w:hyperlink r:id="rId49">
        <w:r>
          <w:rPr>
            <w:color w:val="0563C1"/>
            <w:u w:val="single"/>
          </w:rPr>
          <w:t>Azure Service Bus overview</w:t>
        </w:r>
      </w:hyperlink>
    </w:p>
    <w:p>
      <w:pPr/>
      <w:r/>
      <w:hyperlink r:id="rId50">
        <w:r>
          <w:rPr>
            <w:color w:val="0563C1"/>
            <w:u w:val="single"/>
          </w:rPr>
          <w:t>Azure Blob Storage introduction</w:t>
        </w:r>
      </w:hyperlink>
    </w:p>
    <w:p>
      <w:pPr>
        <w:pStyle w:val="Heading1"/>
        <w:keepNext/>
      </w:pPr>
      <w:r>
        <w:t>31. Microsoft Learning References</w:t>
      </w:r>
    </w:p>
    <w:p>
      <w:r>
        <w:t>Use Microsoft Learn and the Azure Architecture Center as the primary source for platform-specific guidance. Product behaviour and recommended patterns evolve, so verify implementation details against current documentation before production use.</w:t>
      </w:r>
    </w:p>
    <w:p>
      <w:pPr>
        <w:pStyle w:val="ListBullet"/>
        <w:ind w:left="317" w:hanging="173"/>
      </w:pPr>
      <w:hyperlink r:id="rId20">
        <w:r>
          <w:rPr>
            <w:color w:val="0563C1"/>
            <w:u w:val="single"/>
            <w:rFonts w:ascii="Verdana" w:hAnsi="Verdana"/>
          </w:rPr>
          <w:t>Azure Architecture Center</w:t>
        </w:r>
      </w:hyperlink>
    </w:p>
    <w:p>
      <w:pPr>
        <w:pStyle w:val="ListBullet"/>
        <w:ind w:left="317" w:hanging="173"/>
      </w:pPr>
      <w:hyperlink r:id="rId21">
        <w:r>
          <w:rPr>
            <w:color w:val="0563C1"/>
            <w:u w:val="single"/>
            <w:rFonts w:ascii="Verdana" w:hAnsi="Verdana"/>
          </w:rPr>
          <w:t>Azure Well-Architected Framework</w:t>
        </w:r>
      </w:hyperlink>
    </w:p>
    <w:p>
      <w:pPr>
        <w:pStyle w:val="ListBullet"/>
        <w:ind w:left="317" w:hanging="173"/>
      </w:pPr>
      <w:hyperlink r:id="rId22">
        <w:r>
          <w:rPr>
            <w:color w:val="0563C1"/>
            <w:u w:val="single"/>
            <w:rFonts w:ascii="Verdana" w:hAnsi="Verdana"/>
          </w:rPr>
          <w:t>Azure App Service documentation</w:t>
        </w:r>
      </w:hyperlink>
    </w:p>
    <w:p>
      <w:pPr>
        <w:pStyle w:val="ListBullet"/>
        <w:ind w:left="317" w:hanging="173"/>
      </w:pPr>
      <w:hyperlink r:id="rId23">
        <w:r>
          <w:rPr>
            <w:color w:val="0563C1"/>
            <w:u w:val="single"/>
            <w:rFonts w:ascii="Verdana" w:hAnsi="Verdana"/>
          </w:rPr>
          <w:t>Microsoft Entra documentation</w:t>
        </w:r>
      </w:hyperlink>
    </w:p>
    <w:p>
      <w:pPr>
        <w:pStyle w:val="ListBullet"/>
        <w:ind w:left="317" w:hanging="173"/>
      </w:pPr>
      <w:hyperlink r:id="rId24">
        <w:r>
          <w:rPr>
            <w:color w:val="0563C1"/>
            <w:u w:val="single"/>
            <w:rFonts w:ascii="Verdana" w:hAnsi="Verdana"/>
          </w:rPr>
          <w:t>Azure SQL documentation</w:t>
        </w:r>
      </w:hyperlink>
    </w:p>
    <w:p>
      <w:pPr>
        <w:pStyle w:val="ListBullet"/>
        <w:ind w:left="317" w:hanging="173"/>
      </w:pPr>
      <w:hyperlink r:id="rId25">
        <w:r>
          <w:rPr>
            <w:color w:val="0563C1"/>
            <w:u w:val="single"/>
            <w:rFonts w:ascii="Verdana" w:hAnsi="Verdana"/>
          </w:rPr>
          <w:t>Azure Monitor and Application Insights documentation</w:t>
        </w:r>
      </w:hyperlink>
    </w:p>
    <w:p>
      <w:pPr>
        <w:pStyle w:val="ListBullet"/>
        <w:ind w:left="317" w:hanging="173"/>
      </w:pPr>
      <w:hyperlink r:id="rId26">
        <w:r>
          <w:rPr>
            <w:color w:val="0563C1"/>
            <w:u w:val="single"/>
            <w:rFonts w:ascii="Verdana" w:hAnsi="Verdana"/>
          </w:rPr>
          <w:t>Bicep documentation</w:t>
        </w:r>
      </w:hyperlink>
    </w:p>
    <w:p>
      <w:pPr>
        <w:pStyle w:val="ListBullet"/>
      </w:pPr>
      <w:hyperlink r:id="rId28">
        <w:r>
          <w:rPr>
            <w:color w:val="0563C1"/>
            <w:u w:val="single"/>
            <w:rFonts w:ascii="Verdana" w:hAnsi="Verdana"/>
          </w:rPr>
          <w:t>Managed identities for Azure resources - developer guidance</w:t>
        </w:r>
      </w:hyperlink>
    </w:p>
    <w:p>
      <w:pPr>
        <w:pStyle w:val="ListBullet"/>
      </w:pPr>
      <w:hyperlink r:id="rId29">
        <w:r>
          <w:rPr>
            <w:color w:val="0563C1"/>
            <w:u w:val="single"/>
            <w:rFonts w:ascii="Verdana" w:hAnsi="Verdana"/>
          </w:rPr>
          <w:t>Basic web application architecture on Azure App Service</w:t>
        </w:r>
      </w:hyperlink>
    </w:p>
    <w:p>
      <w:r>
        <w:t xml:space="preserve">Course reference: </w:t>
      </w:r>
      <w:hyperlink r:id="rId27">
        <w:r>
          <w:rPr>
            <w:color w:val="0563C1"/>
            <w:u w:val="single"/>
            <w:rFonts w:ascii="Verdana" w:hAnsi="Verdana"/>
          </w:rPr>
          <w:t>Securely connect .NET App Service to Azure SQL using Managed Identity</w:t>
        </w:r>
      </w:hyperlink>
    </w:p>
    <w:p>
      <w:pPr/>
      <w:hyperlink r:id="rId30">
        <w:r>
          <w:rPr>
            <w:color w:val="0563C1"/>
            <w:u w:val="single"/>
          </w:rPr>
          <w:t>GitHub Copilot for Azure — Overview (Microsoft Learn)</w:t>
        </w:r>
      </w:hyperlink>
    </w:p>
    <w:p>
      <w:pPr/>
      <w:hyperlink r:id="rId31">
        <w:r>
          <w:rPr>
            <w:color w:val="0563C1"/>
            <w:u w:val="single"/>
          </w:rPr>
          <w:t>GitHub Copilot for Azure — Get started (Microsoft Learn)</w:t>
        </w:r>
      </w:hyperlink>
    </w:p>
    <w:p>
      <w:pPr/>
      <w:hyperlink r:id="rId32">
        <w:r>
          <w:rPr>
            <w:color w:val="0563C1"/>
            <w:u w:val="single"/>
          </w:rPr>
          <w:t>GitHub Copilot — Code review (GitHub Docs)</w:t>
        </w:r>
      </w:hyperlink>
    </w:p>
    <w:p>
      <w:pPr/>
      <w:hyperlink r:id="rId33">
        <w:r>
          <w:rPr>
            <w:color w:val="0563C1"/>
            <w:u w:val="single"/>
          </w:rPr>
          <w:t>Azure landing zones - Cloud Adoption Framework</w:t>
        </w:r>
      </w:hyperlink>
    </w:p>
    <w:p>
      <w:pPr/>
      <w:hyperlink r:id="rId34">
        <w:r>
          <w:rPr>
            <w:color w:val="0563C1"/>
            <w:u w:val="single"/>
          </w:rPr>
          <w:t>Azure API Management documentation</w:t>
        </w:r>
      </w:hyperlink>
    </w:p>
    <w:p>
      <w:pPr/>
      <w:hyperlink r:id="rId35">
        <w:r>
          <w:rPr>
            <w:color w:val="0563C1"/>
            <w:u w:val="single"/>
          </w:rPr>
          <w:t>Azure messaging services comparison</w:t>
        </w:r>
      </w:hyperlink>
    </w:p>
    <w:p>
      <w:pPr/>
      <w:hyperlink r:id="rId36">
        <w:r>
          <w:rPr>
            <w:color w:val="0563C1"/>
            <w:u w:val="single"/>
          </w:rPr>
          <w:t>Azure Service Bus documentation</w:t>
        </w:r>
      </w:hyperlink>
    </w:p>
    <w:p>
      <w:pPr/>
      <w:hyperlink r:id="rId37">
        <w:r>
          <w:rPr>
            <w:color w:val="0563C1"/>
            <w:u w:val="single"/>
          </w:rPr>
          <w:t>Azure Managed Redis documentation</w:t>
        </w:r>
      </w:hyperlink>
    </w:p>
    <w:p>
      <w:pPr/>
      <w:hyperlink r:id="rId38">
        <w:r>
          <w:rPr>
            <w:color w:val="0563C1"/>
            <w:u w:val="single"/>
          </w:rPr>
          <w:t>Microsoft Cloud Security Benchmark - DevOps security</w:t>
        </w:r>
      </w:hyperlink>
    </w:p>
    <w:p>
      <w:pPr/>
      <w:hyperlink r:id="rId39">
        <w:r>
          <w:rPr>
            <w:color w:val="0563C1"/>
            <w:u w:val="single"/>
          </w:rPr>
          <w:t>Microsoft Cost Management documentation</w:t>
        </w:r>
      </w:hyperlink>
    </w:p>
    <w:p>
      <w:pPr/>
      <w:hyperlink r:id="rId40">
        <w:r>
          <w:rPr>
            <w:color w:val="0563C1"/>
            <w:u w:val="single"/>
          </w:rPr>
          <w:t>Microsoft Fabric documentation</w:t>
        </w:r>
      </w:hyperlink>
    </w:p>
    <w:p>
      <w:pPr/>
      <w:hyperlink r:id="rId41">
        <w:r>
          <w:rPr>
            <w:color w:val="0563C1"/>
            <w:u w:val="single"/>
          </w:rPr>
          <w:t>Architecture Decision Records guidance - Azure Architecture Center</w:t>
        </w:r>
      </w:hyperlink>
    </w:p>
    <w:p>
      <w:r>
        <w:br w:type="page"/>
      </w:r>
    </w:p>
    <w:p>
      <w:pPr>
        <w:pStyle w:val="Heading1"/>
      </w:pPr>
      <w:r>
        <w:t>Appendix — Guided Lab: Azure Storage Account and Blob Storage</w:t>
      </w:r>
    </w:p>
    <w:p>
      <w:r>
        <w:t>LBS Azure Cloud Architecture Fundamentals for Developers | 30–40 minutes | Beginner</w:t>
      </w:r>
    </w:p>
    <w:p>
      <w:r>
        <w:t>Scenario: The Building Society application stores customer supporting documents such as application forms and uploaded evidence. Use fictitious files only; never upload real customer data to the training subscription.</w:t>
      </w:r>
    </w:p>
    <w:p>
      <w:pPr>
        <w:pStyle w:val="Heading2"/>
      </w:pPr>
      <w:r>
        <w:t>Learning outcomes</w:t>
      </w:r>
    </w:p>
    <w:p>
      <w:pPr>
        <w:pStyle w:val="ListBullet"/>
      </w:pPr>
      <w:r>
        <w:t>Explain what Azure Storage is and why Blob Storage suits unstructured documents.</w:t>
      </w:r>
    </w:p>
    <w:p>
      <w:pPr>
        <w:pStyle w:val="ListBullet"/>
      </w:pPr>
      <w:r>
        <w:t>Create and configure a Storage Account with cost, security and resilience in mind.</w:t>
      </w:r>
    </w:p>
    <w:p>
      <w:pPr>
        <w:pStyle w:val="ListBullet"/>
      </w:pPr>
      <w:r>
        <w:t>Create a private container, upload and verify a sample file.</w:t>
      </w:r>
    </w:p>
    <w:p>
      <w:pPr>
        <w:pStyle w:val="ListBullet"/>
      </w:pPr>
      <w:r>
        <w:t>Justify access tier, redundancy, networking and authentication choices.</w:t>
      </w:r>
    </w:p>
    <w:p>
      <w:pPr>
        <w:pStyle w:val="Heading2"/>
      </w:pPr>
      <w:r>
        <w:t>1. What is Azure Storage?</w:t>
      </w:r>
    </w:p>
    <w:p>
      <w:r>
        <w:t>A Storage Account provides a unique Azure namespace for storage services. Blob Storage stores unstructured objects such as PDFs, images and backups. Azure Files provides file shares; Queue Storage supports simple messages; Table Storage provides a NoSQL key/value-oriented service.</w:t>
      </w:r>
    </w:p>
    <w:p>
      <w:r>
        <w:t>Hierarchy: Storage Account (stordemo2026) → private Blob container (customer-documents) → blobs (application.pdf, identity-document.jpg).</w:t>
      </w:r>
    </w:p>
    <w:p>
      <w:pPr>
        <w:pStyle w:val="Heading2"/>
      </w:pPr>
      <w:r>
        <w:t>2. Create the Storage Account — Azure portal</w:t>
      </w:r>
    </w:p>
    <w:p>
      <w:pPr>
        <w:pStyle w:val="ListNumber"/>
      </w:pPr>
      <w:r>
        <w:t>Sign in at https://portal.azure.com.</w:t>
      </w:r>
    </w:p>
    <w:p>
      <w:pPr>
        <w:pStyle w:val="ListNumber"/>
      </w:pPr>
      <w:r>
        <w:t>Search for Storage accounts and select Create.</w:t>
      </w:r>
    </w:p>
    <w:p>
      <w:pPr>
        <w:pStyle w:val="ListNumber"/>
      </w:pPr>
      <w:r>
        <w:t>On Basics, choose the training subscription and instructor-approved resource group (do not assume it is named Training).</w:t>
      </w:r>
    </w:p>
    <w:p>
      <w:pPr>
        <w:pStyle w:val="ListNumber"/>
      </w:pPr>
      <w:r>
        <w:t>Enter a globally unique storage account name (3–24 lowercase letters and digits), e.g. stordemo2026 if available.</w:t>
      </w:r>
    </w:p>
    <w:p>
      <w:pPr>
        <w:pStyle w:val="ListNumber"/>
      </w:pPr>
      <w:r>
        <w:t>Choose the approved region (the supplied example shows East US).</w:t>
      </w:r>
    </w:p>
    <w:p>
      <w:pPr>
        <w:pStyle w:val="ListNumber"/>
      </w:pPr>
      <w:r>
        <w:t>Choose Standard performance; choose LRS for the low-cost lab unless your organisation requires another redundancy option.</w:t>
      </w:r>
    </w:p>
    <w:p>
      <w:pPr>
        <w:pStyle w:val="ListNumber"/>
      </w:pPr>
      <w:r>
        <w:t>Complete Advanced, Networking, Data protection, Security, Encryption and Tags using the decision notes below.</w:t>
      </w:r>
    </w:p>
    <w:p>
      <w:pPr>
        <w:pStyle w:val="ListNumber"/>
      </w:pPr>
      <w:r>
        <w:t>Select Review + create, inspect the configuration, then Create. When deployment succeeds, select Go to resource.</w:t>
      </w:r>
    </w:p>
    <w:p>
      <w:pPr>
        <w:pStyle w:val="Heading2"/>
      </w:pPr>
      <w:r>
        <w:t>3. Basics — choose region, performance and replication</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t>Setting</w:t>
            </w:r>
          </w:p>
        </w:tc>
        <w:tc>
          <w:tcPr>
            <w:tcW w:type="dxa" w:w="3389"/>
          </w:tcPr>
          <w:p>
            <w:r>
              <w:t>Lab choice</w:t>
            </w:r>
          </w:p>
        </w:tc>
        <w:tc>
          <w:tcPr>
            <w:tcW w:type="dxa" w:w="3389"/>
          </w:tcPr>
          <w:p>
            <w:r>
              <w:t>Why / decision</w:t>
            </w:r>
          </w:p>
        </w:tc>
      </w:tr>
      <w:tr>
        <w:tc>
          <w:tcPr>
            <w:tcW w:type="dxa" w:w="3389"/>
          </w:tcPr>
          <w:p>
            <w:r>
              <w:t>Subscription / resource group</w:t>
            </w:r>
          </w:p>
        </w:tc>
        <w:tc>
          <w:tcPr>
            <w:tcW w:type="dxa" w:w="3389"/>
          </w:tcPr>
          <w:p>
            <w:r>
              <w:t>Training subscription / Training</w:t>
            </w:r>
          </w:p>
        </w:tc>
        <w:tc>
          <w:tcPr>
            <w:tcW w:type="dxa" w:w="3389"/>
          </w:tcPr>
          <w:p>
            <w:r>
              <w:t>Billing, permissions, organisation and cleanup</w:t>
            </w:r>
          </w:p>
        </w:tc>
      </w:tr>
      <w:tr>
        <w:tc>
          <w:tcPr>
            <w:tcW w:type="dxa" w:w="3389"/>
          </w:tcPr>
          <w:p>
            <w:r>
              <w:t>Region</w:t>
            </w:r>
          </w:p>
        </w:tc>
        <w:tc>
          <w:tcPr>
            <w:tcW w:type="dxa" w:w="3389"/>
          </w:tcPr>
          <w:p>
            <w:r>
              <w:t>Approved training region</w:t>
            </w:r>
          </w:p>
        </w:tc>
        <w:tc>
          <w:tcPr>
            <w:tcW w:type="dxa" w:w="3389"/>
          </w:tcPr>
          <w:p>
            <w:r>
              <w:t>Data residency, latency, service availability and price</w:t>
            </w:r>
          </w:p>
        </w:tc>
      </w:tr>
      <w:tr>
        <w:tc>
          <w:tcPr>
            <w:tcW w:type="dxa" w:w="3389"/>
          </w:tcPr>
          <w:p>
            <w:r>
              <w:t>Performance</w:t>
            </w:r>
          </w:p>
        </w:tc>
        <w:tc>
          <w:tcPr>
            <w:tcW w:type="dxa" w:w="3389"/>
          </w:tcPr>
          <w:p>
            <w:r>
              <w:t>Standard</w:t>
            </w:r>
          </w:p>
        </w:tc>
        <w:tc>
          <w:tcPr>
            <w:tcW w:type="dxa" w:w="3389"/>
          </w:tcPr>
          <w:p>
            <w:r>
              <w:t>Appropriate for ordinary document storage</w:t>
            </w:r>
          </w:p>
        </w:tc>
      </w:tr>
      <w:tr>
        <w:tc>
          <w:tcPr>
            <w:tcW w:type="dxa" w:w="3389"/>
          </w:tcPr>
          <w:p>
            <w:r>
              <w:t>Replication</w:t>
            </w:r>
          </w:p>
        </w:tc>
        <w:tc>
          <w:tcPr>
            <w:tcW w:type="dxa" w:w="3389"/>
          </w:tcPr>
          <w:p>
            <w:r>
              <w:t>LRS</w:t>
            </w:r>
          </w:p>
        </w:tc>
        <w:tc>
          <w:tcPr>
            <w:tcW w:type="dxa" w:w="3389"/>
          </w:tcPr>
          <w:p>
            <w:r>
              <w:t>Generally lowest-cost redundancy; not a substitute for backup</w:t>
            </w:r>
          </w:p>
        </w:tc>
      </w:tr>
    </w:tbl>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t>Redundancy</w:t>
            </w:r>
          </w:p>
        </w:tc>
        <w:tc>
          <w:tcPr>
            <w:tcW w:type="dxa" w:w="3389"/>
          </w:tcPr>
          <w:p>
            <w:r>
              <w:t>What it provides</w:t>
            </w:r>
          </w:p>
        </w:tc>
        <w:tc>
          <w:tcPr>
            <w:tcW w:type="dxa" w:w="3389"/>
          </w:tcPr>
          <w:p>
            <w:r>
              <w:t>Consideration</w:t>
            </w:r>
          </w:p>
        </w:tc>
      </w:tr>
      <w:tr>
        <w:tc>
          <w:tcPr>
            <w:tcW w:type="dxa" w:w="3389"/>
          </w:tcPr>
          <w:p>
            <w:r>
              <w:t>LRS</w:t>
            </w:r>
          </w:p>
        </w:tc>
        <w:tc>
          <w:tcPr>
            <w:tcW w:type="dxa" w:w="3389"/>
          </w:tcPr>
          <w:p>
            <w:r>
              <w:t>Multiple copies within a single datacentre</w:t>
            </w:r>
          </w:p>
        </w:tc>
        <w:tc>
          <w:tcPr>
            <w:tcW w:type="dxa" w:w="3389"/>
          </w:tcPr>
          <w:p>
            <w:r>
              <w:t>Lowest-cost common option; no zone/geo redundancy</w:t>
            </w:r>
          </w:p>
        </w:tc>
      </w:tr>
      <w:tr>
        <w:tc>
          <w:tcPr>
            <w:tcW w:type="dxa" w:w="3389"/>
          </w:tcPr>
          <w:p>
            <w:r>
              <w:t>ZRS</w:t>
            </w:r>
          </w:p>
        </w:tc>
        <w:tc>
          <w:tcPr>
            <w:tcW w:type="dxa" w:w="3389"/>
          </w:tcPr>
          <w:p>
            <w:r>
              <w:t>Copies across availability zones in a region</w:t>
            </w:r>
          </w:p>
        </w:tc>
        <w:tc>
          <w:tcPr>
            <w:tcW w:type="dxa" w:w="3389"/>
          </w:tcPr>
          <w:p>
            <w:r>
              <w:t>Zone-failure resilience where supported</w:t>
            </w:r>
          </w:p>
        </w:tc>
      </w:tr>
      <w:tr>
        <w:tc>
          <w:tcPr>
            <w:tcW w:type="dxa" w:w="3389"/>
          </w:tcPr>
          <w:p>
            <w:r>
              <w:t>GRS</w:t>
            </w:r>
          </w:p>
        </w:tc>
        <w:tc>
          <w:tcPr>
            <w:tcW w:type="dxa" w:w="3389"/>
          </w:tcPr>
          <w:p>
            <w:r>
              <w:t>Asynchronous replication to paired region</w:t>
            </w:r>
          </w:p>
        </w:tc>
        <w:tc>
          <w:tcPr>
            <w:tcW w:type="dxa" w:w="3389"/>
          </w:tcPr>
          <w:p>
            <w:r>
              <w:t>Higher cost; secondary read not normally exposed</w:t>
            </w:r>
          </w:p>
        </w:tc>
      </w:tr>
      <w:tr>
        <w:tc>
          <w:tcPr>
            <w:tcW w:type="dxa" w:w="3389"/>
          </w:tcPr>
          <w:p>
            <w:r>
              <w:t>RA-GRS</w:t>
            </w:r>
          </w:p>
        </w:tc>
        <w:tc>
          <w:tcPr>
            <w:tcW w:type="dxa" w:w="3389"/>
          </w:tcPr>
          <w:p>
            <w:r>
              <w:t>GRS plus secondary read access</w:t>
            </w:r>
          </w:p>
        </w:tc>
        <w:tc>
          <w:tcPr>
            <w:tcW w:type="dxa" w:w="3389"/>
          </w:tcPr>
          <w:p>
            <w:r>
              <w:t>More expensive; secondary read is not automatic failover</w:t>
            </w:r>
          </w:p>
        </w:tc>
      </w:tr>
      <w:tr>
        <w:tc>
          <w:tcPr>
            <w:tcW w:type="dxa" w:w="3389"/>
          </w:tcPr>
          <w:p>
            <w:r>
              <w:t>GZRS / RA-GZRS</w:t>
            </w:r>
          </w:p>
        </w:tc>
        <w:tc>
          <w:tcPr>
            <w:tcW w:type="dxa" w:w="3389"/>
          </w:tcPr>
          <w:p>
            <w:r>
              <w:t>Zone plus geo replication</w:t>
            </w:r>
          </w:p>
        </w:tc>
        <w:tc>
          <w:tcPr>
            <w:tcW w:type="dxa" w:w="3389"/>
          </w:tcPr>
          <w:p>
            <w:r>
              <w:t>Use for justified resilience requirements</w:t>
            </w:r>
          </w:p>
        </w:tc>
      </w:tr>
    </w:tbl>
    <w:p>
      <w:r>
        <w:t>Screenshot note: the supplied Review + create screen selects RA-GRS. For this training lab, LRS is usually sufficient. For production, follow documented recovery objectives and data-residency requirements.</w:t>
      </w:r>
    </w:p>
    <w:p>
      <w:pPr>
        <w:pStyle w:val="Heading2"/>
      </w:pPr>
      <w:r>
        <w:t>4. Advanced — namespace, protocols and access tier</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t>Setting</w:t>
            </w:r>
          </w:p>
        </w:tc>
        <w:tc>
          <w:tcPr>
            <w:tcW w:type="dxa" w:w="3389"/>
          </w:tcPr>
          <w:p>
            <w:r>
              <w:t>Suggested lab choice</w:t>
            </w:r>
          </w:p>
        </w:tc>
        <w:tc>
          <w:tcPr>
            <w:tcW w:type="dxa" w:w="3389"/>
          </w:tcPr>
          <w:p>
            <w:r>
              <w:t>Explanation</w:t>
            </w:r>
          </w:p>
        </w:tc>
      </w:tr>
      <w:tr>
        <w:tc>
          <w:tcPr>
            <w:tcW w:type="dxa" w:w="3389"/>
          </w:tcPr>
          <w:p>
            <w:r>
              <w:t>Hierarchical namespace</w:t>
            </w:r>
          </w:p>
        </w:tc>
        <w:tc>
          <w:tcPr>
            <w:tcW w:type="dxa" w:w="3389"/>
          </w:tcPr>
          <w:p>
            <w:r>
              <w:t>Disabled</w:t>
            </w:r>
          </w:p>
        </w:tc>
        <w:tc>
          <w:tcPr>
            <w:tcW w:type="dxa" w:w="3389"/>
          </w:tcPr>
          <w:p>
            <w:r>
              <w:t>Enable for ADLS Gen2 analytics/directory semantics, not needed for simple Blob document storage</w:t>
            </w:r>
          </w:p>
        </w:tc>
      </w:tr>
      <w:tr>
        <w:tc>
          <w:tcPr>
            <w:tcW w:type="dxa" w:w="3389"/>
          </w:tcPr>
          <w:p>
            <w:r>
              <w:t>SFTP</w:t>
            </w:r>
          </w:p>
        </w:tc>
        <w:tc>
          <w:tcPr>
            <w:tcW w:type="dxa" w:w="3389"/>
          </w:tcPr>
          <w:p>
            <w:r>
              <w:t>Disabled</w:t>
            </w:r>
          </w:p>
        </w:tc>
        <w:tc>
          <w:tcPr>
            <w:tcW w:type="dxa" w:w="3389"/>
          </w:tcPr>
          <w:p>
            <w:r>
              <w:t>Only enable for an SFTP integration</w:t>
            </w:r>
          </w:p>
        </w:tc>
      </w:tr>
      <w:tr>
        <w:tc>
          <w:tcPr>
            <w:tcW w:type="dxa" w:w="3389"/>
          </w:tcPr>
          <w:p>
            <w:r>
              <w:t>NFS v3</w:t>
            </w:r>
          </w:p>
        </w:tc>
        <w:tc>
          <w:tcPr>
            <w:tcW w:type="dxa" w:w="3389"/>
          </w:tcPr>
          <w:p>
            <w:r>
              <w:t>Disabled</w:t>
            </w:r>
          </w:p>
        </w:tc>
        <w:tc>
          <w:tcPr>
            <w:tcW w:type="dxa" w:w="3389"/>
          </w:tcPr>
          <w:p>
            <w:r>
              <w:t>Not needed for this .NET document example</w:t>
            </w:r>
          </w:p>
        </w:tc>
      </w:tr>
      <w:tr>
        <w:tc>
          <w:tcPr>
            <w:tcW w:type="dxa" w:w="3389"/>
          </w:tcPr>
          <w:p>
            <w:r>
              <w:t>Cross-tenant replication</w:t>
            </w:r>
          </w:p>
        </w:tc>
        <w:tc>
          <w:tcPr>
            <w:tcW w:type="dxa" w:w="3389"/>
          </w:tcPr>
          <w:p>
            <w:r>
              <w:t>Disabled</w:t>
            </w:r>
          </w:p>
        </w:tc>
        <w:tc>
          <w:tcPr>
            <w:tcW w:type="dxa" w:w="3389"/>
          </w:tcPr>
          <w:p>
            <w:r>
              <w:t>Avoid unneeded cross-tenant replication</w:t>
            </w:r>
          </w:p>
        </w:tc>
      </w:tr>
      <w:tr>
        <w:tc>
          <w:tcPr>
            <w:tcW w:type="dxa" w:w="3389"/>
          </w:tcPr>
          <w:p>
            <w:r>
              <w:t>Default access tier</w:t>
            </w:r>
          </w:p>
        </w:tc>
        <w:tc>
          <w:tcPr>
            <w:tcW w:type="dxa" w:w="3389"/>
          </w:tcPr>
          <w:p>
            <w:r>
              <w:t>Hot</w:t>
            </w:r>
          </w:p>
        </w:tc>
        <w:tc>
          <w:tcPr>
            <w:tcW w:type="dxa" w:w="3389"/>
          </w:tcPr>
          <w:p>
            <w:r>
              <w:t>Documents will be accessed during active application processing</w:t>
            </w:r>
          </w:p>
        </w:tc>
      </w:tr>
    </w:tbl>
    <w:p>
      <w:r>
        <w:t>The screenshot has hierarchical namespace enabled; that is valid for Data Lake Storage Gen2 but not required here. Some Blob features differ with hierarchical namespace enabled. Check compatibility before selecting it.</w:t>
      </w:r>
    </w:p>
    <w:p>
      <w:pPr>
        <w:pStyle w:val="Heading2"/>
      </w:pPr>
      <w:r>
        <w:t>5. Hot, Cool, Cold and Archive — cost decision</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t>Tier</w:t>
            </w:r>
          </w:p>
        </w:tc>
        <w:tc>
          <w:tcPr>
            <w:tcW w:type="dxa" w:w="3389"/>
          </w:tcPr>
          <w:p>
            <w:r>
              <w:t>Typical use</w:t>
            </w:r>
          </w:p>
        </w:tc>
        <w:tc>
          <w:tcPr>
            <w:tcW w:type="dxa" w:w="3389"/>
          </w:tcPr>
          <w:p>
            <w:r>
              <w:t>Trade-off</w:t>
            </w:r>
          </w:p>
        </w:tc>
      </w:tr>
      <w:tr>
        <w:tc>
          <w:tcPr>
            <w:tcW w:type="dxa" w:w="3389"/>
          </w:tcPr>
          <w:p>
            <w:r>
              <w:t>Hot</w:t>
            </w:r>
          </w:p>
        </w:tc>
        <w:tc>
          <w:tcPr>
            <w:tcW w:type="dxa" w:w="3389"/>
          </w:tcPr>
          <w:p>
            <w:r>
              <w:t>Frequently accessed documents</w:t>
            </w:r>
          </w:p>
        </w:tc>
        <w:tc>
          <w:tcPr>
            <w:tcW w:type="dxa" w:w="3389"/>
          </w:tcPr>
          <w:p>
            <w:r>
              <w:t>Higher storage charge, lower access/retrieval cost</w:t>
            </w:r>
          </w:p>
        </w:tc>
      </w:tr>
      <w:tr>
        <w:tc>
          <w:tcPr>
            <w:tcW w:type="dxa" w:w="3389"/>
          </w:tcPr>
          <w:p>
            <w:r>
              <w:t>Cool</w:t>
            </w:r>
          </w:p>
        </w:tc>
        <w:tc>
          <w:tcPr>
            <w:tcW w:type="dxa" w:w="3389"/>
          </w:tcPr>
          <w:p>
            <w:r>
              <w:t>Infrequently accessed documents</w:t>
            </w:r>
          </w:p>
        </w:tc>
        <w:tc>
          <w:tcPr>
            <w:tcW w:type="dxa" w:w="3389"/>
          </w:tcPr>
          <w:p>
            <w:r>
              <w:t>Lower storage charge; higher access costs and 30-day minimum retention charge</w:t>
            </w:r>
          </w:p>
        </w:tc>
      </w:tr>
      <w:tr>
        <w:tc>
          <w:tcPr>
            <w:tcW w:type="dxa" w:w="3389"/>
          </w:tcPr>
          <w:p>
            <w:r>
              <w:t>Cold</w:t>
            </w:r>
          </w:p>
        </w:tc>
        <w:tc>
          <w:tcPr>
            <w:tcW w:type="dxa" w:w="3389"/>
          </w:tcPr>
          <w:p>
            <w:r>
              <w:t>Rarely accessed documents</w:t>
            </w:r>
          </w:p>
        </w:tc>
        <w:tc>
          <w:tcPr>
            <w:tcW w:type="dxa" w:w="3389"/>
          </w:tcPr>
          <w:p>
            <w:r>
              <w:t>Lower storage charge; higher access costs and 90-day minimum retention charge</w:t>
            </w:r>
          </w:p>
        </w:tc>
      </w:tr>
      <w:tr>
        <w:tc>
          <w:tcPr>
            <w:tcW w:type="dxa" w:w="3389"/>
          </w:tcPr>
          <w:p>
            <w:r>
              <w:t>Archive</w:t>
            </w:r>
          </w:p>
        </w:tc>
        <w:tc>
          <w:tcPr>
            <w:tcW w:type="dxa" w:w="3389"/>
          </w:tcPr>
          <w:p>
            <w:r>
              <w:t>Long-term records with delayed retrieval</w:t>
            </w:r>
          </w:p>
        </w:tc>
        <w:tc>
          <w:tcPr>
            <w:tcW w:type="dxa" w:w="3389"/>
          </w:tcPr>
          <w:p>
            <w:r>
              <w:t>Offline, rehydration required; 180-day minimum retention charge</w:t>
            </w:r>
          </w:p>
        </w:tc>
      </w:tr>
    </w:tbl>
    <w:p>
      <w:r>
        <w:t>Building Society example: keep a new application document in Hot while a case is active. After completion, a lifecycle rule might move it to Cool/Cold when access falls. Archive only if delayed retrieval is acceptable and legal retention requirements permit it.</w:t>
      </w:r>
    </w:p>
    <w:p>
      <w:r>
        <w:t>Cost tip: compare storage GB-month, read/write transactions, retrieval charges, data transfer, redundancy, minimum retention and lifecycle operations. Archive is selected per blob, not as the ordinary account default.</w:t>
      </w:r>
    </w:p>
    <w:p>
      <w:pPr>
        <w:pStyle w:val="Heading2"/>
      </w:pPr>
      <w:r>
        <w:t>6. Networking — developer awareness</w:t>
      </w:r>
    </w:p>
    <w:p>
      <w:r>
        <w:t>Screenshot: public network access is enabled from all networks, with Microsoft network routing. For a lab this can permit access from learner machines, subject to organisational policies. A public endpoint is NOT the same as anonymous data access. Authentication and data-plane permissions still apply.</w:t>
      </w:r>
    </w:p>
    <w:p>
      <w:r>
        <w:t>Production: use approved network restrictions or private connectivity where required; coordinate private endpoints, DNS and routing with the platform/network team. Developers should know whether the application can reach the endpoint and which identity it uses.</w:t>
      </w:r>
    </w:p>
    <w:p>
      <w:pPr>
        <w:pStyle w:val="Heading2"/>
      </w:pPr>
      <w:r>
        <w:t>7. Data protection — recover accidental deletion</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t>Setting</w:t>
            </w:r>
          </w:p>
        </w:tc>
        <w:tc>
          <w:tcPr>
            <w:tcW w:type="dxa" w:w="3389"/>
          </w:tcPr>
          <w:p>
            <w:r>
              <w:t>Suggested lab choice</w:t>
            </w:r>
          </w:p>
        </w:tc>
        <w:tc>
          <w:tcPr>
            <w:tcW w:type="dxa" w:w="3389"/>
          </w:tcPr>
          <w:p>
            <w:r>
              <w:t>Why</w:t>
            </w:r>
          </w:p>
        </w:tc>
      </w:tr>
      <w:tr>
        <w:tc>
          <w:tcPr>
            <w:tcW w:type="dxa" w:w="3389"/>
          </w:tcPr>
          <w:p>
            <w:r>
              <w:t>Blob soft delete</w:t>
            </w:r>
          </w:p>
        </w:tc>
        <w:tc>
          <w:tcPr>
            <w:tcW w:type="dxa" w:w="3389"/>
          </w:tcPr>
          <w:p>
            <w:r>
              <w:t>Enabled, 7 days</w:t>
            </w:r>
          </w:p>
        </w:tc>
        <w:tc>
          <w:tcPr>
            <w:tcW w:type="dxa" w:w="3389"/>
          </w:tcPr>
          <w:p>
            <w:r>
              <w:t>Recover accidentally deleted blobs</w:t>
            </w:r>
          </w:p>
        </w:tc>
      </w:tr>
      <w:tr>
        <w:tc>
          <w:tcPr>
            <w:tcW w:type="dxa" w:w="3389"/>
          </w:tcPr>
          <w:p>
            <w:r>
              <w:t>Container soft delete</w:t>
            </w:r>
          </w:p>
        </w:tc>
        <w:tc>
          <w:tcPr>
            <w:tcW w:type="dxa" w:w="3389"/>
          </w:tcPr>
          <w:p>
            <w:r>
              <w:t>Enabled, 7 days</w:t>
            </w:r>
          </w:p>
        </w:tc>
        <w:tc>
          <w:tcPr>
            <w:tcW w:type="dxa" w:w="3389"/>
          </w:tcPr>
          <w:p>
            <w:r>
              <w:t>Recover deleted containers</w:t>
            </w:r>
          </w:p>
        </w:tc>
      </w:tr>
      <w:tr>
        <w:tc>
          <w:tcPr>
            <w:tcW w:type="dxa" w:w="3389"/>
          </w:tcPr>
          <w:p>
            <w:r>
              <w:t>Blob versioning</w:t>
            </w:r>
          </w:p>
        </w:tc>
        <w:tc>
          <w:tcPr>
            <w:tcW w:type="dxa" w:w="3389"/>
          </w:tcPr>
          <w:p>
            <w:r>
              <w:t>Optional, if supported</w:t>
            </w:r>
          </w:p>
        </w:tc>
        <w:tc>
          <w:tcPr>
            <w:tcW w:type="dxa" w:w="3389"/>
          </w:tcPr>
          <w:p>
            <w:r>
              <w:t>Keep previous versions; can increase storage costs</w:t>
            </w:r>
          </w:p>
        </w:tc>
      </w:tr>
      <w:tr>
        <w:tc>
          <w:tcPr>
            <w:tcW w:type="dxa" w:w="3389"/>
          </w:tcPr>
          <w:p>
            <w:r>
              <w:t>Point-in-time restore</w:t>
            </w:r>
          </w:p>
        </w:tc>
        <w:tc>
          <w:tcPr>
            <w:tcW w:type="dxa" w:w="3389"/>
          </w:tcPr>
          <w:p>
            <w:r>
              <w:t>Disabled</w:t>
            </w:r>
          </w:p>
        </w:tc>
        <w:tc>
          <w:tcPr>
            <w:tcW w:type="dxa" w:w="3389"/>
          </w:tcPr>
          <w:p>
            <w:r>
              <w:t>Not needed for introductory lab</w:t>
            </w:r>
          </w:p>
        </w:tc>
      </w:tr>
      <w:tr>
        <w:tc>
          <w:tcPr>
            <w:tcW w:type="dxa" w:w="3389"/>
          </w:tcPr>
          <w:p>
            <w:r>
              <w:t>Immutability</w:t>
            </w:r>
          </w:p>
        </w:tc>
        <w:tc>
          <w:tcPr>
            <w:tcW w:type="dxa" w:w="3389"/>
          </w:tcPr>
          <w:p>
            <w:r>
              <w:t>Disabled</w:t>
            </w:r>
          </w:p>
        </w:tc>
        <w:tc>
          <w:tcPr>
            <w:tcW w:type="dxa" w:w="3389"/>
          </w:tcPr>
          <w:p>
            <w:r>
              <w:t>Enable only for approved retention/compliance requirements</w:t>
            </w:r>
          </w:p>
        </w:tc>
      </w:tr>
    </w:tbl>
    <w:p>
      <w:r>
        <w:t>Soft-deleted and versioned data can incur storage charges. Replication, soft delete, versioning and backup address different failure scenarios.</w:t>
      </w:r>
    </w:p>
    <w:p>
      <w:pPr>
        <w:pStyle w:val="Heading2"/>
      </w:pPr>
      <w:r>
        <w:t>8. Security and authorisation</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t>Setting</w:t>
            </w:r>
          </w:p>
        </w:tc>
        <w:tc>
          <w:tcPr>
            <w:tcW w:type="dxa" w:w="3389"/>
          </w:tcPr>
          <w:p>
            <w:r>
              <w:t>Screenshot</w:t>
            </w:r>
          </w:p>
        </w:tc>
        <w:tc>
          <w:tcPr>
            <w:tcW w:type="dxa" w:w="3389"/>
          </w:tcPr>
          <w:p>
            <w:r>
              <w:t>Guidance</w:t>
            </w:r>
          </w:p>
        </w:tc>
      </w:tr>
      <w:tr>
        <w:tc>
          <w:tcPr>
            <w:tcW w:type="dxa" w:w="3389"/>
          </w:tcPr>
          <w:p>
            <w:r>
              <w:t>Secure transfer</w:t>
            </w:r>
          </w:p>
        </w:tc>
        <w:tc>
          <w:tcPr>
            <w:tcW w:type="dxa" w:w="3389"/>
          </w:tcPr>
          <w:p>
            <w:r>
              <w:t>Enabled</w:t>
            </w:r>
          </w:p>
        </w:tc>
        <w:tc>
          <w:tcPr>
            <w:tcW w:type="dxa" w:w="3389"/>
          </w:tcPr>
          <w:p>
            <w:r>
              <w:t>Keep enabled; HTTPS only</w:t>
            </w:r>
          </w:p>
        </w:tc>
      </w:tr>
      <w:tr>
        <w:tc>
          <w:tcPr>
            <w:tcW w:type="dxa" w:w="3389"/>
          </w:tcPr>
          <w:p>
            <w:r>
              <w:t>Anonymous Blob access</w:t>
            </w:r>
          </w:p>
        </w:tc>
        <w:tc>
          <w:tcPr>
            <w:tcW w:type="dxa" w:w="3389"/>
          </w:tcPr>
          <w:p>
            <w:r>
              <w:t>Disabled</w:t>
            </w:r>
          </w:p>
        </w:tc>
        <w:tc>
          <w:tcPr>
            <w:tcW w:type="dxa" w:w="3389"/>
          </w:tcPr>
          <w:p>
            <w:r>
              <w:t>Keep disabled for customer documents</w:t>
            </w:r>
          </w:p>
        </w:tc>
      </w:tr>
      <w:tr>
        <w:tc>
          <w:tcPr>
            <w:tcW w:type="dxa" w:w="3389"/>
          </w:tcPr>
          <w:p>
            <w:r>
              <w:t>Storage account key access</w:t>
            </w:r>
          </w:p>
        </w:tc>
        <w:tc>
          <w:tcPr>
            <w:tcW w:type="dxa" w:w="3389"/>
          </w:tcPr>
          <w:p>
            <w:r>
              <w:t>Enabled</w:t>
            </w:r>
          </w:p>
        </w:tc>
        <w:tc>
          <w:tcPr>
            <w:tcW w:type="dxa" w:w="3389"/>
          </w:tcPr>
          <w:p>
            <w:r>
              <w:t>Prefer Entra/Managed Identity and disable Shared Key when all clients support it</w:t>
            </w:r>
          </w:p>
        </w:tc>
      </w:tr>
      <w:tr>
        <w:tc>
          <w:tcPr>
            <w:tcW w:type="dxa" w:w="3389"/>
          </w:tcPr>
          <w:p>
            <w:r>
              <w:t>Default to Microsoft Entra authorisation</w:t>
            </w:r>
          </w:p>
        </w:tc>
        <w:tc>
          <w:tcPr>
            <w:tcW w:type="dxa" w:w="3389"/>
          </w:tcPr>
          <w:p>
            <w:r>
              <w:t>Disabled</w:t>
            </w:r>
          </w:p>
        </w:tc>
        <w:tc>
          <w:tcPr>
            <w:tcW w:type="dxa" w:w="3389"/>
          </w:tcPr>
          <w:p>
            <w:r>
              <w:t>Enable for identity-based portal experience where appropriate</w:t>
            </w:r>
          </w:p>
        </w:tc>
      </w:tr>
      <w:tr>
        <w:tc>
          <w:tcPr>
            <w:tcW w:type="dxa" w:w="3389"/>
          </w:tcPr>
          <w:p>
            <w:r>
              <w:t>Minimum TLS</w:t>
            </w:r>
          </w:p>
        </w:tc>
        <w:tc>
          <w:tcPr>
            <w:tcW w:type="dxa" w:w="3389"/>
          </w:tcPr>
          <w:p>
            <w:r>
              <w:t>1.2</w:t>
            </w:r>
          </w:p>
        </w:tc>
        <w:tc>
          <w:tcPr>
            <w:tcW w:type="dxa" w:w="3389"/>
          </w:tcPr>
          <w:p>
            <w:r>
              <w:t>Keep at least TLS 1.2</w:t>
            </w:r>
          </w:p>
        </w:tc>
      </w:tr>
      <w:tr>
        <w:tc>
          <w:tcPr>
            <w:tcW w:type="dxa" w:w="3389"/>
          </w:tcPr>
          <w:p>
            <w:r>
              <w:t>Encryption</w:t>
            </w:r>
          </w:p>
        </w:tc>
        <w:tc>
          <w:tcPr>
            <w:tcW w:type="dxa" w:w="3389"/>
          </w:tcPr>
          <w:p>
            <w:r>
              <w:t>Microsoft-managed keys</w:t>
            </w:r>
          </w:p>
        </w:tc>
        <w:tc>
          <w:tcPr>
            <w:tcW w:type="dxa" w:w="3389"/>
          </w:tcPr>
          <w:p>
            <w:r>
              <w:t>Sensible introductory default</w:t>
            </w:r>
          </w:p>
        </w:tc>
      </w:tr>
    </w:tbl>
    <w:p>
      <w:r>
        <w:t>Authentication ≠ Authorisation. Managed Identity proves the application identity; Azure RBAC grants permitted data operations. For uploads, assign Storage Blob Data Contributor at the narrowest suitable scope (often the container). Azure resource Contributor alone does not automatically grant Entra data-plane Blob access.</w:t>
      </w:r>
    </w:p>
    <w:p>
      <w:r>
        <w:t>Never place account keys or connection strings in source control. Before disabling Shared Key, verify compatibility with tools and integrations. Microsoft-managed encryption at rest is enabled by default; customer-managed keys add governance and operational responsibilities.</w:t>
      </w:r>
    </w:p>
    <w:p>
      <w:pPr>
        <w:pStyle w:val="Heading2"/>
      </w:pPr>
      <w:r>
        <w:t>9. Tags and review</w:t>
      </w:r>
    </w:p>
    <w:tbl>
      <w:tblPr>
        <w:tblStyle w:val="LightShading-Accent1"/>
        <w:tblW w:type="auto" w:w="0"/>
        <w:jc w:val="center"/>
        <w:tblLook w:firstColumn="1" w:firstRow="1" w:lastColumn="0" w:lastRow="0" w:noHBand="0" w:noVBand="1" w:val="04A0"/>
      </w:tblPr>
      <w:tblGrid>
        <w:gridCol w:w="5083"/>
        <w:gridCol w:w="5083"/>
      </w:tblGrid>
      <w:tr>
        <w:tc>
          <w:tcPr>
            <w:tcW w:type="dxa" w:w="5083"/>
          </w:tcPr>
          <w:p>
            <w:r>
              <w:t>Tag</w:t>
            </w:r>
          </w:p>
        </w:tc>
        <w:tc>
          <w:tcPr>
            <w:tcW w:type="dxa" w:w="5083"/>
          </w:tcPr>
          <w:p>
            <w:r>
              <w:t>Example</w:t>
            </w:r>
          </w:p>
        </w:tc>
      </w:tr>
      <w:tr>
        <w:tc>
          <w:tcPr>
            <w:tcW w:type="dxa" w:w="5083"/>
          </w:tcPr>
          <w:p>
            <w:r>
              <w:t>Environment</w:t>
            </w:r>
          </w:p>
        </w:tc>
        <w:tc>
          <w:tcPr>
            <w:tcW w:type="dxa" w:w="5083"/>
          </w:tcPr>
          <w:p>
            <w:r>
              <w:t>Training</w:t>
            </w:r>
          </w:p>
        </w:tc>
      </w:tr>
      <w:tr>
        <w:tc>
          <w:tcPr>
            <w:tcW w:type="dxa" w:w="5083"/>
          </w:tcPr>
          <w:p>
            <w:r>
              <w:t>Application</w:t>
            </w:r>
          </w:p>
        </w:tc>
        <w:tc>
          <w:tcPr>
            <w:tcW w:type="dxa" w:w="5083"/>
          </w:tcPr>
          <w:p>
            <w:r>
              <w:t>BuildingSocietyDemo</w:t>
            </w:r>
          </w:p>
        </w:tc>
      </w:tr>
      <w:tr>
        <w:tc>
          <w:tcPr>
            <w:tcW w:type="dxa" w:w="5083"/>
          </w:tcPr>
          <w:p>
            <w:r>
              <w:t>Owner</w:t>
            </w:r>
          </w:p>
        </w:tc>
        <w:tc>
          <w:tcPr>
            <w:tcW w:type="dxa" w:w="5083"/>
          </w:tcPr>
          <w:p>
            <w:r>
              <w:t>AzureTraining</w:t>
            </w:r>
          </w:p>
        </w:tc>
      </w:tr>
      <w:tr>
        <w:tc>
          <w:tcPr>
            <w:tcW w:type="dxa" w:w="5083"/>
          </w:tcPr>
          <w:p>
            <w:r>
              <w:t>CostCentre</w:t>
            </w:r>
          </w:p>
        </w:tc>
        <w:tc>
          <w:tcPr>
            <w:tcW w:type="dxa" w:w="5083"/>
          </w:tcPr>
          <w:p>
            <w:r>
              <w:t>Learning</w:t>
            </w:r>
          </w:p>
        </w:tc>
      </w:tr>
    </w:tbl>
    <w:p>
      <w:r>
        <w:t>Tags help allocate and analyse spending but do not themselves reduce charges. Before Create, confirm region, redundancy, Hot access tier, security, network scope and recovery settings.</w:t>
      </w:r>
    </w:p>
    <w:p>
      <w:pPr>
        <w:pStyle w:val="Heading2"/>
      </w:pPr>
      <w:r>
        <w:t>10. Hands-on — create container and upload a blob</w:t>
      </w:r>
    </w:p>
    <w:p>
      <w:pPr>
        <w:pStyle w:val="ListNumber"/>
      </w:pPr>
      <w:r>
        <w:t>Open the deployed Storage Account and navigate to Data storage → Containers.</w:t>
      </w:r>
    </w:p>
    <w:p>
      <w:pPr>
        <w:pStyle w:val="ListNumber"/>
      </w:pPr>
      <w:r>
        <w:t>Select + Container, name it customer-documents, and keep anonymous access Private.</w:t>
      </w:r>
    </w:p>
    <w:p>
      <w:pPr>
        <w:pStyle w:val="ListNumber"/>
      </w:pPr>
      <w:r>
        <w:t>Create the container, open it and choose Upload.</w:t>
      </w:r>
    </w:p>
    <w:p>
      <w:pPr>
        <w:pStyle w:val="ListNumber"/>
      </w:pPr>
      <w:r>
        <w:t>Select a harmless sample PDF or text file and upload it.</w:t>
      </w:r>
    </w:p>
    <w:p>
      <w:pPr>
        <w:pStyle w:val="ListNumber"/>
      </w:pPr>
      <w:r>
        <w:t>Verify the blob appears, inspect its properties, and discuss how the .NET app would retrieve it.</w:t>
      </w:r>
    </w:p>
    <w:p>
      <w:pPr>
        <w:pStyle w:val="ListNumber"/>
      </w:pPr>
      <w:r>
        <w:t>If access is denied, check Entra Blob data-plane role assignments and network restrictions.</w:t>
      </w:r>
    </w:p>
    <w:p>
      <w:pPr>
        <w:pStyle w:val="Heading2"/>
      </w:pPr>
      <w:r>
        <w:t>11. Cost management mini-exercise</w:t>
      </w:r>
    </w:p>
    <w:p>
      <w:pPr>
        <w:pStyle w:val="ListNumber"/>
      </w:pPr>
      <w:r>
        <w:t>Choose one document workload: daily access, monthly access or rare compliance retrieval.</w:t>
      </w:r>
    </w:p>
    <w:p>
      <w:pPr>
        <w:pStyle w:val="ListNumber"/>
      </w:pPr>
      <w:r>
        <w:t>Select Hot/Cool/Cold/Archive and justify retention and retrieval implications.</w:t>
      </w:r>
    </w:p>
    <w:p>
      <w:pPr>
        <w:pStyle w:val="ListNumber"/>
      </w:pPr>
      <w:r>
        <w:t>Compare LRS, ZRS and RA-GRS for the same workload.</w:t>
      </w:r>
    </w:p>
    <w:p>
      <w:pPr>
        <w:pStyle w:val="ListNumber"/>
      </w:pPr>
      <w:r>
        <w:t>Use https://azure.microsoft.com/en-us/pricing/calculator/ to estimate the region-specific costs, including transactions and retrieval.</w:t>
      </w:r>
    </w:p>
    <w:p>
      <w:pPr>
        <w:pStyle w:val="ListNumber"/>
      </w:pPr>
      <w:r>
        <w:t>Identify at least two cost controls (lifecycle policy, appropriate redundancy, retention, cleanup or monitoring).</w:t>
      </w:r>
    </w:p>
    <w:p>
      <w:r>
        <w:t>Trainer note: Azure Cost Management actual-cost views can lag and require billing permissions. Use a prepared pricing example when learners lack billing access. Budgets alert; they do not automatically cap expenditure.</w:t>
      </w:r>
    </w:p>
    <w:p>
      <w:pPr>
        <w:pStyle w:val="Heading2"/>
      </w:pPr>
      <w:r>
        <w:t>12. Knowledge check and discussion</w:t>
      </w:r>
    </w:p>
    <w:p>
      <w:pPr>
        <w:pStyle w:val="ListBullet"/>
      </w:pPr>
      <w:r>
        <w:t>Why store PDFs in Blob Storage rather than Azure SQL?</w:t>
      </w:r>
    </w:p>
    <w:p>
      <w:pPr>
        <w:pStyle w:val="ListBullet"/>
      </w:pPr>
      <w:r>
        <w:t>How do Hot, Cool, Cold and Archive differ in access, retrieval and retention?</w:t>
      </w:r>
    </w:p>
    <w:p>
      <w:pPr>
        <w:pStyle w:val="ListBullet"/>
      </w:pPr>
      <w:r>
        <w:t>Why might RA-GRS be excessive for a training environment?</w:t>
      </w:r>
    </w:p>
    <w:p>
      <w:pPr>
        <w:pStyle w:val="ListBullet"/>
      </w:pPr>
      <w:r>
        <w:t>How is public network access different from anonymous Blob access?</w:t>
      </w:r>
    </w:p>
    <w:p>
      <w:pPr>
        <w:pStyle w:val="ListBullet"/>
      </w:pPr>
      <w:r>
        <w:t>Why use Managed Identity instead of embedding account keys?</w:t>
      </w:r>
    </w:p>
    <w:p>
      <w:pPr>
        <w:pStyle w:val="ListBullet"/>
      </w:pPr>
      <w:r>
        <w:t>How can soft delete and versioning increase cost?</w:t>
      </w:r>
    </w:p>
    <w:p>
      <w:pPr>
        <w:pStyle w:val="ListBullet"/>
      </w:pPr>
      <w:r>
        <w:t>When is hierarchical namespace appropriate?</w:t>
      </w:r>
    </w:p>
    <w:p>
      <w:pPr>
        <w:pStyle w:val="Heading2"/>
      </w:pPr>
      <w:r>
        <w:t>13. Cleanup and references</w:t>
      </w:r>
    </w:p>
    <w:p>
      <w:r>
        <w:t>After the lab, remove sample blobs and the training Storage Account or resource group if authorised and no other learners depend on it. Deleting the entire resource group deletes all resources within it; verify scope first.</w:t>
      </w:r>
    </w:p>
    <w:p>
      <w:pPr>
        <w:pStyle w:val="ListBullet"/>
      </w:pPr>
      <w:r>
        <w:t>Create a storage account: https://learn.microsoft.com/en-us/azure/storage/common/storage-account-create</w:t>
      </w:r>
    </w:p>
    <w:p>
      <w:pPr>
        <w:pStyle w:val="ListBullet"/>
      </w:pPr>
      <w:r>
        <w:t>Blob access tiers: https://learn.microsoft.com/en-us/azure/storage/blobs/access-tiers-overview</w:t>
      </w:r>
    </w:p>
    <w:p>
      <w:pPr>
        <w:pStyle w:val="ListBullet"/>
      </w:pPr>
      <w:r>
        <w:t>Authorise access with Microsoft Entra ID: https://learn.microsoft.com/en-us/azure/storage/blobs/authorize-access-azure-active-directory</w:t>
      </w:r>
    </w:p>
    <w:p>
      <w:pPr>
        <w:pStyle w:val="ListBullet"/>
      </w:pPr>
      <w:r>
        <w:t>Storage pricing: https://azure.microsoft.com/en-us/pricing/details/storage/blobs/</w:t>
      </w:r>
    </w:p>
    <w:p>
      <w:r>
        <w:br w:type="page"/>
      </w:r>
    </w:p>
    <w:p>
      <w:pPr>
        <w:pStyle w:val="Heading1"/>
      </w:pPr>
      <w:r>
        <w:t>Reviewed v2: attendee-safe storage setup</w:t>
      </w:r>
    </w:p>
    <w:p>
      <w:r>
        <w:t>This copy preserves the original teaching content and diagrams. The notes below clarify the setup and verification gaps found during review; no Azure deployment was executed.</w:t>
      </w:r>
    </w:p>
    <w:p>
      <w:r>
        <w:t>Use the instructor-approved region and resource group, not a fixed East US/Training value. Use a fresh globally unique account name rather than copying stordemo2026.</w:t>
      </w:r>
    </w:p>
    <w:p>
      <w:r>
        <w:t>For the basic Blob lab choose Standard general-purpose v2, hierarchical namespace disabled, Hot and approved LRS. Redundancy is not a backup. Public network reachability does not mean anonymous blob access: keep anonymous access disabled and containers private. Use only the approved network route; do not open all networks just to bypass an error.</w:t>
      </w:r>
    </w:p>
    <w:p>
      <w:r>
        <w:t>If permitted, the role administrator opens the storage account or container &gt; Access control (IAM) &gt; Add role assignment, selects Storage Blob Data Contributor, selects the learner's actual Entra user, reviews scope and saves. Contributor alone is not Blob data access. Portal navigation can additionally require management read access. Select Entra user authentication in the container and allow role propagation; do not switch to account keys.</w:t>
      </w:r>
    </w:p>
    <w:p>
      <w:r>
        <w:t>Verify upload AND authenticated download of a small fictional text file. Opening a bare URL without authentication should not grant public access. Failure to load anonymously is expected.</w:t>
      </w:r>
    </w:p>
    <w:p>
      <w:r>
        <w:t>Cool/Cold/Archive minimum-duration examples depend on account/blob type and pricing. For standard general-purpose v2 block-blob examples, commonly documented periods are 30/90/180 days; early deletion/re-tiering may incur charges. Do not treat these as every storage account's universal retention policy. Archive is offline and rehydration has delay/cost.</w:t>
      </w:r>
    </w:p>
    <w:p>
      <w:r>
        <w:t>Soft deletion/versioning can retain billable data. A delete operation is not necessarily immediate removal of all retained copies. Do not purge shared or protected data in class.</w:t>
      </w:r>
    </w:p>
    <w:p>
      <w:r>
        <w:t>For Blob diagnostics use the Blob service diagnostic setting and a selected category, not an assumption that the workspace collects all data automatically. Follow the Log Analytics handout for StorageBlobLogs and legacy-schema cautions.</w:t>
      </w:r>
    </w:p>
    <w:p>
      <w:r>
        <w:t>For KQL counts, distinguish stored telemetry rows from represented requests under sampling. Keep workspace AppRequests/TimeGenerated and resource-context requests/timestamp separate.</w:t>
      </w:r>
    </w:p>
    <w:p>
      <w:r>
        <w:t>For .NET 10 Functions use isolated worker and an approved compatible plan; legacy Linux Consumption does not support .NET 10. Budgets notify rather than enforce a general spend cap.</w:t>
      </w:r>
    </w:p>
    <w:p>
      <w:r>
        <w:t>Use Service Handouts for matching portal creation exercises. The main guide contains a connected fictional document example, not a claim that a complete production app exists.</w:t>
      </w:r>
    </w:p>
    <w:p>
      <w:r>
        <w:drawing>
          <wp:inline xmlns:a="http://schemas.openxmlformats.org/drawingml/2006/main" xmlns:pic="http://schemas.openxmlformats.org/drawingml/2006/picture">
            <wp:extent cx="6126480" cy="1756258"/>
            <wp:docPr id="1" name="Picture 1"/>
            <wp:cNvGraphicFramePr>
              <a:graphicFrameLocks noChangeAspect="1"/>
            </wp:cNvGraphicFramePr>
            <a:graphic>
              <a:graphicData uri="http://schemas.openxmlformats.org/drawingml/2006/picture">
                <pic:pic>
                  <pic:nvPicPr>
                    <pic:cNvPr id="0" name="Reviewed_v2__attendee_safe_storage_setup.png"/>
                    <pic:cNvPicPr/>
                  </pic:nvPicPr>
                  <pic:blipFill>
                    <a:blip r:embed="rId51"/>
                    <a:stretch>
                      <a:fillRect/>
                    </a:stretch>
                  </pic:blipFill>
                  <pic:spPr>
                    <a:xfrm>
                      <a:off x="0" y="0"/>
                      <a:ext cx="6126480" cy="1756258"/>
                    </a:xfrm>
                    <a:prstGeom prst="rect"/>
                  </pic:spPr>
                </pic:pic>
              </a:graphicData>
            </a:graphic>
          </wp:inline>
        </w:drawing>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Verdana" w:hAnsi="Verdana"/>
        <w:color w:val="56616F"/>
        <w:sz w:val="15"/>
      </w:rPr>
      <w:t xml:space="preserve">Azure Training  •  Building Society learning scenario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Verdana" w:hAnsi="Verdana"/>
        <w:color w:val="56616F"/>
        <w:sz w:val="15"/>
      </w:rPr>
      <w:t>Azure Cloud &amp; Architecture | Developer Learner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Verdana" w:hAnsi="Verdana" w:eastAsia="Verdana"/>
      <w:color w:val="2634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Verdana" w:hAnsi="Verdana" w:eastAsia="Verdana"/>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Verdana" w:hAnsi="Verdana" w:eastAsia="Verdana"/>
      <w:b/>
      <w:bCs/>
      <w:color w:val="0078D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Verdana" w:hAnsi="Verdana" w:eastAsia="Verdana"/>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eastAsia="Verdana"/>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learn.microsoft.com/en-us/azure/architecture/" TargetMode="External"/><Relationship Id="rId21" Type="http://schemas.openxmlformats.org/officeDocument/2006/relationships/hyperlink" Target="https://learn.microsoft.com/en-us/azure/well-architected/" TargetMode="External"/><Relationship Id="rId22" Type="http://schemas.openxmlformats.org/officeDocument/2006/relationships/hyperlink" Target="https://learn.microsoft.com/en-us/azure/app-service/" TargetMode="External"/><Relationship Id="rId23" Type="http://schemas.openxmlformats.org/officeDocument/2006/relationships/hyperlink" Target="https://learn.microsoft.com/en-us/entra/" TargetMode="External"/><Relationship Id="rId24" Type="http://schemas.openxmlformats.org/officeDocument/2006/relationships/hyperlink" Target="https://learn.microsoft.com/en-us/azure/azure-sql/" TargetMode="External"/><Relationship Id="rId25" Type="http://schemas.openxmlformats.org/officeDocument/2006/relationships/hyperlink" Target="https://learn.microsoft.com/en-us/azure/azure-monitor/" TargetMode="External"/><Relationship Id="rId26" Type="http://schemas.openxmlformats.org/officeDocument/2006/relationships/hyperlink" Target="https://learn.microsoft.com/en-us/azure/azure-resource-manager/bicep/" TargetMode="External"/><Relationship Id="rId27" Type="http://schemas.openxmlformats.org/officeDocument/2006/relationships/hyperlink" Target="https://learn.microsoft.com/en-us/azure/app-service/tutorial-connect-msi-sql-database?tabs=windowsclient%2Cdotnet" TargetMode="External"/><Relationship Id="rId28" Type="http://schemas.openxmlformats.org/officeDocument/2006/relationships/hyperlink" Target="https://learn.microsoft.com/en-us/entra/identity/managed-identities-azure-resources/overview-for-developers" TargetMode="External"/><Relationship Id="rId29" Type="http://schemas.openxmlformats.org/officeDocument/2006/relationships/hyperlink" Target="https://learn.microsoft.com/en-us/azure/architecture/web-apps/app-service/architectures/basic-web-app" TargetMode="External"/><Relationship Id="rId30" Type="http://schemas.openxmlformats.org/officeDocument/2006/relationships/hyperlink" Target="https://learn.microsoft.com/en-us/azure/developer/github-copilot-azure/introduction" TargetMode="External"/><Relationship Id="rId31" Type="http://schemas.openxmlformats.org/officeDocument/2006/relationships/hyperlink" Target="https://learn.microsoft.com/en-us/azure/developer/github-copilot-azure/get-started" TargetMode="External"/><Relationship Id="rId32" Type="http://schemas.openxmlformats.org/officeDocument/2006/relationships/hyperlink" Target="https://docs.github.com/en/copilot/how-tos/use-copilot-agents/use-code-review" TargetMode="External"/><Relationship Id="rId33" Type="http://schemas.openxmlformats.org/officeDocument/2006/relationships/hyperlink" Target="https://learn.microsoft.com/en-us/azure/cloud-adoption-framework/ready/landing-zone/" TargetMode="External"/><Relationship Id="rId34" Type="http://schemas.openxmlformats.org/officeDocument/2006/relationships/hyperlink" Target="https://learn.microsoft.com/en-us/azure/api-management/" TargetMode="External"/><Relationship Id="rId35" Type="http://schemas.openxmlformats.org/officeDocument/2006/relationships/hyperlink" Target="https://learn.microsoft.com/en-us/azure/service-bus-messaging/compare-messaging-services" TargetMode="External"/><Relationship Id="rId36" Type="http://schemas.openxmlformats.org/officeDocument/2006/relationships/hyperlink" Target="https://learn.microsoft.com/en-us/azure/service-bus-messaging/" TargetMode="External"/><Relationship Id="rId37" Type="http://schemas.openxmlformats.org/officeDocument/2006/relationships/hyperlink" Target="https://learn.microsoft.com/en-us/azure/azure-managed-redis/" TargetMode="External"/><Relationship Id="rId38" Type="http://schemas.openxmlformats.org/officeDocument/2006/relationships/hyperlink" Target="https://learn.microsoft.com/en-us/security/benchmark/azure/mcsb-devops-security" TargetMode="External"/><Relationship Id="rId39" Type="http://schemas.openxmlformats.org/officeDocument/2006/relationships/hyperlink" Target="https://learn.microsoft.com/en-us/azure/cost-management-billing/cost-management-billing-overview" TargetMode="External"/><Relationship Id="rId40" Type="http://schemas.openxmlformats.org/officeDocument/2006/relationships/hyperlink" Target="https://learn.microsoft.com/en-us/fabric/" TargetMode="External"/><Relationship Id="rId41" Type="http://schemas.openxmlformats.org/officeDocument/2006/relationships/hyperlink" Target="https://learn.microsoft.com/en-us/azure/well-architected/architect-role/architecture-decision-record" TargetMode="External"/><Relationship Id="rId42" Type="http://schemas.openxmlformats.org/officeDocument/2006/relationships/hyperlink" Target="https://learn.microsoft.com/en-us/azure/cost-management-billing/costs/overview-cost-management" TargetMode="External"/><Relationship Id="rId43" Type="http://schemas.openxmlformats.org/officeDocument/2006/relationships/hyperlink" Target="https://learn.microsoft.com/en-us/azure/cost-management-billing/costs/cost-analysis-common-uses" TargetMode="External"/><Relationship Id="rId44" Type="http://schemas.openxmlformats.org/officeDocument/2006/relationships/hyperlink" Target="https://azure.microsoft.com/en-us/pricing/calculator/" TargetMode="External"/><Relationship Id="rId45" Type="http://schemas.openxmlformats.org/officeDocument/2006/relationships/hyperlink" Target="https://learn.microsoft.com/en-us/azure/azure-monitor/logs/log-analytics-overview" TargetMode="External"/><Relationship Id="rId46" Type="http://schemas.openxmlformats.org/officeDocument/2006/relationships/hyperlink" Target="https://learn.microsoft.com/en-us/azure/azure-monitor/app/app-insights-overview" TargetMode="External"/><Relationship Id="rId47" Type="http://schemas.openxmlformats.org/officeDocument/2006/relationships/hyperlink" Target="https://learn.microsoft.com/en-us/kusto/query/kql-quick-reference" TargetMode="External"/><Relationship Id="rId48" Type="http://schemas.openxmlformats.org/officeDocument/2006/relationships/hyperlink" Target="https://learn.microsoft.com/en-us/azure/azure-functions/functions-overview" TargetMode="External"/><Relationship Id="rId49" Type="http://schemas.openxmlformats.org/officeDocument/2006/relationships/hyperlink" Target="https://learn.microsoft.com/en-us/azure/service-bus-messaging/service-bus-messaging-overview" TargetMode="External"/><Relationship Id="rId50" Type="http://schemas.openxmlformats.org/officeDocument/2006/relationships/hyperlink" Target="https://learn.microsoft.com/en-us/azure/storage/blobs/storage-blobs-introduction" TargetMode="External"/><Relationship Id="rId5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