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 — Create and Configure Azure Blob Storage</w:t>
      </w:r>
    </w:p>
    <w:p>
      <w:pPr>
        <w:pStyle w:val="Subtitle"/>
      </w:pPr>
      <w:r>
        <w:t>LBS | Azure Cloud Architecture Fundamentals for Developers</w:t>
      </w:r>
    </w:p>
    <w:p>
      <w:r>
        <w:t>Scenario: The Building Society application stores sample customer supporting documents (PDFs and images). Use synthetic files only. Duration: 30–40 minutes. Prerequisites: Azure subscription and permissions to create resources and assign data access.</w:t>
      </w:r>
    </w:p>
    <w:p>
      <w:pPr>
        <w:pStyle w:val="Heading1"/>
      </w:pPr>
      <w:r>
        <w:t>1. What and why: Azure Storage</w:t>
      </w:r>
    </w:p>
    <w:p>
      <w:r>
        <w:t>A storage account provides a namespace for Blob, Files, Queues and Table storage. Blob Storage is designed for unstructured objects such as PDF files and images; Azure SQL is better for structured relational data. Hierarchy: Storage Account → Container → Blob.</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Service</w:t>
            </w:r>
          </w:p>
        </w:tc>
        <w:tc>
          <w:tcPr>
            <w:tcW w:type="dxa" w:w="4320"/>
          </w:tcPr>
          <w:p>
            <w:r>
              <w:t>Developer example</w:t>
            </w:r>
          </w:p>
        </w:tc>
      </w:tr>
      <w:tr>
        <w:tc>
          <w:tcPr>
            <w:tcW w:type="dxa" w:w="4320"/>
          </w:tcPr>
          <w:p>
            <w:r>
              <w:t>Blob Storage</w:t>
            </w:r>
          </w:p>
        </w:tc>
        <w:tc>
          <w:tcPr>
            <w:tcW w:type="dxa" w:w="4320"/>
          </w:tcPr>
          <w:p>
            <w:r>
              <w:t>Customer documents, images and exports</w:t>
            </w:r>
          </w:p>
        </w:tc>
      </w:tr>
      <w:tr>
        <w:tc>
          <w:tcPr>
            <w:tcW w:type="dxa" w:w="4320"/>
          </w:tcPr>
          <w:p>
            <w:r>
              <w:t>Azure Files</w:t>
            </w:r>
          </w:p>
        </w:tc>
        <w:tc>
          <w:tcPr>
            <w:tcW w:type="dxa" w:w="4320"/>
          </w:tcPr>
          <w:p>
            <w:r>
              <w:t>Shared file access</w:t>
            </w:r>
          </w:p>
        </w:tc>
      </w:tr>
      <w:tr>
        <w:tc>
          <w:tcPr>
            <w:tcW w:type="dxa" w:w="4320"/>
          </w:tcPr>
          <w:p>
            <w:r>
              <w:t>Queue Storage</w:t>
            </w:r>
          </w:p>
        </w:tc>
        <w:tc>
          <w:tcPr>
            <w:tcW w:type="dxa" w:w="4320"/>
          </w:tcPr>
          <w:p>
            <w:r>
              <w:t>Simple background-work messages</w:t>
            </w:r>
          </w:p>
        </w:tc>
      </w:tr>
      <w:tr>
        <w:tc>
          <w:tcPr>
            <w:tcW w:type="dxa" w:w="4320"/>
          </w:tcPr>
          <w:p>
            <w:r>
              <w:t>Table Storage</w:t>
            </w:r>
          </w:p>
        </w:tc>
        <w:tc>
          <w:tcPr>
            <w:tcW w:type="dxa" w:w="4320"/>
          </w:tcPr>
          <w:p>
            <w:r>
              <w:t>NoSQL key/value-style records</w:t>
            </w:r>
          </w:p>
        </w:tc>
      </w:tr>
    </w:tbl>
    <w:p/>
    <w:p>
      <w:pPr>
        <w:pStyle w:val="Heading1"/>
      </w:pPr>
      <w:r>
        <w:t>2. Create a Storage Account in the Azure portal</w:t>
      </w:r>
    </w:p>
    <w:p>
      <w:pPr>
        <w:pStyle w:val="ListNumber"/>
      </w:pPr>
      <w:r>
        <w:t>Sign in at https://portal.azure.com and search for Storage accounts.</w:t>
      </w:r>
    </w:p>
    <w:p>
      <w:pPr>
        <w:pStyle w:val="ListNumber"/>
      </w:pPr>
      <w:r>
        <w:t>Select + Create and choose the training subscription and instructor-approved resource group (do not assume it is named Training).</w:t>
      </w:r>
    </w:p>
    <w:p>
      <w:pPr>
        <w:pStyle w:val="ListNumber"/>
      </w:pPr>
      <w:r>
        <w:t>On Basics, enter a globally unique lowercase account name (3–24 letters/numbers), e.g. stordemo2026 if available.</w:t>
      </w:r>
    </w:p>
    <w:p>
      <w:pPr>
        <w:pStyle w:val="ListNumber"/>
      </w:pPr>
      <w:r>
        <w:t>Choose the approved region (East US in the supplied example), Standard performance, and LRS redundancy for a low-cost lab.</w:t>
      </w:r>
    </w:p>
    <w:p>
      <w:pPr>
        <w:pStyle w:val="ListNumber"/>
      </w:pPr>
      <w:r>
        <w:t>Review Advanced, Networking, Data protection, Security, Encryption and Tags as described below.</w:t>
      </w:r>
    </w:p>
    <w:p>
      <w:pPr>
        <w:pStyle w:val="ListNumber"/>
      </w:pPr>
      <w:r>
        <w:t>Select Review + create, confirm settings, then Create. After deployment, select Go to resource.</w:t>
      </w:r>
    </w:p>
    <w:p>
      <w:pPr>
        <w:pStyle w:val="Heading2"/>
      </w:pPr>
      <w:r>
        <w:t>Basics: choose based on requirements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Setting</w:t>
            </w:r>
          </w:p>
        </w:tc>
        <w:tc>
          <w:tcPr>
            <w:tcW w:type="dxa" w:w="2880"/>
          </w:tcPr>
          <w:p>
            <w:r>
              <w:t>Lab recommendation</w:t>
            </w:r>
          </w:p>
        </w:tc>
        <w:tc>
          <w:tcPr>
            <w:tcW w:type="dxa" w:w="2880"/>
          </w:tcPr>
          <w:p>
            <w:r>
              <w:t>Reason / trade-off</w:t>
            </w:r>
          </w:p>
        </w:tc>
      </w:tr>
      <w:tr>
        <w:tc>
          <w:tcPr>
            <w:tcW w:type="dxa" w:w="2880"/>
          </w:tcPr>
          <w:p>
            <w:r>
              <w:t>Region</w:t>
            </w:r>
          </w:p>
        </w:tc>
        <w:tc>
          <w:tcPr>
            <w:tcW w:type="dxa" w:w="2880"/>
          </w:tcPr>
          <w:p>
            <w:r>
              <w:t>Approved region (example: East US)</w:t>
            </w:r>
          </w:p>
        </w:tc>
        <w:tc>
          <w:tcPr>
            <w:tcW w:type="dxa" w:w="2880"/>
          </w:tcPr>
          <w:p>
            <w:r>
              <w:t>Data residency, latency and price vary</w:t>
            </w:r>
          </w:p>
        </w:tc>
      </w:tr>
      <w:tr>
        <w:tc>
          <w:tcPr>
            <w:tcW w:type="dxa" w:w="2880"/>
          </w:tcPr>
          <w:p>
            <w:r>
              <w:t>Performance</w:t>
            </w:r>
          </w:p>
        </w:tc>
        <w:tc>
          <w:tcPr>
            <w:tcW w:type="dxa" w:w="2880"/>
          </w:tcPr>
          <w:p>
            <w:r>
              <w:t>Standard</w:t>
            </w:r>
          </w:p>
        </w:tc>
        <w:tc>
          <w:tcPr>
            <w:tcW w:type="dxa" w:w="2880"/>
          </w:tcPr>
          <w:p>
            <w:r>
              <w:t>General document workload</w:t>
            </w:r>
          </w:p>
        </w:tc>
      </w:tr>
      <w:tr>
        <w:tc>
          <w:tcPr>
            <w:tcW w:type="dxa" w:w="2880"/>
          </w:tcPr>
          <w:p>
            <w:r>
              <w:t>Redundancy</w:t>
            </w:r>
          </w:p>
        </w:tc>
        <w:tc>
          <w:tcPr>
            <w:tcW w:type="dxa" w:w="2880"/>
          </w:tcPr>
          <w:p>
            <w:r>
              <w:t>LRS</w:t>
            </w:r>
          </w:p>
        </w:tc>
        <w:tc>
          <w:tcPr>
            <w:tcW w:type="dxa" w:w="2880"/>
          </w:tcPr>
          <w:p>
            <w:r>
              <w:t>Usually lower cost; no zone or geo redundancy</w:t>
            </w:r>
          </w:p>
        </w:tc>
      </w:tr>
      <w:tr>
        <w:tc>
          <w:tcPr>
            <w:tcW w:type="dxa" w:w="2880"/>
          </w:tcPr>
          <w:p>
            <w:r>
              <w:t>RA-GRS (shown in screenshot)</w:t>
            </w:r>
          </w:p>
        </w:tc>
        <w:tc>
          <w:tcPr>
            <w:tcW w:type="dxa" w:w="2880"/>
          </w:tcPr>
          <w:p>
            <w:r>
              <w:t>Not needed for this lab</w:t>
            </w:r>
          </w:p>
        </w:tc>
        <w:tc>
          <w:tcPr>
            <w:tcW w:type="dxa" w:w="2880"/>
          </w:tcPr>
          <w:p>
            <w:r>
              <w:t>Secondary-region read and geo replication increase cost</w:t>
            </w:r>
          </w:p>
        </w:tc>
      </w:tr>
    </w:tbl>
    <w:p/>
    <w:p>
      <w:r>
        <w:t>Replication options: LRS = local copies; ZRS = across availability zones; GRS = geo replication; RA-GRS = GRS with secondary-region read access; GZRS/RA-GZRS combine zone and geo resilience. Replication is not a substitute for backup or soft delete.</w:t>
      </w:r>
    </w:p>
    <w:p>
      <w:pPr>
        <w:pStyle w:val="Heading2"/>
      </w:pPr>
      <w:r>
        <w:t>Advanced: hierarchical namespace and access tier</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Setting</w:t>
            </w:r>
          </w:p>
        </w:tc>
        <w:tc>
          <w:tcPr>
            <w:tcW w:type="dxa" w:w="2880"/>
          </w:tcPr>
          <w:p>
            <w:r>
              <w:t>Lab choice</w:t>
            </w:r>
          </w:p>
        </w:tc>
        <w:tc>
          <w:tcPr>
            <w:tcW w:type="dxa" w:w="2880"/>
          </w:tcPr>
          <w:p>
            <w:r>
              <w:t>Why</w:t>
            </w:r>
          </w:p>
        </w:tc>
      </w:tr>
      <w:tr>
        <w:tc>
          <w:tcPr>
            <w:tcW w:type="dxa" w:w="2880"/>
          </w:tcPr>
          <w:p>
            <w:r>
              <w:t>Hierarchical namespace</w:t>
            </w:r>
          </w:p>
        </w:tc>
        <w:tc>
          <w:tcPr>
            <w:tcW w:type="dxa" w:w="2880"/>
          </w:tcPr>
          <w:p>
            <w:r>
              <w:t>Disabled</w:t>
            </w:r>
          </w:p>
        </w:tc>
        <w:tc>
          <w:tcPr>
            <w:tcW w:type="dxa" w:w="2880"/>
          </w:tcPr>
          <w:p>
            <w:r>
              <w:t>Needed for ADLS Gen2-style analytics/directory semantics, not a simple document lab</w:t>
            </w:r>
          </w:p>
        </w:tc>
      </w:tr>
      <w:tr>
        <w:tc>
          <w:tcPr>
            <w:tcW w:type="dxa" w:w="2880"/>
          </w:tcPr>
          <w:p>
            <w:r>
              <w:t>SFTP / NFS v3</w:t>
            </w:r>
          </w:p>
        </w:tc>
        <w:tc>
          <w:tcPr>
            <w:tcW w:type="dxa" w:w="2880"/>
          </w:tcPr>
          <w:p>
            <w:r>
              <w:t>Disabled</w:t>
            </w:r>
          </w:p>
        </w:tc>
        <w:tc>
          <w:tcPr>
            <w:tcW w:type="dxa" w:w="2880"/>
          </w:tcPr>
          <w:p>
            <w:r>
              <w:t>Enable only for a defined integration requirement</w:t>
            </w:r>
          </w:p>
        </w:tc>
      </w:tr>
      <w:tr>
        <w:tc>
          <w:tcPr>
            <w:tcW w:type="dxa" w:w="2880"/>
          </w:tcPr>
          <w:p>
            <w:r>
              <w:t>Cross-tenant replication</w:t>
            </w:r>
          </w:p>
        </w:tc>
        <w:tc>
          <w:tcPr>
            <w:tcW w:type="dxa" w:w="2880"/>
          </w:tcPr>
          <w:p>
            <w:r>
              <w:t>Disabled</w:t>
            </w:r>
          </w:p>
        </w:tc>
        <w:tc>
          <w:tcPr>
            <w:tcW w:type="dxa" w:w="2880"/>
          </w:tcPr>
          <w:p>
            <w:r>
              <w:t>Avoid unnecessary cross-tenant transfers</w:t>
            </w:r>
          </w:p>
        </w:tc>
      </w:tr>
      <w:tr>
        <w:tc>
          <w:tcPr>
            <w:tcW w:type="dxa" w:w="2880"/>
          </w:tcPr>
          <w:p>
            <w:r>
              <w:t>Default access tier</w:t>
            </w:r>
          </w:p>
        </w:tc>
        <w:tc>
          <w:tcPr>
            <w:tcW w:type="dxa" w:w="2880"/>
          </w:tcPr>
          <w:p>
            <w:r>
              <w:t>Hot</w:t>
            </w:r>
          </w:p>
        </w:tc>
        <w:tc>
          <w:tcPr>
            <w:tcW w:type="dxa" w:w="2880"/>
          </w:tcPr>
          <w:p>
            <w:r>
              <w:t>Suitable for frequent uploads and reads</w:t>
            </w:r>
          </w:p>
        </w:tc>
      </w:tr>
    </w:tbl>
    <w:p/>
    <w:p>
      <w:r>
        <w:t>The supplied screenshot has hierarchical namespace Enabled. This still supports many Blob operations, but some features differ from ordinary Blob Storage. For a new, basic document demo, choose Disabled.</w:t>
      </w:r>
    </w:p>
    <w:p>
      <w:pPr>
        <w:pStyle w:val="Heading2"/>
      </w:pPr>
      <w:r>
        <w:t>Hot, Cool, Cold and Archive: cost and access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Tier</w:t>
            </w:r>
          </w:p>
        </w:tc>
        <w:tc>
          <w:tcPr>
            <w:tcW w:type="dxa" w:w="2880"/>
          </w:tcPr>
          <w:p>
            <w:r>
              <w:t>Typical access</w:t>
            </w:r>
          </w:p>
        </w:tc>
        <w:tc>
          <w:tcPr>
            <w:tcW w:type="dxa" w:w="2880"/>
          </w:tcPr>
          <w:p>
            <w:r>
              <w:t>Pricing / behaviour</w:t>
            </w:r>
          </w:p>
        </w:tc>
      </w:tr>
      <w:tr>
        <w:tc>
          <w:tcPr>
            <w:tcW w:type="dxa" w:w="2880"/>
          </w:tcPr>
          <w:p>
            <w:r>
              <w:t>Hot</w:t>
            </w:r>
          </w:p>
        </w:tc>
        <w:tc>
          <w:tcPr>
            <w:tcW w:type="dxa" w:w="2880"/>
          </w:tcPr>
          <w:p>
            <w:r>
              <w:t>Frequently accessed</w:t>
            </w:r>
          </w:p>
        </w:tc>
        <w:tc>
          <w:tcPr>
            <w:tcW w:type="dxa" w:w="2880"/>
          </w:tcPr>
          <w:p>
            <w:r>
              <w:t>Higher capacity cost; lower access cost</w:t>
            </w:r>
          </w:p>
        </w:tc>
      </w:tr>
      <w:tr>
        <w:tc>
          <w:tcPr>
            <w:tcW w:type="dxa" w:w="2880"/>
          </w:tcPr>
          <w:p>
            <w:r>
              <w:t>Cool</w:t>
            </w:r>
          </w:p>
        </w:tc>
        <w:tc>
          <w:tcPr>
            <w:tcW w:type="dxa" w:w="2880"/>
          </w:tcPr>
          <w:p>
            <w:r>
              <w:t>Infrequent</w:t>
            </w:r>
          </w:p>
        </w:tc>
        <w:tc>
          <w:tcPr>
            <w:tcW w:type="dxa" w:w="2880"/>
          </w:tcPr>
          <w:p>
            <w:r>
              <w:t>Lower capacity cost; higher read/retrieval costs; 30-day minimum duration</w:t>
            </w:r>
          </w:p>
        </w:tc>
      </w:tr>
      <w:tr>
        <w:tc>
          <w:tcPr>
            <w:tcW w:type="dxa" w:w="2880"/>
          </w:tcPr>
          <w:p>
            <w:r>
              <w:t>Cold</w:t>
            </w:r>
          </w:p>
        </w:tc>
        <w:tc>
          <w:tcPr>
            <w:tcW w:type="dxa" w:w="2880"/>
          </w:tcPr>
          <w:p>
            <w:r>
              <w:t>Rare</w:t>
            </w:r>
          </w:p>
        </w:tc>
        <w:tc>
          <w:tcPr>
            <w:tcW w:type="dxa" w:w="2880"/>
          </w:tcPr>
          <w:p>
            <w:r>
              <w:t>Lower capacity cost; higher retrieval costs; 90-day minimum duration</w:t>
            </w:r>
          </w:p>
        </w:tc>
      </w:tr>
      <w:tr>
        <w:tc>
          <w:tcPr>
            <w:tcW w:type="dxa" w:w="2880"/>
          </w:tcPr>
          <w:p>
            <w:r>
              <w:t>Archive</w:t>
            </w:r>
          </w:p>
        </w:tc>
        <w:tc>
          <w:tcPr>
            <w:tcW w:type="dxa" w:w="2880"/>
          </w:tcPr>
          <w:p>
            <w:r>
              <w:t>Long-term, delayed access</w:t>
            </w:r>
          </w:p>
        </w:tc>
        <w:tc>
          <w:tcPr>
            <w:tcW w:type="dxa" w:w="2880"/>
          </w:tcPr>
          <w:p>
            <w:r>
              <w:t>Offline tier; rehydration required; 180-day minimum duration</w:t>
            </w:r>
          </w:p>
        </w:tc>
      </w:tr>
    </w:tbl>
    <w:p/>
    <w:p>
      <w:r>
        <w:t>Example: A mortgage application document may stay Hot while actively reviewed, then move to Cool/Cold under a lifecycle rule. Archive only if delayed retrieval is acceptable. Exact prices depend on region, redundancy, capacity, transactions, data retrieval and transfers. Archive is a blob-level tier, not the usual account default.</w:t>
      </w:r>
    </w:p>
    <w:p>
      <w:pPr>
        <w:pStyle w:val="Heading1"/>
      </w:pPr>
      <w:r>
        <w:t>3. Networking, data protection and security choices</w:t>
      </w:r>
    </w:p>
    <w:p>
      <w:pPr>
        <w:pStyle w:val="Heading2"/>
      </w:pPr>
      <w:r>
        <w:t>Networking</w:t>
      </w:r>
    </w:p>
    <w:p>
      <w:r>
        <w:t>Screenshot: Public network access Enabled from all networks. This allows endpoint reachability but does NOT permit anonymous blob reads. For a training lab, public endpoint access may be needed. For production, follow the platform team’s approved restricted-network/private-endpoint design.</w:t>
      </w:r>
    </w:p>
    <w:p>
      <w:pPr>
        <w:pStyle w:val="Heading2"/>
      </w:pPr>
      <w:r>
        <w:t>Data protection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Setting</w:t>
            </w:r>
          </w:p>
        </w:tc>
        <w:tc>
          <w:tcPr>
            <w:tcW w:type="dxa" w:w="2880"/>
          </w:tcPr>
          <w:p>
            <w:r>
              <w:t>Lab choice</w:t>
            </w:r>
          </w:p>
        </w:tc>
        <w:tc>
          <w:tcPr>
            <w:tcW w:type="dxa" w:w="2880"/>
          </w:tcPr>
          <w:p>
            <w:r>
              <w:t>Note</w:t>
            </w:r>
          </w:p>
        </w:tc>
      </w:tr>
      <w:tr>
        <w:tc>
          <w:tcPr>
            <w:tcW w:type="dxa" w:w="2880"/>
          </w:tcPr>
          <w:p>
            <w:r>
              <w:t>Blob soft delete</w:t>
            </w:r>
          </w:p>
        </w:tc>
        <w:tc>
          <w:tcPr>
            <w:tcW w:type="dxa" w:w="2880"/>
          </w:tcPr>
          <w:p>
            <w:r>
              <w:t>Enabled; 7 days</w:t>
            </w:r>
          </w:p>
        </w:tc>
        <w:tc>
          <w:tcPr>
            <w:tcW w:type="dxa" w:w="2880"/>
          </w:tcPr>
          <w:p>
            <w:r>
              <w:t>Recover deleted blobs during retention window</w:t>
            </w:r>
          </w:p>
        </w:tc>
      </w:tr>
      <w:tr>
        <w:tc>
          <w:tcPr>
            <w:tcW w:type="dxa" w:w="2880"/>
          </w:tcPr>
          <w:p>
            <w:r>
              <w:t>Container soft delete</w:t>
            </w:r>
          </w:p>
        </w:tc>
        <w:tc>
          <w:tcPr>
            <w:tcW w:type="dxa" w:w="2880"/>
          </w:tcPr>
          <w:p>
            <w:r>
              <w:t>Enabled; 7 days</w:t>
            </w:r>
          </w:p>
        </w:tc>
        <w:tc>
          <w:tcPr>
            <w:tcW w:type="dxa" w:w="2880"/>
          </w:tcPr>
          <w:p>
            <w:r>
              <w:t>Recover deleted containers</w:t>
            </w:r>
          </w:p>
        </w:tc>
      </w:tr>
      <w:tr>
        <w:tc>
          <w:tcPr>
            <w:tcW w:type="dxa" w:w="2880"/>
          </w:tcPr>
          <w:p>
            <w:r>
              <w:t>Versioning</w:t>
            </w:r>
          </w:p>
        </w:tc>
        <w:tc>
          <w:tcPr>
            <w:tcW w:type="dxa" w:w="2880"/>
          </w:tcPr>
          <w:p>
            <w:r>
              <w:t>Optional; Disabled for simple lab</w:t>
            </w:r>
          </w:p>
        </w:tc>
        <w:tc>
          <w:tcPr>
            <w:tcW w:type="dxa" w:w="2880"/>
          </w:tcPr>
          <w:p>
            <w:r>
              <w:t>Useful for recovery when supported; additional stored versions cost money</w:t>
            </w:r>
          </w:p>
        </w:tc>
      </w:tr>
      <w:tr>
        <w:tc>
          <w:tcPr>
            <w:tcW w:type="dxa" w:w="2880"/>
          </w:tcPr>
          <w:p>
            <w:r>
              <w:t>Point-in-time restore</w:t>
            </w:r>
          </w:p>
        </w:tc>
        <w:tc>
          <w:tcPr>
            <w:tcW w:type="dxa" w:w="2880"/>
          </w:tcPr>
          <w:p>
            <w:r>
              <w:t>Disabled</w:t>
            </w:r>
          </w:p>
        </w:tc>
        <w:tc>
          <w:tcPr>
            <w:tcW w:type="dxa" w:w="2880"/>
          </w:tcPr>
          <w:p>
            <w:r>
              <w:t>Advanced recovery feature; not needed in this exercise</w:t>
            </w:r>
          </w:p>
        </w:tc>
      </w:tr>
      <w:tr>
        <w:tc>
          <w:tcPr>
            <w:tcW w:type="dxa" w:w="2880"/>
          </w:tcPr>
          <w:p>
            <w:r>
              <w:t>Immutability</w:t>
            </w:r>
          </w:p>
        </w:tc>
        <w:tc>
          <w:tcPr>
            <w:tcW w:type="dxa" w:w="2880"/>
          </w:tcPr>
          <w:p>
            <w:r>
              <w:t>Disabled</w:t>
            </w:r>
          </w:p>
        </w:tc>
        <w:tc>
          <w:tcPr>
            <w:tcW w:type="dxa" w:w="2880"/>
          </w:tcPr>
          <w:p>
            <w:r>
              <w:t>Use for explicit retention/compliance requirements</w:t>
            </w:r>
          </w:p>
        </w:tc>
      </w:tr>
    </w:tbl>
    <w:p/>
    <w:p>
      <w:pPr>
        <w:pStyle w:val="Heading2"/>
      </w:pPr>
      <w:r>
        <w:t>Security and encryption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Setting</w:t>
            </w:r>
          </w:p>
        </w:tc>
        <w:tc>
          <w:tcPr>
            <w:tcW w:type="dxa" w:w="4320"/>
          </w:tcPr>
          <w:p>
            <w:r>
              <w:t>Lab choice / guidance</w:t>
            </w:r>
          </w:p>
        </w:tc>
      </w:tr>
      <w:tr>
        <w:tc>
          <w:tcPr>
            <w:tcW w:type="dxa" w:w="4320"/>
          </w:tcPr>
          <w:p>
            <w:r>
              <w:t>Secure transfer required</w:t>
            </w:r>
          </w:p>
        </w:tc>
        <w:tc>
          <w:tcPr>
            <w:tcW w:type="dxa" w:w="4320"/>
          </w:tcPr>
          <w:p>
            <w:r>
              <w:t>Enabled; HTTPS only</w:t>
            </w:r>
          </w:p>
        </w:tc>
      </w:tr>
      <w:tr>
        <w:tc>
          <w:tcPr>
            <w:tcW w:type="dxa" w:w="4320"/>
          </w:tcPr>
          <w:p>
            <w:r>
              <w:t>Anonymous Blob access</w:t>
            </w:r>
          </w:p>
        </w:tc>
        <w:tc>
          <w:tcPr>
            <w:tcW w:type="dxa" w:w="4320"/>
          </w:tcPr>
          <w:p>
            <w:r>
              <w:t>Disabled</w:t>
            </w:r>
          </w:p>
        </w:tc>
      </w:tr>
      <w:tr>
        <w:tc>
          <w:tcPr>
            <w:tcW w:type="dxa" w:w="4320"/>
          </w:tcPr>
          <w:p>
            <w:r>
              <w:t>Storage account key access</w:t>
            </w:r>
          </w:p>
        </w:tc>
        <w:tc>
          <w:tcPr>
            <w:tcW w:type="dxa" w:w="4320"/>
          </w:tcPr>
          <w:p>
            <w:r>
              <w:t>May be enabled for compatibility in lab; prefer disabling when clients support Entra ID</w:t>
            </w:r>
          </w:p>
        </w:tc>
      </w:tr>
      <w:tr>
        <w:tc>
          <w:tcPr>
            <w:tcW w:type="dxa" w:w="4320"/>
          </w:tcPr>
          <w:p>
            <w:r>
              <w:t>Default to Microsoft Entra authorisation in portal</w:t>
            </w:r>
          </w:p>
        </w:tc>
        <w:tc>
          <w:tcPr>
            <w:tcW w:type="dxa" w:w="4320"/>
          </w:tcPr>
          <w:p>
            <w:r>
              <w:t>Enable for identity-based portal workflow</w:t>
            </w:r>
          </w:p>
        </w:tc>
      </w:tr>
      <w:tr>
        <w:tc>
          <w:tcPr>
            <w:tcW w:type="dxa" w:w="4320"/>
          </w:tcPr>
          <w:p>
            <w:r>
              <w:t>Minimum TLS version</w:t>
            </w:r>
          </w:p>
        </w:tc>
        <w:tc>
          <w:tcPr>
            <w:tcW w:type="dxa" w:w="4320"/>
          </w:tcPr>
          <w:p>
            <w:r>
              <w:t>At least 1.2</w:t>
            </w:r>
          </w:p>
        </w:tc>
      </w:tr>
      <w:tr>
        <w:tc>
          <w:tcPr>
            <w:tcW w:type="dxa" w:w="4320"/>
          </w:tcPr>
          <w:p>
            <w:r>
              <w:t>Encryption at rest</w:t>
            </w:r>
          </w:p>
        </w:tc>
        <w:tc>
          <w:tcPr>
            <w:tcW w:type="dxa" w:w="4320"/>
          </w:tcPr>
          <w:p>
            <w:r>
              <w:t>Microsoft-managed keys are suitable for the lab</w:t>
            </w:r>
          </w:p>
        </w:tc>
      </w:tr>
    </w:tbl>
    <w:p/>
    <w:p>
      <w:r>
        <w:t>Authentication ≠ authorisation. Microsoft Entra authenticates a user or workload; a data-plane role such as Storage Blob Data Contributor grants upload rights. Contributor on the Azure resource alone does not necessarily grant access to blob data. Prefer Managed Identity for App Service rather than storing storage account keys in code.</w:t>
      </w:r>
    </w:p>
    <w:p>
      <w:r>
        <w:t>Production tip: Check tool compatibility before disabling Shared Key access. Customer-managed encryption keys add control but also key-management responsibilities.</w:t>
      </w:r>
    </w:p>
    <w:p>
      <w:pPr>
        <w:pStyle w:val="Heading2"/>
      </w:pPr>
      <w:r>
        <w:t>Tags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Tag</w:t>
            </w:r>
          </w:p>
        </w:tc>
        <w:tc>
          <w:tcPr>
            <w:tcW w:type="dxa" w:w="4320"/>
          </w:tcPr>
          <w:p>
            <w:r>
              <w:t>Example</w:t>
            </w:r>
          </w:p>
        </w:tc>
      </w:tr>
      <w:tr>
        <w:tc>
          <w:tcPr>
            <w:tcW w:type="dxa" w:w="4320"/>
          </w:tcPr>
          <w:p>
            <w:r>
              <w:t>Environment</w:t>
            </w:r>
          </w:p>
        </w:tc>
        <w:tc>
          <w:tcPr>
            <w:tcW w:type="dxa" w:w="4320"/>
          </w:tcPr>
          <w:p>
            <w:r>
              <w:t>Training</w:t>
            </w:r>
          </w:p>
        </w:tc>
      </w:tr>
      <w:tr>
        <w:tc>
          <w:tcPr>
            <w:tcW w:type="dxa" w:w="4320"/>
          </w:tcPr>
          <w:p>
            <w:r>
              <w:t>Application</w:t>
            </w:r>
          </w:p>
        </w:tc>
        <w:tc>
          <w:tcPr>
            <w:tcW w:type="dxa" w:w="4320"/>
          </w:tcPr>
          <w:p>
            <w:r>
              <w:t>BuildingSocietyDemo</w:t>
            </w:r>
          </w:p>
        </w:tc>
      </w:tr>
      <w:tr>
        <w:tc>
          <w:tcPr>
            <w:tcW w:type="dxa" w:w="4320"/>
          </w:tcPr>
          <w:p>
            <w:r>
              <w:t>Owner</w:t>
            </w:r>
          </w:p>
        </w:tc>
        <w:tc>
          <w:tcPr>
            <w:tcW w:type="dxa" w:w="4320"/>
          </w:tcPr>
          <w:p>
            <w:r>
              <w:t>AzureTraining</w:t>
            </w:r>
          </w:p>
        </w:tc>
      </w:tr>
      <w:tr>
        <w:tc>
          <w:tcPr>
            <w:tcW w:type="dxa" w:w="4320"/>
          </w:tcPr>
          <w:p>
            <w:r>
              <w:t>CostCentre</w:t>
            </w:r>
          </w:p>
        </w:tc>
        <w:tc>
          <w:tcPr>
            <w:tcW w:type="dxa" w:w="4320"/>
          </w:tcPr>
          <w:p>
            <w:r>
              <w:t>Learning</w:t>
            </w:r>
          </w:p>
        </w:tc>
      </w:tr>
    </w:tbl>
    <w:p/>
    <w:p>
      <w:pPr>
        <w:pStyle w:val="Heading1"/>
      </w:pPr>
      <w:r>
        <w:t>4. Hands-on: create a container and upload a sample file</w:t>
      </w:r>
    </w:p>
    <w:p>
      <w:pPr>
        <w:pStyle w:val="ListNumber"/>
      </w:pPr>
      <w:r>
        <w:t>Open the deployed Storage Account and select Data storage → Containers.</w:t>
      </w:r>
    </w:p>
    <w:p>
      <w:pPr>
        <w:pStyle w:val="ListNumber"/>
      </w:pPr>
      <w:r>
        <w:t>Select + Container and enter customer-documents. Keep anonymous access Private.</w:t>
      </w:r>
    </w:p>
    <w:p>
      <w:pPr>
        <w:pStyle w:val="ListNumber"/>
      </w:pPr>
      <w:r>
        <w:t>Select Create and open the container.</w:t>
      </w:r>
    </w:p>
    <w:p>
      <w:pPr>
        <w:pStyle w:val="ListNumber"/>
      </w:pPr>
      <w:r>
        <w:t>Select Upload and choose a synthetic PDF or TXT file (never real customer information).</w:t>
      </w:r>
    </w:p>
    <w:p>
      <w:pPr>
        <w:pStyle w:val="ListNumber"/>
      </w:pPr>
      <w:r>
        <w:t>Upload the file and verify it appears in the blob list.</w:t>
      </w:r>
    </w:p>
    <w:p>
      <w:pPr>
        <w:pStyle w:val="ListNumber"/>
      </w:pPr>
      <w:r>
        <w:t>Open the blob properties and inspect its size, access tier and URL. Do not assume the URL is publicly accessible.</w:t>
      </w:r>
    </w:p>
    <w:p>
      <w:r>
        <w:t>Expected result: A private container contains the sample blob. If access is denied, confirm your Entra identity has an appropriate Blob data role and that the network rules permit your connection. Role assignments may take time to propagate.</w:t>
      </w:r>
    </w:p>
    <w:p>
      <w:pPr>
        <w:pStyle w:val="Heading1"/>
      </w:pPr>
      <w:r>
        <w:t>5. Cost-management mini exercise</w:t>
      </w:r>
    </w:p>
    <w:p>
      <w:pPr>
        <w:pStyle w:val="ListNumber"/>
      </w:pPr>
      <w:r>
        <w:t>Open the Azure Pricing Calculator: https://azure.microsoft.com/en-us/pricing/calculator/.</w:t>
      </w:r>
    </w:p>
    <w:p>
      <w:pPr>
        <w:pStyle w:val="ListNumber"/>
      </w:pPr>
      <w:r>
        <w:t>Compare the same capacity and operations under Hot versus Cool. Include retrieval/transaction assumptions.</w:t>
      </w:r>
    </w:p>
    <w:p>
      <w:pPr>
        <w:pStyle w:val="ListNumber"/>
      </w:pPr>
      <w:r>
        <w:t>Compare LRS and RA-GRS for the same region and capacity.</w:t>
      </w:r>
    </w:p>
    <w:p>
      <w:pPr>
        <w:pStyle w:val="ListNumber"/>
      </w:pPr>
      <w:r>
        <w:t>Discuss how soft delete, versioning, lifecycle policies and non-production cleanup affect cost.</w:t>
      </w:r>
    </w:p>
    <w:p>
      <w:pPr>
        <w:pStyle w:val="ListNumber"/>
      </w:pPr>
      <w:r>
        <w:t>Write down a recommended lab configuration and a different production recommendation, explaining the trade-offs.</w:t>
      </w:r>
    </w:p>
    <w:p>
      <w:r>
        <w:t>Remember: A lower storage-per-GB rate does not always mean a lower total bill. Access, retrieval, replication and retention charges matter.</w:t>
      </w:r>
    </w:p>
    <w:p>
      <w:pPr>
        <w:pStyle w:val="Heading1"/>
      </w:pPr>
      <w:r>
        <w:t>6. Architecture discussion and knowledge check</w:t>
      </w:r>
    </w:p>
    <w:p>
      <w:pPr>
        <w:pStyle w:val="ListNumber"/>
      </w:pPr>
      <w:r>
        <w:t>Why store uploaded PDFs in Blob rather than Azure SQL?</w:t>
      </w:r>
    </w:p>
    <w:p>
      <w:pPr>
        <w:pStyle w:val="ListNumber"/>
      </w:pPr>
      <w:r>
        <w:t>When would hierarchical namespace be useful?</w:t>
      </w:r>
    </w:p>
    <w:p>
      <w:pPr>
        <w:pStyle w:val="ListNumber"/>
      </w:pPr>
      <w:r>
        <w:t>How do Hot, Cool, Cold and Archive differ?</w:t>
      </w:r>
    </w:p>
    <w:p>
      <w:pPr>
        <w:pStyle w:val="ListNumber"/>
      </w:pPr>
      <w:r>
        <w:t>Why might RA-GRS be unnecessary in a lab?</w:t>
      </w:r>
    </w:p>
    <w:p>
      <w:pPr>
        <w:pStyle w:val="ListNumber"/>
      </w:pPr>
      <w:r>
        <w:t>What is the difference between public network access and anonymous Blob access?</w:t>
      </w:r>
    </w:p>
    <w:p>
      <w:pPr>
        <w:pStyle w:val="ListNumber"/>
      </w:pPr>
      <w:r>
        <w:t>Why use Managed Identity instead of a storage account key?</w:t>
      </w:r>
    </w:p>
    <w:p>
      <w:pPr>
        <w:pStyle w:val="ListNumber"/>
      </w:pPr>
      <w:r>
        <w:t>How do soft delete and versioning affect cost?</w:t>
      </w:r>
    </w:p>
    <w:p>
      <w:pPr>
        <w:pStyle w:val="Heading1"/>
      </w:pPr>
      <w:r>
        <w:t>7. Cleanup and references</w:t>
      </w:r>
    </w:p>
    <w:p>
      <w:r>
        <w:t>Delete sample blobs and, when authorised, the lab resource group after confirming it contains no shared resources. Soft-delete retention can keep recoverable data and charges after deletion.</w:t>
      </w:r>
    </w:p>
    <w:p>
      <w:r>
        <w:t>https://learn.microsoft.com/en-us/azure/storage/common/storage-account-create</w:t>
      </w:r>
    </w:p>
    <w:p>
      <w:r>
        <w:t>https://learn.microsoft.com/en-us/azure/storage/blobs/access-tiers-overview</w:t>
      </w:r>
    </w:p>
    <w:p>
      <w:r>
        <w:t>https://learn.microsoft.com/en-us/azure/storage/blobs/authorize-access-azure-active-directory</w:t>
      </w:r>
    </w:p>
    <w:p>
      <w:r>
        <w:t>https://azure.microsoft.com/en-us/pricing/calculator/</w:t>
      </w:r>
    </w:p>
    <w:p>
      <w:r>
        <w:br w:type="page"/>
      </w:r>
    </w:p>
    <w:p>
      <w:pPr>
        <w:pStyle w:val="Heading1"/>
      </w:pPr>
      <w:r>
        <w:t>Reviewed v2: attendee-safe storage setup</w:t>
      </w:r>
    </w:p>
    <w:p>
      <w:r>
        <w:t>This copy preserves the original teaching content and diagrams. The notes below clarify the setup and verification gaps found during review; no Azure deployment was executed.</w:t>
      </w:r>
    </w:p>
    <w:p>
      <w:r>
        <w:t>Use the instructor-approved region and resource group, not a fixed East US/Training value. Use a fresh globally unique account name rather than copying stordemo2026.</w:t>
      </w:r>
    </w:p>
    <w:p>
      <w:r>
        <w:t>For the basic Blob lab choose Standard general-purpose v2, hierarchical namespace disabled, Hot and approved LRS. Redundancy is not a backup. Public network reachability does not mean anonymous blob access: keep anonymous access disabled and containers private. Use only the approved network route; do not open all networks just to bypass an error.</w:t>
      </w:r>
    </w:p>
    <w:p>
      <w:r>
        <w:t>If permitted, the role administrator opens the storage account or container &gt; Access control (IAM) &gt; Add role assignment, selects Storage Blob Data Contributor, selects the learner's actual Entra user, reviews scope and saves. Contributor alone is not Blob data access. Portal navigation can additionally require management read access. Select Entra user authentication in the container and allow role propagation; do not switch to account keys.</w:t>
      </w:r>
    </w:p>
    <w:p>
      <w:r>
        <w:t>Verify upload AND authenticated download of a small fictional text file. Opening a bare URL without authentication should not grant public access. Failure to load anonymously is expected.</w:t>
      </w:r>
    </w:p>
    <w:p>
      <w:r>
        <w:t>Cool/Cold/Archive minimum-duration examples depend on account/blob type and pricing. For standard general-purpose v2 block-blob examples, commonly documented periods are 30/90/180 days; early deletion/re-tiering may incur charges. Do not treat these as every storage account's universal retention policy. Archive is offline and rehydration has delay/cost.</w:t>
      </w:r>
    </w:p>
    <w:p>
      <w:r>
        <w:t>Soft deletion/versioning can retain billable data. A delete operation is not necessarily immediate removal of all retained copies. Do not purge shared or protected data in class.</w:t>
      </w:r>
    </w:p>
    <w:p>
      <w:r>
        <w:t>For Blob diagnostics use the Blob service diagnostic setting and a selected category, not an assumption that the workspace collects all data automatically. Follow the Log Analytics handout for StorageBlobLogs and legacy-schema cautions.</w:t>
      </w:r>
    </w:p>
    <w:p>
      <w:r>
        <w:t>For KQL counts, distinguish stored telemetry rows from represented requests under sampling. Keep workspace AppRequests/TimeGenerated and resource-context requests/timestamp separate.</w:t>
      </w:r>
    </w:p>
    <w:p>
      <w:r>
        <w:t>For .NET 10 Functions use isolated worker and an approved compatible plan; legacy Linux Consumption does not support .NET 10. Budgets notify rather than enforce a general spend cap.</w:t>
      </w:r>
    </w:p>
    <w:p>
      <w:r>
        <w:t>Use Service Handouts for matching portal creation exercises. The main guide contains a connected fictional document example, not a claim that a complete production app exists.</w:t>
      </w:r>
    </w:p>
    <w:p>
      <w:r>
        <w:drawing>
          <wp:inline xmlns:a="http://schemas.openxmlformats.org/drawingml/2006/main" xmlns:pic="http://schemas.openxmlformats.org/drawingml/2006/picture">
            <wp:extent cx="6126480" cy="1756258"/>
            <wp:docPr id="1" name="Picture 1"/>
            <wp:cNvGraphicFramePr>
              <a:graphicFrameLocks noChangeAspect="1"/>
            </wp:cNvGraphicFramePr>
            <a:graphic>
              <a:graphicData uri="http://schemas.openxmlformats.org/drawingml/2006/picture">
                <pic:pic>
                  <pic:nvPicPr>
                    <pic:cNvPr id="0" name="Reviewed_v2__attendee_safe_storage_setup.png"/>
                    <pic:cNvPicPr/>
                  </pic:nvPicPr>
                  <pic:blipFill>
                    <a:blip r:embed="rId10"/>
                    <a:stretch>
                      <a:fillRect/>
                    </a:stretch>
                  </pic:blipFill>
                  <pic:spPr>
                    <a:xfrm>
                      <a:off x="0" y="0"/>
                      <a:ext cx="6126480" cy="1756258"/>
                    </a:xfrm>
                    <a:prstGeom prst="rect"/>
                  </pic:spPr>
                </pic:pic>
              </a:graphicData>
            </a:graphic>
          </wp:inline>
        </w:drawing>
      </w:r>
    </w:p>
    <w:sectPr w:rsidR="00FC693F" w:rsidRPr="0006063C" w:rsidSect="00034616">
      <w:footerReference w:type="default" r:id="rId9"/>
      <w:pgSz w:w="12240" w:h="15840"/>
      <w:pgMar w:top="1008"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LBS | Lab0 — Azure Blob Storage | Training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005BA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005B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color w:val="005BA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