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 — Create and Configure Azure SQL Database</w:t>
      </w:r>
    </w:p>
    <w:p>
      <w:pPr>
        <w:pStyle w:val="Subtitle"/>
      </w:pPr>
      <w:r>
        <w:t>LBS | Azure Cloud Architecture Fundamentals for Developers</w:t>
      </w:r>
    </w:p>
    <w:p>
      <w:r>
        <w:t>Scenario: The Building Society application needs a managed relational database for application records. Create an Azure SQL Database, make security and cost decisions, connect safely and run a simple SQL test. Use fictional data only.</w:t>
      </w:r>
    </w:p>
    <w:p>
      <w:r>
        <w:t>Duration: 40–55 minutes | Level: Azure beginner with SQL/.NET experience | Prerequisites: training subscription, permission to deploy SQL resources, approved region and access to Azure portal.</w:t>
      </w:r>
    </w:p>
    <w:p>
      <w:pPr>
        <w:pStyle w:val="Heading1"/>
      </w:pPr>
      <w:r>
        <w:t>1. What and why: Azure SQL Database</w:t>
      </w:r>
    </w:p>
    <w:p>
      <w:r>
        <w:t>Azure SQL Database is a fully managed relational database service (PaaS) based on the SQL Server engine. Azure manages much of the underlying infrastructure, patching and backups; developers remain responsible for schema, queries, application connectivity, access and performance.</w:t>
      </w:r>
    </w:p>
    <w:tbl>
      <w:tblPr>
        <w:tblStyle w:val="LightShading-Accent1"/>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Why Azure SQL?</w:t>
            </w:r>
          </w:p>
        </w:tc>
      </w:tr>
      <w:tr>
        <w:tc>
          <w:tcPr>
            <w:tcW w:type="dxa" w:w="4320"/>
          </w:tcPr>
          <w:p>
            <w:r>
              <w:t>Relational application data</w:t>
            </w:r>
          </w:p>
        </w:tc>
        <w:tc>
          <w:tcPr>
            <w:tcW w:type="dxa" w:w="4320"/>
          </w:tcPr>
          <w:p>
            <w:r>
              <w:t>Tables, relationships, transactions, SQL and familiar T-SQL</w:t>
            </w:r>
          </w:p>
        </w:tc>
      </w:tr>
      <w:tr>
        <w:tc>
          <w:tcPr>
            <w:tcW w:type="dxa" w:w="4320"/>
          </w:tcPr>
          <w:p>
            <w:r>
              <w:t>Less infrastructure management</w:t>
            </w:r>
          </w:p>
        </w:tc>
        <w:tc>
          <w:tcPr>
            <w:tcW w:type="dxa" w:w="4320"/>
          </w:tcPr>
          <w:p>
            <w:r>
              <w:t>No customer-managed SQL Server VM or OS patching</w:t>
            </w:r>
          </w:p>
        </w:tc>
      </w:tr>
      <w:tr>
        <w:tc>
          <w:tcPr>
            <w:tcW w:type="dxa" w:w="4320"/>
          </w:tcPr>
          <w:p>
            <w:r>
              <w:t>Application integration</w:t>
            </w:r>
          </w:p>
        </w:tc>
        <w:tc>
          <w:tcPr>
            <w:tcW w:type="dxa" w:w="4320"/>
          </w:tcPr>
          <w:p>
            <w:r>
              <w:t>Connect from .NET using Microsoft.Data.SqlClient and Microsoft Entra identity</w:t>
            </w:r>
          </w:p>
        </w:tc>
      </w:tr>
      <w:tr>
        <w:tc>
          <w:tcPr>
            <w:tcW w:type="dxa" w:w="4320"/>
          </w:tcPr>
          <w:p>
            <w:r>
              <w:t>Operational features</w:t>
            </w:r>
          </w:p>
        </w:tc>
        <w:tc>
          <w:tcPr>
            <w:tcW w:type="dxa" w:w="4320"/>
          </w:tcPr>
          <w:p>
            <w:r>
              <w:t>Automated backups, monitoring and configurable performance</w:t>
            </w:r>
          </w:p>
        </w:tc>
      </w:tr>
    </w:tbl>
    <w:p/>
    <w:p>
      <w:r>
        <w:t>Architecture: .NET App Service → (Managed Identity / Entra token) → Azure SQL Database. The database is hosted on a logical SQL server, which provides administrative and connectivity settings; it is not a customer-managed VM.</w:t>
      </w:r>
    </w:p>
    <w:p>
      <w:pPr>
        <w:pStyle w:val="Heading1"/>
      </w:pPr>
      <w:r>
        <w:t>2. Create Azure SQL Database in the portal</w:t>
      </w:r>
    </w:p>
    <w:p>
      <w:pPr>
        <w:pStyle w:val="ListNumber"/>
      </w:pPr>
      <w:r>
        <w:t>Sign in to https://portal.azure.com. Search for SQL databases and select + Create.</w:t>
      </w:r>
    </w:p>
    <w:p>
      <w:pPr>
        <w:pStyle w:val="ListNumber"/>
      </w:pPr>
      <w:r>
        <w:t>On Basics, select your training subscription and resource group Training.</w:t>
      </w:r>
    </w:p>
    <w:p>
      <w:pPr>
        <w:pStyle w:val="ListNumber"/>
      </w:pPr>
      <w:r>
        <w:t>Enter database name firstdb (or another approved unique name within the logical server).</w:t>
      </w:r>
    </w:p>
    <w:p>
      <w:pPr>
        <w:pStyle w:val="ListNumber"/>
      </w:pPr>
      <w:r>
        <w:t>Select Create new server. Enter a globally unique server name, approved region (Central US in the screenshot), and choose the Microsoft Entra administrator if available. Configure SQL authentication only if required by the lab policy.</w:t>
      </w:r>
    </w:p>
    <w:p>
      <w:pPr>
        <w:pStyle w:val="ListNumber"/>
      </w:pPr>
      <w:r>
        <w:t>Under Compute + storage, review the service tier, hardware, compute model, max storage and auto-pause options. Do not accept a pricing choice without reviewing it.</w:t>
      </w:r>
    </w:p>
    <w:p>
      <w:pPr>
        <w:pStyle w:val="ListNumber"/>
      </w:pPr>
      <w:r>
        <w:t>Complete Networking, Security, Additional settings and Tags using the guidance below.</w:t>
      </w:r>
    </w:p>
    <w:p>
      <w:pPr>
        <w:pStyle w:val="ListNumber"/>
      </w:pPr>
      <w:r>
        <w:t>Select Review + create, check estimated charges and security choices, then Create. After deployment select Go to resource.</w:t>
      </w:r>
    </w:p>
    <w:p>
      <w:pPr>
        <w:pStyle w:val="Heading1"/>
      </w:pPr>
      <w:r>
        <w:t>3. Basics: service tier, compute and cost</w:t>
      </w:r>
    </w:p>
    <w:p>
      <w:r>
        <w:t>The screenshot shows General Purpose (GP_S_Gen5_1), a serverless vCore configuration, with 41.6 GB maximum storage and separate compute/storage estimates. The displayed rates are an example, not a guaranteed current quote. Compute billed by vCore-second depends on activity, configured minimum/maximum capacity and auto-pause eligibility.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Choice</w:t>
            </w:r>
          </w:p>
        </w:tc>
        <w:tc>
          <w:tcPr>
            <w:tcW w:type="dxa" w:w="2880"/>
          </w:tcPr>
          <w:p>
            <w:r>
              <w:t>What it means</w:t>
            </w:r>
          </w:p>
        </w:tc>
        <w:tc>
          <w:tcPr>
            <w:tcW w:type="dxa" w:w="2880"/>
          </w:tcPr>
          <w:p>
            <w:r>
              <w:t>When to consider</w:t>
            </w:r>
          </w:p>
        </w:tc>
      </w:tr>
      <w:tr>
        <w:tc>
          <w:tcPr>
            <w:tcW w:type="dxa" w:w="2880"/>
          </w:tcPr>
          <w:p>
            <w:r>
              <w:t>General Purpose</w:t>
            </w:r>
          </w:p>
        </w:tc>
        <w:tc>
          <w:tcPr>
            <w:tcW w:type="dxa" w:w="2880"/>
          </w:tcPr>
          <w:p>
            <w:r>
              <w:t>Balanced compute and storage for many workloads</w:t>
            </w:r>
          </w:p>
        </w:tc>
        <w:tc>
          <w:tcPr>
            <w:tcW w:type="dxa" w:w="2880"/>
          </w:tcPr>
          <w:p>
            <w:r>
              <w:t>Typical application databases</w:t>
            </w:r>
          </w:p>
        </w:tc>
      </w:tr>
      <w:tr>
        <w:tc>
          <w:tcPr>
            <w:tcW w:type="dxa" w:w="2880"/>
          </w:tcPr>
          <w:p>
            <w:r>
              <w:t>Business Critical</w:t>
            </w:r>
          </w:p>
        </w:tc>
        <w:tc>
          <w:tcPr>
            <w:tcW w:type="dxa" w:w="2880"/>
          </w:tcPr>
          <w:p>
            <w:r>
              <w:t>Higher I/O performance and availability-oriented architecture</w:t>
            </w:r>
          </w:p>
        </w:tc>
        <w:tc>
          <w:tcPr>
            <w:tcW w:type="dxa" w:w="2880"/>
          </w:tcPr>
          <w:p>
            <w:r>
              <w:t>Latency-sensitive critical workloads</w:t>
            </w:r>
          </w:p>
        </w:tc>
      </w:tr>
      <w:tr>
        <w:tc>
          <w:tcPr>
            <w:tcW w:type="dxa" w:w="2880"/>
          </w:tcPr>
          <w:p>
            <w:r>
              <w:t>Hyperscale</w:t>
            </w:r>
          </w:p>
        </w:tc>
        <w:tc>
          <w:tcPr>
            <w:tcW w:type="dxa" w:w="2880"/>
          </w:tcPr>
          <w:p>
            <w:r>
              <w:t>Architecture for very large and growing databases</w:t>
            </w:r>
          </w:p>
        </w:tc>
        <w:tc>
          <w:tcPr>
            <w:tcW w:type="dxa" w:w="2880"/>
          </w:tcPr>
          <w:p>
            <w:r>
              <w:t>Large-scale database requirements</w:t>
            </w:r>
          </w:p>
        </w:tc>
      </w:tr>
      <w:tr>
        <w:tc>
          <w:tcPr>
            <w:tcW w:type="dxa" w:w="2880"/>
          </w:tcPr>
          <w:p>
            <w:r>
              <w:t>Provisioned compute</w:t>
            </w:r>
          </w:p>
        </w:tc>
        <w:tc>
          <w:tcPr>
            <w:tcW w:type="dxa" w:w="2880"/>
          </w:tcPr>
          <w:p>
            <w:r>
              <w:t>Fixed configured compute capacity</w:t>
            </w:r>
          </w:p>
        </w:tc>
        <w:tc>
          <w:tcPr>
            <w:tcW w:type="dxa" w:w="2880"/>
          </w:tcPr>
          <w:p>
            <w:r>
              <w:t>Consistent or sustained workloads</w:t>
            </w:r>
          </w:p>
        </w:tc>
      </w:tr>
      <w:tr>
        <w:tc>
          <w:tcPr>
            <w:tcW w:type="dxa" w:w="2880"/>
          </w:tcPr>
          <w:p>
            <w:r>
              <w:t>Serverless compute</w:t>
            </w:r>
          </w:p>
        </w:tc>
        <w:tc>
          <w:tcPr>
            <w:tcW w:type="dxa" w:w="2880"/>
          </w:tcPr>
          <w:p>
            <w:r>
              <w:t>Auto-scales within configured limits; may auto-pause when eligible</w:t>
            </w:r>
          </w:p>
        </w:tc>
        <w:tc>
          <w:tcPr>
            <w:tcW w:type="dxa" w:w="2880"/>
          </w:tcPr>
          <w:p>
            <w:r>
              <w:t>Intermittent DEV/TEST or variable workloads</w:t>
            </w:r>
          </w:p>
        </w:tc>
      </w:tr>
      <w:tr>
        <w:tc>
          <w:tcPr>
            <w:tcW w:type="dxa" w:w="2880"/>
          </w:tcPr>
          <w:p>
            <w:r>
              <w:t>DTU model</w:t>
            </w:r>
          </w:p>
        </w:tc>
        <w:tc>
          <w:tcPr>
            <w:tcW w:type="dxa" w:w="2880"/>
          </w:tcPr>
          <w:p>
            <w:r>
              <w:t>Bundled compute/memory/I/O purchasing model</w:t>
            </w:r>
          </w:p>
        </w:tc>
        <w:tc>
          <w:tcPr>
            <w:tcW w:type="dxa" w:w="2880"/>
          </w:tcPr>
          <w:p>
            <w:r>
              <w:t>Simple legacy or smaller workload choices</w:t>
            </w:r>
          </w:p>
        </w:tc>
      </w:tr>
    </w:tbl>
    <w:p/>
    <w:p>
      <w:r>
        <w:t>Cost tips: (1) Review configured min/max vCores, not only the displayed per-second rate. (2) Auto-pause can reduce idle compute costs but resumed connections may experience delay; features/configuration can prevent auto-pause. (3) Storage, backup retention, redundancy and outbound data transfer may add charges. (4) For training use an approved small configuration and delete resources afterwards. (5) Use Azure Pricing Calculator and Cost Management for real estimates.</w:t>
      </w:r>
    </w:p>
    <w:p>
      <w:r>
        <w:t>Architecture question: Does the workload run continuously? If yes, compare provisioned against serverless. Is cold-start latency acceptable? If not, auto-pause may be unsuitable.</w:t>
      </w:r>
    </w:p>
    <w:p>
      <w:pPr>
        <w:pStyle w:val="Heading1"/>
      </w:pPr>
      <w:r>
        <w:t>4. Networking: allow only required connectivity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Lab guidance</w:t>
            </w:r>
          </w:p>
        </w:tc>
        <w:tc>
          <w:tcPr>
            <w:tcW w:type="dxa" w:w="2880"/>
          </w:tcPr>
          <w:p>
            <w:r>
              <w:t>Production consideration</w:t>
            </w:r>
          </w:p>
        </w:tc>
      </w:tr>
      <w:tr>
        <w:tc>
          <w:tcPr>
            <w:tcW w:type="dxa" w:w="2880"/>
          </w:tcPr>
          <w:p>
            <w:r>
              <w:t>Connectivity method</w:t>
            </w:r>
          </w:p>
        </w:tc>
        <w:tc>
          <w:tcPr>
            <w:tcW w:type="dxa" w:w="2880"/>
          </w:tcPr>
          <w:p>
            <w:r>
              <w:t>Use approved public endpoint for a basic guided lab, if policy permits</w:t>
            </w:r>
          </w:p>
        </w:tc>
        <w:tc>
          <w:tcPr>
            <w:tcW w:type="dxa" w:w="2880"/>
          </w:tcPr>
          <w:p>
            <w:r>
              <w:t>Prefer approved private connectivity and platform-team networking controls</w:t>
            </w:r>
          </w:p>
        </w:tc>
      </w:tr>
      <w:tr>
        <w:tc>
          <w:tcPr>
            <w:tcW w:type="dxa" w:w="2880"/>
          </w:tcPr>
          <w:p>
            <w:r>
              <w:t>Public network access</w:t>
            </w:r>
          </w:p>
        </w:tc>
        <w:tc>
          <w:tcPr>
            <w:tcW w:type="dxa" w:w="2880"/>
          </w:tcPr>
          <w:p>
            <w:r>
              <w:t>Enable only when necessary for the exercise</w:t>
            </w:r>
          </w:p>
        </w:tc>
        <w:tc>
          <w:tcPr>
            <w:tcW w:type="dxa" w:w="2880"/>
          </w:tcPr>
          <w:p>
            <w:r>
              <w:t>Restrict exposure according to policy</w:t>
            </w:r>
          </w:p>
        </w:tc>
      </w:tr>
      <w:tr>
        <w:tc>
          <w:tcPr>
            <w:tcW w:type="dxa" w:w="2880"/>
          </w:tcPr>
          <w:p>
            <w:r>
              <w:t>Firewall rules</w:t>
            </w:r>
          </w:p>
        </w:tc>
        <w:tc>
          <w:tcPr>
            <w:tcW w:type="dxa" w:w="2880"/>
          </w:tcPr>
          <w:p>
            <w:r>
              <w:t>Add only approved client IP if using public connectivity</w:t>
            </w:r>
          </w:p>
        </w:tc>
        <w:tc>
          <w:tcPr>
            <w:tcW w:type="dxa" w:w="2880"/>
          </w:tcPr>
          <w:p>
            <w:r>
              <w:t>Avoid broad allow-all rules</w:t>
            </w:r>
          </w:p>
        </w:tc>
      </w:tr>
      <w:tr>
        <w:tc>
          <w:tcPr>
            <w:tcW w:type="dxa" w:w="2880"/>
          </w:tcPr>
          <w:p>
            <w:r>
              <w:t>Allow Azure services and resources to access this server</w:t>
            </w:r>
          </w:p>
        </w:tc>
        <w:tc>
          <w:tcPr>
            <w:tcW w:type="dxa" w:w="2880"/>
          </w:tcPr>
          <w:p>
            <w:r>
              <w:t>Leave disabled unless explicitly required</w:t>
            </w:r>
          </w:p>
        </w:tc>
        <w:tc>
          <w:tcPr>
            <w:tcW w:type="dxa" w:w="2880"/>
          </w:tcPr>
          <w:p>
            <w:r>
              <w:t>This is a broad Azure-origin exception, not App Service-only access</w:t>
            </w:r>
          </w:p>
        </w:tc>
      </w:tr>
      <w:tr>
        <w:tc>
          <w:tcPr>
            <w:tcW w:type="dxa" w:w="2880"/>
          </w:tcPr>
          <w:p>
            <w:r>
              <w:t>Connection encryption</w:t>
            </w:r>
          </w:p>
        </w:tc>
        <w:tc>
          <w:tcPr>
            <w:tcW w:type="dxa" w:w="2880"/>
          </w:tcPr>
          <w:p>
            <w:r>
              <w:t>Use encrypted SQL connections</w:t>
            </w:r>
          </w:p>
        </w:tc>
        <w:tc>
          <w:tcPr>
            <w:tcW w:type="dxa" w:w="2880"/>
          </w:tcPr>
          <w:p>
            <w:r>
              <w:t>Do not bypass certificate validation to fix errors</w:t>
            </w:r>
          </w:p>
        </w:tc>
      </w:tr>
    </w:tbl>
    <w:p/>
    <w:p>
      <w:r>
        <w:t>Developer tip: Network reachability is separate from authentication and database permissions. An open firewall does not grant SELECT rights; an Entra identity with permissions still cannot connect if network rules block it.</w:t>
      </w:r>
    </w:p>
    <w:p>
      <w:pPr>
        <w:pStyle w:val="Heading1"/>
      </w:pPr>
      <w:r>
        <w:t>5. Security: authentication and authorisation</w:t>
      </w:r>
    </w:p>
    <w:p>
      <w:r>
        <w:t>Prefer Microsoft Entra authentication and Managed Identity for the deployed .NET application. Microsoft Entra authenticates the workload; the database user and SQL permissions authorise actions. A logical-server Entra administrator is used to establish the database identity and access model.</w:t>
      </w:r>
    </w:p>
    <w:tbl>
      <w:tblPr>
        <w:tblStyle w:val="LightShading-Accent1"/>
        <w:tblW w:type="auto" w:w="0"/>
        <w:tblLook w:firstColumn="1" w:firstRow="1" w:lastColumn="0" w:lastRow="0" w:noHBand="0" w:noVBand="1" w:val="04A0"/>
      </w:tblPr>
      <w:tblGrid>
        <w:gridCol w:w="4320"/>
        <w:gridCol w:w="4320"/>
      </w:tblGrid>
      <w:tr>
        <w:tc>
          <w:tcPr>
            <w:tcW w:type="dxa" w:w="4320"/>
          </w:tcPr>
          <w:p>
            <w:r>
              <w:t>Option</w:t>
            </w:r>
          </w:p>
        </w:tc>
        <w:tc>
          <w:tcPr>
            <w:tcW w:type="dxa" w:w="4320"/>
          </w:tcPr>
          <w:p>
            <w:r>
              <w:t>Use / note</w:t>
            </w:r>
          </w:p>
        </w:tc>
      </w:tr>
      <w:tr>
        <w:tc>
          <w:tcPr>
            <w:tcW w:type="dxa" w:w="4320"/>
          </w:tcPr>
          <w:p>
            <w:r>
              <w:t>Microsoft Entra administrator</w:t>
            </w:r>
          </w:p>
        </w:tc>
        <w:tc>
          <w:tcPr>
            <w:tcW w:type="dxa" w:w="4320"/>
          </w:tcPr>
          <w:p>
            <w:r>
              <w:t>Configure an approved administrator/group for identity-based SQL administration</w:t>
            </w:r>
          </w:p>
        </w:tc>
      </w:tr>
      <w:tr>
        <w:tc>
          <w:tcPr>
            <w:tcW w:type="dxa" w:w="4320"/>
          </w:tcPr>
          <w:p>
            <w:r>
              <w:t>SQL authentication</w:t>
            </w:r>
          </w:p>
        </w:tc>
        <w:tc>
          <w:tcPr>
            <w:tcW w:type="dxa" w:w="4320"/>
          </w:tcPr>
          <w:p>
            <w:r>
              <w:t>Fallback only if required; protect credentials in Key Vault, never source code</w:t>
            </w:r>
          </w:p>
        </w:tc>
      </w:tr>
      <w:tr>
        <w:tc>
          <w:tcPr>
            <w:tcW w:type="dxa" w:w="4320"/>
          </w:tcPr>
          <w:p>
            <w:r>
              <w:t>Microsoft Entra-only authentication</w:t>
            </w:r>
          </w:p>
        </w:tc>
        <w:tc>
          <w:tcPr>
            <w:tcW w:type="dxa" w:w="4320"/>
          </w:tcPr>
          <w:p>
            <w:r>
              <w:t>Consider when supported by the lab/application and administrative requirements</w:t>
            </w:r>
          </w:p>
        </w:tc>
      </w:tr>
      <w:tr>
        <w:tc>
          <w:tcPr>
            <w:tcW w:type="dxa" w:w="4320"/>
          </w:tcPr>
          <w:p>
            <w:r>
              <w:t>Transparent Data Encryption (TDE)</w:t>
            </w:r>
          </w:p>
        </w:tc>
        <w:tc>
          <w:tcPr>
            <w:tcW w:type="dxa" w:w="4320"/>
          </w:tcPr>
          <w:p>
            <w:r>
              <w:t>Encryption at rest is enabled by default for Azure SQL Database</w:t>
            </w:r>
          </w:p>
        </w:tc>
      </w:tr>
      <w:tr>
        <w:tc>
          <w:tcPr>
            <w:tcW w:type="dxa" w:w="4320"/>
          </w:tcPr>
          <w:p>
            <w:r>
              <w:t>Defender for SQL / auditing</w:t>
            </w:r>
          </w:p>
        </w:tc>
        <w:tc>
          <w:tcPr>
            <w:tcW w:type="dxa" w:w="4320"/>
          </w:tcPr>
          <w:p>
            <w:r>
              <w:t>Review availability, security benefits and additional cost before enabling</w:t>
            </w:r>
          </w:p>
        </w:tc>
      </w:tr>
    </w:tbl>
    <w:p/>
    <w:p>
      <w:r>
        <w:t>Authentication ≠ Authorisation. A Managed Identity is not automatically a database user. An authorised Entra admin must create the database principal and grant least-privilege permissions.</w:t>
      </w:r>
    </w:p>
    <w:p>
      <w:pPr>
        <w:pStyle w:val="Heading1"/>
      </w:pPr>
      <w:r>
        <w:t>6. Additional settings and tags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Lab choice</w:t>
            </w:r>
          </w:p>
        </w:tc>
        <w:tc>
          <w:tcPr>
            <w:tcW w:type="dxa" w:w="2880"/>
          </w:tcPr>
          <w:p>
            <w:r>
              <w:t>Why</w:t>
            </w:r>
          </w:p>
        </w:tc>
      </w:tr>
      <w:tr>
        <w:tc>
          <w:tcPr>
            <w:tcW w:type="dxa" w:w="2880"/>
          </w:tcPr>
          <w:p>
            <w:r>
              <w:t>Data source</w:t>
            </w:r>
          </w:p>
        </w:tc>
        <w:tc>
          <w:tcPr>
            <w:tcW w:type="dxa" w:w="2880"/>
          </w:tcPr>
          <w:p>
            <w:r>
              <w:t>Blank database</w:t>
            </w:r>
          </w:p>
        </w:tc>
        <w:tc>
          <w:tcPr>
            <w:tcW w:type="dxa" w:w="2880"/>
          </w:tcPr>
          <w:p>
            <w:r>
              <w:t>Keeps the exercise simple; sample database is an alternative</w:t>
            </w:r>
          </w:p>
        </w:tc>
      </w:tr>
      <w:tr>
        <w:tc>
          <w:tcPr>
            <w:tcW w:type="dxa" w:w="2880"/>
          </w:tcPr>
          <w:p>
            <w:r>
              <w:t>Collation</w:t>
            </w:r>
          </w:p>
        </w:tc>
        <w:tc>
          <w:tcPr>
            <w:tcW w:type="dxa" w:w="2880"/>
          </w:tcPr>
          <w:p>
            <w:r>
              <w:t>Keep default unless application requirements specify otherwise</w:t>
            </w:r>
          </w:p>
        </w:tc>
        <w:tc>
          <w:tcPr>
            <w:tcW w:type="dxa" w:w="2880"/>
          </w:tcPr>
          <w:p>
            <w:r>
              <w:t>Affects comparison/sorting behaviour</w:t>
            </w:r>
          </w:p>
        </w:tc>
      </w:tr>
      <w:tr>
        <w:tc>
          <w:tcPr>
            <w:tcW w:type="dxa" w:w="2880"/>
          </w:tcPr>
          <w:p>
            <w:r>
              <w:t>Backup storage redundancy</w:t>
            </w:r>
          </w:p>
        </w:tc>
        <w:tc>
          <w:tcPr>
            <w:tcW w:type="dxa" w:w="2880"/>
          </w:tcPr>
          <w:p>
            <w:r>
              <w:t>Choose policy-approved lower-cost option for lab</w:t>
            </w:r>
          </w:p>
        </w:tc>
        <w:tc>
          <w:tcPr>
            <w:tcW w:type="dxa" w:w="2880"/>
          </w:tcPr>
          <w:p>
            <w:r>
              <w:t>Impacts recovery resilience and price</w:t>
            </w:r>
          </w:p>
        </w:tc>
      </w:tr>
      <w:tr>
        <w:tc>
          <w:tcPr>
            <w:tcW w:type="dxa" w:w="2880"/>
          </w:tcPr>
          <w:p>
            <w:r>
              <w:t>Environment tag</w:t>
            </w:r>
          </w:p>
        </w:tc>
        <w:tc>
          <w:tcPr>
            <w:tcW w:type="dxa" w:w="2880"/>
          </w:tcPr>
          <w:p>
            <w:r>
              <w:t>Training</w:t>
            </w:r>
          </w:p>
        </w:tc>
        <w:tc>
          <w:tcPr>
            <w:tcW w:type="dxa" w:w="2880"/>
          </w:tcPr>
          <w:p>
            <w:r>
              <w:t>Cost allocation</w:t>
            </w:r>
          </w:p>
        </w:tc>
      </w:tr>
      <w:tr>
        <w:tc>
          <w:tcPr>
            <w:tcW w:type="dxa" w:w="2880"/>
          </w:tcPr>
          <w:p>
            <w:r>
              <w:t>Application tag</w:t>
            </w:r>
          </w:p>
        </w:tc>
        <w:tc>
          <w:tcPr>
            <w:tcW w:type="dxa" w:w="2880"/>
          </w:tcPr>
          <w:p>
            <w:r>
              <w:t>BuildingSocietyDemo</w:t>
            </w:r>
          </w:p>
        </w:tc>
        <w:tc>
          <w:tcPr>
            <w:tcW w:type="dxa" w:w="2880"/>
          </w:tcPr>
          <w:p>
            <w:r>
              <w:t>Ownership and filtering</w:t>
            </w:r>
          </w:p>
        </w:tc>
      </w:tr>
      <w:tr>
        <w:tc>
          <w:tcPr>
            <w:tcW w:type="dxa" w:w="2880"/>
          </w:tcPr>
          <w:p>
            <w:r>
              <w:t>Owner tag</w:t>
            </w:r>
          </w:p>
        </w:tc>
        <w:tc>
          <w:tcPr>
            <w:tcW w:type="dxa" w:w="2880"/>
          </w:tcPr>
          <w:p>
            <w:r>
              <w:t>AzureTraining</w:t>
            </w:r>
          </w:p>
        </w:tc>
        <w:tc>
          <w:tcPr>
            <w:tcW w:type="dxa" w:w="2880"/>
          </w:tcPr>
          <w:p>
            <w:r>
              <w:t>Cleanup accountability</w:t>
            </w:r>
          </w:p>
        </w:tc>
      </w:tr>
    </w:tbl>
    <w:p/>
    <w:p>
      <w:pPr>
        <w:pStyle w:val="Heading1"/>
      </w:pPr>
      <w:r>
        <w:t>7. Hands-on: verify the database and run SQL</w:t>
      </w:r>
    </w:p>
    <w:p>
      <w:pPr>
        <w:pStyle w:val="ListNumber"/>
      </w:pPr>
      <w:r>
        <w:t>Open the SQL database and note the logical server name and fully qualified server endpoint (for example, yourserver.database.windows.net).</w:t>
      </w:r>
    </w:p>
    <w:p>
      <w:pPr>
        <w:pStyle w:val="ListNumber"/>
      </w:pPr>
      <w:r>
        <w:t>Open Query editor in the portal if enabled, or use SQL Server Management Studio / VS Code SQL extension according to the training setup.</w:t>
      </w:r>
    </w:p>
    <w:p>
      <w:pPr>
        <w:pStyle w:val="ListNumber"/>
      </w:pPr>
      <w:r>
        <w:t>Sign in using the approved Entra or SQL authentication method. If blocked, check firewall and permissions rather than disabling security controls.</w:t>
      </w:r>
    </w:p>
    <w:p>
      <w:pPr>
        <w:pStyle w:val="ListNumber"/>
      </w:pPr>
      <w:r>
        <w:t>Run the SQL below to create a small fictional table and insert two records.</w:t>
      </w:r>
    </w:p>
    <w:p>
      <w:pPr>
        <w:pStyle w:val="ListNumber"/>
      </w:pPr>
      <w:r>
        <w:t>Query the records and verify the expected result.</w:t>
      </w:r>
    </w:p>
    <w:p>
      <w:pPr>
        <w:pStyle w:val="ListNumber"/>
      </w:pPr>
      <w:r>
        <w:t>Optionally open Monitoring → Metrics and observe CPU/DTU, connections or storage metrics depending on your chosen tier.</w:t>
      </w:r>
    </w:p>
    <w:p>
      <w:r>
        <w:t>SQL exercise (run in the training database):</w:t>
      </w:r>
    </w:p>
    <w:p>
      <w:pPr/>
      <w:r>
        <w:rPr>
          <w:rFonts w:ascii="Consolas" w:hAnsi="Consolas"/>
          <w:sz w:val="18"/>
        </w:rPr>
        <w:t>CREATE TABLE dbo.TrainingApplications (</w:t>
      </w:r>
    </w:p>
    <w:p>
      <w:pPr/>
      <w:r>
        <w:rPr>
          <w:rFonts w:ascii="Consolas" w:hAnsi="Consolas"/>
          <w:sz w:val="18"/>
        </w:rPr>
        <w:t xml:space="preserve">    ApplicationId INT NOT NULL PRIMARY KEY,</w:t>
      </w:r>
    </w:p>
    <w:p>
      <w:pPr/>
      <w:r>
        <w:rPr>
          <w:rFonts w:ascii="Consolas" w:hAnsi="Consolas"/>
          <w:sz w:val="18"/>
        </w:rPr>
        <w:t xml:space="preserve">    ApplicantName NVARCHAR(100) NOT NULL,</w:t>
      </w:r>
    </w:p>
    <w:p>
      <w:pPr/>
      <w:r>
        <w:rPr>
          <w:rFonts w:ascii="Consolas" w:hAnsi="Consolas"/>
          <w:sz w:val="18"/>
        </w:rPr>
        <w:t xml:space="preserve">    Status NVARCHAR(30) NOT NULL</w:t>
      </w:r>
    </w:p>
    <w:p>
      <w:pPr/>
      <w:r>
        <w:rPr>
          <w:rFonts w:ascii="Consolas" w:hAnsi="Consolas"/>
          <w:sz w:val="18"/>
        </w:rPr>
        <w:t>);</w:t>
      </w:r>
    </w:p>
    <w:p>
      <w:pPr/>
      <w:r>
        <w:rPr>
          <w:rFonts w:ascii="Consolas" w:hAnsi="Consolas"/>
          <w:sz w:val="18"/>
        </w:rPr>
        <w:t>INSERT INTO dbo.TrainingApplications VALUES</w:t>
      </w:r>
    </w:p>
    <w:p>
      <w:pPr/>
      <w:r>
        <w:rPr>
          <w:rFonts w:ascii="Consolas" w:hAnsi="Consolas"/>
          <w:sz w:val="18"/>
        </w:rPr>
        <w:t>(1, N'Sample Applicant A', N'Submitted'),</w:t>
      </w:r>
    </w:p>
    <w:p>
      <w:pPr/>
      <w:r>
        <w:rPr>
          <w:rFonts w:ascii="Consolas" w:hAnsi="Consolas"/>
          <w:sz w:val="18"/>
        </w:rPr>
        <w:t>(2, N'Sample Applicant B', N'UnderReview');</w:t>
      </w:r>
    </w:p>
    <w:p>
      <w:pPr/>
      <w:r>
        <w:rPr>
          <w:rFonts w:ascii="Consolas" w:hAnsi="Consolas"/>
          <w:sz w:val="18"/>
        </w:rPr>
        <w:t>SELECT ApplicationId, ApplicantName, Status</w:t>
      </w:r>
    </w:p>
    <w:p>
      <w:pPr/>
      <w:r>
        <w:rPr>
          <w:rFonts w:ascii="Consolas" w:hAnsi="Consolas"/>
          <w:sz w:val="18"/>
        </w:rPr>
        <w:t>FROM dbo.TrainingApplications ORDER BY ApplicationId;</w:t>
      </w:r>
    </w:p>
    <w:p>
      <w:r>
        <w:t>Expected result: two rows, with Submitted and UnderReview statuses. Do not use real member names, account numbers or sensitive information.</w:t>
      </w:r>
    </w:p>
    <w:p>
      <w:pPr>
        <w:pStyle w:val="Heading1"/>
      </w:pPr>
      <w:r>
        <w:t>8. Optional developer demo: App Service + Managed Identity</w:t>
      </w:r>
    </w:p>
    <w:p>
      <w:pPr>
        <w:pStyle w:val="ListNumber"/>
      </w:pPr>
      <w:r>
        <w:t>Enable system-assigned Managed Identity on the prepared App Service. Record the application identity.</w:t>
      </w:r>
    </w:p>
    <w:p>
      <w:pPr>
        <w:pStyle w:val="ListNumber"/>
      </w:pPr>
      <w:r>
        <w:t>Connect to the SQL database as an authorised Entra administrator. Create an external database user for the application identity and grant only the required roles/permissions.</w:t>
      </w:r>
    </w:p>
    <w:p>
      <w:pPr>
        <w:pStyle w:val="ListNumber"/>
      </w:pPr>
      <w:r>
        <w:t>Configure the application to use Microsoft.Data.SqlClient with Authentication=Active Directory Default or an appropriate token-based method; use DefaultAzureCredential for Azure SDK workflows.</w:t>
      </w:r>
    </w:p>
    <w:p>
      <w:pPr>
        <w:pStyle w:val="ListNumber"/>
      </w:pPr>
      <w:r>
        <w:t>Run the application and verify a successful database query. Remove any hard-coded SQL password from configuration.</w:t>
      </w:r>
    </w:p>
    <w:p>
      <w:r>
        <w:t>Illustrative SQL (substitute the real App Service identity name, verify it resolves, and tailor permissions):</w:t>
      </w:r>
    </w:p>
    <w:p>
      <w:r>
        <w:rPr>
          <w:rFonts w:ascii="Consolas" w:hAnsi="Consolas"/>
          <w:sz w:val="18"/>
        </w:rPr>
        <w:t>CREATE USER [your-app-service-name] FROM EXTERNAL PROVIDER;</w:t>
      </w:r>
    </w:p>
    <w:p>
      <w:r>
        <w:rPr>
          <w:rFonts w:ascii="Consolas" w:hAnsi="Consolas"/>
          <w:sz w:val="18"/>
        </w:rPr>
        <w:t>GRANT SELECT, INSERT, UPDATE ON dbo.TrainingApplications TO [your-app-service-name];</w:t>
      </w:r>
    </w:p>
    <w:p>
      <w:r>
        <w:t>Important: Actual identity provisioning depends on Entra configuration, SQL permissions and how the application authenticates. This optional exercise needs advance trainer setup.</w:t>
      </w:r>
    </w:p>
    <w:p>
      <w:pPr>
        <w:pStyle w:val="Heading1"/>
      </w:pPr>
      <w:r>
        <w:t>9. Troubleshooting and cost review</w:t>
      </w:r>
    </w:p>
    <w:tbl>
      <w:tblPr>
        <w:tblStyle w:val="LightShading-Accent1"/>
        <w:tblW w:type="auto" w:w="0"/>
        <w:tblLook w:firstColumn="1" w:firstRow="1" w:lastColumn="0" w:lastRow="0" w:noHBand="0" w:noVBand="1" w:val="04A0"/>
      </w:tblPr>
      <w:tblGrid>
        <w:gridCol w:w="4320"/>
        <w:gridCol w:w="4320"/>
      </w:tblGrid>
      <w:tr>
        <w:tc>
          <w:tcPr>
            <w:tcW w:type="dxa" w:w="4320"/>
          </w:tcPr>
          <w:p>
            <w:r>
              <w:t>Symptom</w:t>
            </w:r>
          </w:p>
        </w:tc>
        <w:tc>
          <w:tcPr>
            <w:tcW w:type="dxa" w:w="4320"/>
          </w:tcPr>
          <w:p>
            <w:r>
              <w:t>First checks</w:t>
            </w:r>
          </w:p>
        </w:tc>
      </w:tr>
      <w:tr>
        <w:tc>
          <w:tcPr>
            <w:tcW w:type="dxa" w:w="4320"/>
          </w:tcPr>
          <w:p>
            <w:r>
              <w:t>Cannot connect</w:t>
            </w:r>
          </w:p>
        </w:tc>
        <w:tc>
          <w:tcPr>
            <w:tcW w:type="dxa" w:w="4320"/>
          </w:tcPr>
          <w:p>
            <w:r>
              <w:t>Server endpoint, network/firewall rules, connection encryption, authentication method</w:t>
            </w:r>
          </w:p>
        </w:tc>
      </w:tr>
      <w:tr>
        <w:tc>
          <w:tcPr>
            <w:tcW w:type="dxa" w:w="4320"/>
          </w:tcPr>
          <w:p>
            <w:r>
              <w:t>Login succeeds but query fails</w:t>
            </w:r>
          </w:p>
        </w:tc>
        <w:tc>
          <w:tcPr>
            <w:tcW w:type="dxa" w:w="4320"/>
          </w:tcPr>
          <w:p>
            <w:r>
              <w:t>Database principal, GRANT permissions, target database</w:t>
            </w:r>
          </w:p>
        </w:tc>
      </w:tr>
      <w:tr>
        <w:tc>
          <w:tcPr>
            <w:tcW w:type="dxa" w:w="4320"/>
          </w:tcPr>
          <w:p>
            <w:r>
              <w:t>Serverless first query is slow</w:t>
            </w:r>
          </w:p>
        </w:tc>
        <w:tc>
          <w:tcPr>
            <w:tcW w:type="dxa" w:w="4320"/>
          </w:tcPr>
          <w:p>
            <w:r>
              <w:t>Database may have resumed from auto-pause; review configured delay and usage</w:t>
            </w:r>
          </w:p>
        </w:tc>
      </w:tr>
      <w:tr>
        <w:tc>
          <w:tcPr>
            <w:tcW w:type="dxa" w:w="4320"/>
          </w:tcPr>
          <w:p>
            <w:r>
              <w:t>Unexpected costs</w:t>
            </w:r>
          </w:p>
        </w:tc>
        <w:tc>
          <w:tcPr>
            <w:tcW w:type="dxa" w:w="4320"/>
          </w:tcPr>
          <w:p>
            <w:r>
              <w:t>Configured compute, activity/auto-pause, storage, backup, monitoring and idle resources</w:t>
            </w:r>
          </w:p>
        </w:tc>
      </w:tr>
      <w:tr>
        <w:tc>
          <w:tcPr>
            <w:tcW w:type="dxa" w:w="4320"/>
          </w:tcPr>
          <w:p>
            <w:r>
              <w:t>Application timeout</w:t>
            </w:r>
          </w:p>
        </w:tc>
        <w:tc>
          <w:tcPr>
            <w:tcW w:type="dxa" w:w="4320"/>
          </w:tcPr>
          <w:p>
            <w:r>
              <w:t>App logs, Application Insights dependency telemetry, SQL metrics and query performance</w:t>
            </w:r>
          </w:p>
        </w:tc>
      </w:tr>
    </w:tbl>
    <w:p/>
    <w:p>
      <w:r>
        <w:t>Cost exercise: Compare the screenshot’s serverless General Purpose choice against a small provisioned option. Estimate monthly compute under intermittent versus 24/7 usage. Explain why the lower displayed unit price is not necessarily the lower total cost.</w:t>
      </w:r>
    </w:p>
    <w:p>
      <w:pPr>
        <w:pStyle w:val="Heading1"/>
      </w:pPr>
      <w:r>
        <w:t>10. Knowledge check and cleanup</w:t>
      </w:r>
    </w:p>
    <w:p>
      <w:pPr>
        <w:pStyle w:val="ListNumber"/>
      </w:pPr>
      <w:r>
        <w:t>Why is Azure SQL Database PaaS rather than a SQL Server virtual machine?</w:t>
      </w:r>
    </w:p>
    <w:p>
      <w:pPr>
        <w:pStyle w:val="ListNumber"/>
      </w:pPr>
      <w:r>
        <w:t>What is the difference between a logical SQL server and a database?</w:t>
      </w:r>
    </w:p>
    <w:p>
      <w:pPr>
        <w:pStyle w:val="ListNumber"/>
      </w:pPr>
      <w:r>
        <w:t>When might serverless be more cost-effective than provisioned compute?</w:t>
      </w:r>
    </w:p>
    <w:p>
      <w:pPr>
        <w:pStyle w:val="ListNumber"/>
      </w:pPr>
      <w:r>
        <w:t>Why should the “Allow Azure services” firewall option not be enabled automatically?</w:t>
      </w:r>
    </w:p>
    <w:p>
      <w:pPr>
        <w:pStyle w:val="ListNumber"/>
      </w:pPr>
      <w:r>
        <w:t>How do Entra authentication, Managed Identity and SQL GRANT permissions work together?</w:t>
      </w:r>
    </w:p>
    <w:p>
      <w:pPr>
        <w:pStyle w:val="ListNumber"/>
      </w:pPr>
      <w:r>
        <w:t>What other costs might appear besides the displayed compute price?</w:t>
      </w:r>
    </w:p>
    <w:p>
      <w:r>
        <w:t>Cleanup: Delete the training database and, if it was created solely for this lab, its logical SQL server. Confirm no other databases depend on the server. Review the resource group and Cost Management afterwards. Deleting resources is irreversible; check before proceeding.</w:t>
      </w:r>
    </w:p>
    <w:p>
      <w:pPr>
        <w:pStyle w:val="Heading1"/>
      </w:pPr>
      <w:r>
        <w:t>Microsoft Learn references</w:t>
      </w:r>
    </w:p>
    <w:p>
      <w:r>
        <w:t>Create a single Azure SQL database — https://learn.microsoft.com/en-us/azure/azure-sql/database/single-database-create-quickstart</w:t>
      </w:r>
    </w:p>
    <w:p>
      <w:r>
        <w:t>Serverless compute tier — https://learn.microsoft.com/en-us/azure/azure-sql/database/serverless-tier-overview</w:t>
      </w:r>
    </w:p>
    <w:p>
      <w:r>
        <w:t>Microsoft Entra authentication — https://learn.microsoft.com/en-us/azure/azure-sql/database/authentication-aad-overview</w:t>
      </w:r>
    </w:p>
    <w:p>
      <w:r>
        <w:t>Firewall rules — https://learn.microsoft.com/en-us/azure/azure-sql/database/firewall-configure</w:t>
      </w:r>
    </w:p>
    <w:p>
      <w:r>
        <w:t>Azure Pricing Calculator — https://azure.microsoft.com/en-us/pricing/calculator/</w:t>
      </w:r>
    </w:p>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LBS | Lab0 — Azure Blob Storage | Training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005BA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005B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005BA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