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Lab3 — Create and Explore Azure Service Bus</w:t>
      </w:r>
    </w:p>
    <w:p>
      <w:pPr>
        <w:pStyle w:val="Subtitle"/>
      </w:pPr>
      <w:r>
        <w:t>LBS | Azure Cloud Architecture Fundamentals for Developers</w:t>
      </w:r>
    </w:p>
    <w:p>
      <w:r>
        <w:t>Scenario: The Building Society wants to accept an application quickly and process it asynchronously. In this lab, learners create a Service Bus namespace and queue, send and receive test messages, explore security and understand pricing. Estimated duration: 35–50 minutes.</w:t>
      </w:r>
    </w:p>
    <w:p>
      <w:pPr>
        <w:pStyle w:val="Heading1"/>
      </w:pPr>
      <w:r>
        <w:t>1. What and why: Azure Service Bus</w:t>
      </w:r>
    </w:p>
    <w:p>
      <w:r>
        <w:t>Azure Service Bus is a managed enterprise message broker. A producer sends a message to a queue; a consumer processes it later. This decouples components, absorbs bursts and supports reliable processing. It is not a database and does not guarantee exactly-once execution of your business logic.</w:t>
      </w:r>
    </w:p>
    <w:p>
      <w:r>
        <w:t>Building Society example: a web API receives an application, validates it, stores its status and sends an ApplicationSubmitted message. A background worker or Azure Function processes the message and updates the status. The user does not need to wait for the background work.</w:t>
      </w:r>
    </w:p>
    <w:p>
      <w:r>
        <w:t>Architecture: Customer → App Service API → Service Bus queue → Azure Function/worker → Azure SQL. The API must handle send failures; consumers should be idempotent.</w:t>
      </w:r>
    </w:p>
    <w:p>
      <w:pPr>
        <w:pStyle w:val="Heading1"/>
      </w:pPr>
      <w:r>
        <w:t>2. Choose the right messaging service</w:t>
      </w:r>
    </w:p>
    <w:tbl>
      <w:tblPr>
        <w:tblStyle w:val="LightShading-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When to use it</w:t>
            </w:r>
          </w:p>
        </w:tc>
      </w:tr>
      <w:tr>
        <w:tc>
          <w:tcPr>
            <w:tcW w:type="dxa" w:w="4320"/>
          </w:tcPr>
          <w:p>
            <w:r>
              <w:t>Service Bus queue</w:t>
            </w:r>
          </w:p>
        </w:tc>
        <w:tc>
          <w:tcPr>
            <w:tcW w:type="dxa" w:w="4320"/>
          </w:tcPr>
          <w:p>
            <w:r>
              <w:t>Reliable commands or business work items processed by one competing consumer</w:t>
            </w:r>
          </w:p>
        </w:tc>
      </w:tr>
      <w:tr>
        <w:tc>
          <w:tcPr>
            <w:tcW w:type="dxa" w:w="4320"/>
          </w:tcPr>
          <w:p>
            <w:r>
              <w:t>Service Bus topic/subscriptions</w:t>
            </w:r>
          </w:p>
        </w:tc>
        <w:tc>
          <w:tcPr>
            <w:tcW w:type="dxa" w:w="4320"/>
          </w:tcPr>
          <w:p>
            <w:r>
              <w:t>Publish once and route copies to multiple independent subscribers; Standard/Premium</w:t>
            </w:r>
          </w:p>
        </w:tc>
      </w:tr>
      <w:tr>
        <w:tc>
          <w:tcPr>
            <w:tcW w:type="dxa" w:w="4320"/>
          </w:tcPr>
          <w:p>
            <w:r>
              <w:t>Event Grid</w:t>
            </w:r>
          </w:p>
        </w:tc>
        <w:tc>
          <w:tcPr>
            <w:tcW w:type="dxa" w:w="4320"/>
          </w:tcPr>
          <w:p>
            <w:r>
              <w:t>Distribute event notifications to handlers</w:t>
            </w:r>
          </w:p>
        </w:tc>
      </w:tr>
      <w:tr>
        <w:tc>
          <w:tcPr>
            <w:tcW w:type="dxa" w:w="4320"/>
          </w:tcPr>
          <w:p>
            <w:r>
              <w:t>Event Hubs</w:t>
            </w:r>
          </w:p>
        </w:tc>
        <w:tc>
          <w:tcPr>
            <w:tcW w:type="dxa" w:w="4320"/>
          </w:tcPr>
          <w:p>
            <w:r>
              <w:t>High-volume event streaming and telemetry</w:t>
            </w:r>
          </w:p>
        </w:tc>
      </w:tr>
      <w:tr>
        <w:tc>
          <w:tcPr>
            <w:tcW w:type="dxa" w:w="4320"/>
          </w:tcPr>
          <w:p>
            <w:r>
              <w:t>Storage Queue</w:t>
            </w:r>
          </w:p>
        </w:tc>
        <w:tc>
          <w:tcPr>
            <w:tcW w:type="dxa" w:w="4320"/>
          </w:tcPr>
          <w:p>
            <w:r>
              <w:t>Simpler queueing with fewer enterprise broker features</w:t>
            </w:r>
          </w:p>
        </w:tc>
      </w:tr>
    </w:tbl>
    <w:p/>
    <w:p>
      <w:r>
        <w:t>Developer decision: Use synchronous HTTP when the caller needs an immediate result. Use messaging when work can happen later, when you need buffering, or when producers and consumers must evolve independently.</w:t>
      </w:r>
    </w:p>
    <w:p>
      <w:pPr>
        <w:pStyle w:val="Heading1"/>
      </w:pPr>
      <w:r>
        <w:t>3. Pricing tiers — capabilities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Typical fit</w:t>
            </w:r>
          </w:p>
        </w:tc>
        <w:tc>
          <w:tcPr>
            <w:tcW w:type="dxa" w:w="2880"/>
          </w:tcPr>
          <w:p>
            <w:r>
              <w:t>Important considerations</w:t>
            </w:r>
          </w:p>
        </w:tc>
      </w:tr>
      <w:tr>
        <w:tc>
          <w:tcPr>
            <w:tcW w:type="dxa" w:w="2880"/>
          </w:tcPr>
          <w:p>
            <w:r>
              <w:t>Basic</w:t>
            </w:r>
          </w:p>
        </w:tc>
        <w:tc>
          <w:tcPr>
            <w:tcW w:type="dxa" w:w="2880"/>
          </w:tcPr>
          <w:p>
            <w:r>
              <w:t>Small queue-based training demos</w:t>
            </w:r>
          </w:p>
        </w:tc>
        <w:tc>
          <w:tcPr>
            <w:tcW w:type="dxa" w:w="2880"/>
          </w:tcPr>
          <w:p>
            <w:r>
              <w:t>Queues only; no topics/subscriptions, sessions or duplicate detection</w:t>
            </w:r>
          </w:p>
        </w:tc>
      </w:tr>
      <w:tr>
        <w:tc>
          <w:tcPr>
            <w:tcW w:type="dxa" w:w="2880"/>
          </w:tcPr>
          <w:p>
            <w:r>
              <w:t>Standard</w:t>
            </w:r>
          </w:p>
        </w:tc>
        <w:tc>
          <w:tcPr>
            <w:tcW w:type="dxa" w:w="2880"/>
          </w:tcPr>
          <w:p>
            <w:r>
              <w:t>Business integration with queues and topics</w:t>
            </w:r>
          </w:p>
        </w:tc>
        <w:tc>
          <w:tcPr>
            <w:tcW w:type="dxa" w:w="2880"/>
          </w:tcPr>
          <w:p>
            <w:r>
              <w:t>Usage-based operations plus base charge; supports richer broker features</w:t>
            </w:r>
          </w:p>
        </w:tc>
      </w:tr>
      <w:tr>
        <w:tc>
          <w:tcPr>
            <w:tcW w:type="dxa" w:w="2880"/>
          </w:tcPr>
          <w:p>
            <w:r>
              <w:t>Premium</w:t>
            </w:r>
          </w:p>
        </w:tc>
        <w:tc>
          <w:tcPr>
            <w:tcW w:type="dxa" w:w="2880"/>
          </w:tcPr>
          <w:p>
            <w:r>
              <w:t>Predictable, isolated capacity for demanding production workloads</w:t>
            </w:r>
          </w:p>
        </w:tc>
        <w:tc>
          <w:tcPr>
            <w:tcW w:type="dxa" w:w="2880"/>
          </w:tcPr>
          <w:p>
            <w:r>
              <w:t>Dedicated messaging units and higher fixed running cost; advanced networking options</w:t>
            </w:r>
          </w:p>
        </w:tc>
      </w:tr>
    </w:tbl>
    <w:p/>
    <w:p>
      <w:r>
        <w:t>Screenshot interpretation: Pricing tier = Basic. That is suitable for a queue-only introduction, but do not choose Basic if the lab later requires topics, sessions or duplicate detection. Verify the exact features and pricing for your selected tier and region in the Azure portal.</w:t>
      </w:r>
    </w:p>
    <w:p>
      <w:r>
        <w:t>Cost tip: A namespace can incur charges even with light traffic depending on tier. Monitor operations, message size, retained messages, dead-letter buildup and the number of namespaces. Delete the training namespace when finished.</w:t>
      </w:r>
    </w:p>
    <w:p>
      <w:pPr>
        <w:pStyle w:val="Heading1"/>
      </w:pPr>
      <w:r>
        <w:t>4. Create the Service Bus namespace in Azure portal</w:t>
      </w:r>
    </w:p>
    <w:p>
      <w:pPr>
        <w:pStyle w:val="ListNumber"/>
      </w:pPr>
      <w:r>
        <w:t>Sign in to https://portal.azure.com. Search for Service Bus and select Create.</w:t>
      </w:r>
    </w:p>
    <w:p>
      <w:pPr>
        <w:pStyle w:val="ListNumber"/>
      </w:pPr>
      <w:r>
        <w:t>Choose the training subscription and resource group Training.</w:t>
      </w:r>
    </w:p>
    <w:p>
      <w:pPr>
        <w:pStyle w:val="ListNumber"/>
      </w:pPr>
      <w:r>
        <w:t>Enter a globally unique namespace name, such as lbs-sb-demo-&lt;unique-suffix&gt;. The screenshot uses fristAzureServiceBus.</w:t>
      </w:r>
    </w:p>
    <w:p>
      <w:pPr>
        <w:pStyle w:val="ListNumber"/>
      </w:pPr>
      <w:r>
        <w:t>Select the approved region. The screenshot shows UK South; choose the region appropriate to your training resources and data-residency requirements.</w:t>
      </w:r>
    </w:p>
    <w:p>
      <w:pPr>
        <w:pStyle w:val="ListNumber"/>
      </w:pPr>
      <w:r>
        <w:t>Select Basic for this queue-only lab. Choose Standard if you plan to demonstrate topics/subscriptions or other Standard-only features.</w:t>
      </w:r>
    </w:p>
    <w:p>
      <w:pPr>
        <w:pStyle w:val="ListNumber"/>
      </w:pPr>
      <w:r>
        <w:t>Review Availability Zones. The screenshot shows Enabled, but support and configuration depend on tier and region; do not assume zone redundancy is available or configurable for every Basic namespace.</w:t>
      </w:r>
    </w:p>
    <w:p>
      <w:pPr>
        <w:pStyle w:val="ListNumber"/>
      </w:pPr>
      <w:r>
        <w:t>Under Networking, review Public access and IPv4 settings. For a classroom lab, public connectivity may be used with appropriate authentication; production network restrictions follow platform-team policy.</w:t>
      </w:r>
    </w:p>
    <w:p>
      <w:pPr>
        <w:pStyle w:val="ListNumber"/>
      </w:pPr>
      <w:r>
        <w:t>Under Security, keep minimum TLS at least 1.2. The screenshot shows Local Authentication enabled; discuss why Microsoft Entra ID is preferred for applications.</w:t>
      </w:r>
    </w:p>
    <w:p>
      <w:pPr>
        <w:pStyle w:val="ListNumber"/>
      </w:pPr>
      <w:r>
        <w:t>Add tags such as Environment=Training, Application=BuildingSocietyDemo and Owner=AzureTraining.</w:t>
      </w:r>
    </w:p>
    <w:p>
      <w:pPr>
        <w:pStyle w:val="ListNumber"/>
      </w:pPr>
      <w:r>
        <w:t>Select Review + create, check pricing tier, region, network and security choices, then Create. Open the namespace when deployment succeeds.</w:t>
      </w:r>
    </w:p>
    <w:p>
      <w:pPr>
        <w:pStyle w:val="Heading1"/>
      </w:pPr>
      <w:r>
        <w:t>5. Hands-on: Create a queue</w:t>
      </w:r>
    </w:p>
    <w:p>
      <w:pPr>
        <w:pStyle w:val="ListNumber"/>
      </w:pPr>
      <w:r>
        <w:t>Within the namespace, open Queues and select + Queue.</w:t>
      </w:r>
    </w:p>
    <w:p>
      <w:pPr>
        <w:pStyle w:val="ListNumber"/>
      </w:pPr>
      <w:r>
        <w:t>Name the queue application-submitted. Leave advanced settings at lab defaults initially.</w:t>
      </w:r>
    </w:p>
    <w:p>
      <w:pPr>
        <w:pStyle w:val="ListNumber"/>
      </w:pPr>
      <w:r>
        <w:t>Review Max delivery count, message time-to-live (TTL), lock duration and dead-letter behaviour.</w:t>
      </w:r>
    </w:p>
    <w:p>
      <w:pPr>
        <w:pStyle w:val="ListNumber"/>
      </w:pPr>
      <w:r>
        <w:t>Create the queue and open it. Record the queue name and namespace hostname.</w:t>
      </w:r>
    </w:p>
    <w:tbl>
      <w:tblPr>
        <w:tblStyle w:val="LightShading-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What it means / design tip</w:t>
            </w:r>
          </w:p>
        </w:tc>
      </w:tr>
      <w:tr>
        <w:tc>
          <w:tcPr>
            <w:tcW w:type="dxa" w:w="4320"/>
          </w:tcPr>
          <w:p>
            <w:r>
              <w:t>Max delivery count</w:t>
            </w:r>
          </w:p>
        </w:tc>
        <w:tc>
          <w:tcPr>
            <w:tcW w:type="dxa" w:w="4320"/>
          </w:tcPr>
          <w:p>
            <w:r>
              <w:t>After repeated unsuccessful deliveries, a message can move to the dead-letter queue (DLQ).</w:t>
            </w:r>
          </w:p>
        </w:tc>
      </w:tr>
      <w:tr>
        <w:tc>
          <w:tcPr>
            <w:tcW w:type="dxa" w:w="4320"/>
          </w:tcPr>
          <w:p>
            <w:r>
              <w:t>Lock duration</w:t>
            </w:r>
          </w:p>
        </w:tc>
        <w:tc>
          <w:tcPr>
            <w:tcW w:type="dxa" w:w="4320"/>
          </w:tcPr>
          <w:p>
            <w:r>
              <w:t>With Peek-Lock, the receiver temporarily locks a message while processing it. Renew when needed.</w:t>
            </w:r>
          </w:p>
        </w:tc>
      </w:tr>
      <w:tr>
        <w:tc>
          <w:tcPr>
            <w:tcW w:type="dxa" w:w="4320"/>
          </w:tcPr>
          <w:p>
            <w:r>
              <w:t>Message TTL</w:t>
            </w:r>
          </w:p>
        </w:tc>
        <w:tc>
          <w:tcPr>
            <w:tcW w:type="dxa" w:w="4320"/>
          </w:tcPr>
          <w:p>
            <w:r>
              <w:t>Limits how long a message remains available before expiry; select based on business need.</w:t>
            </w:r>
          </w:p>
        </w:tc>
      </w:tr>
      <w:tr>
        <w:tc>
          <w:tcPr>
            <w:tcW w:type="dxa" w:w="4320"/>
          </w:tcPr>
          <w:p>
            <w:r>
              <w:t>Dead-letter queue</w:t>
            </w:r>
          </w:p>
        </w:tc>
        <w:tc>
          <w:tcPr>
            <w:tcW w:type="dxa" w:w="4320"/>
          </w:tcPr>
          <w:p>
            <w:r>
              <w:t>Retains messages that cannot be processed; requires monitoring and a recovery process.</w:t>
            </w:r>
          </w:p>
        </w:tc>
      </w:tr>
      <w:tr>
        <w:tc>
          <w:tcPr>
            <w:tcW w:type="dxa" w:w="4320"/>
          </w:tcPr>
          <w:p>
            <w:r>
              <w:t>Duplicate detection</w:t>
            </w:r>
          </w:p>
        </w:tc>
        <w:tc>
          <w:tcPr>
            <w:tcW w:type="dxa" w:w="4320"/>
          </w:tcPr>
          <w:p>
            <w:r>
              <w:t>Useful for some designs but not available in Basic; application idempotency is still necessary.</w:t>
            </w:r>
          </w:p>
        </w:tc>
      </w:tr>
    </w:tbl>
    <w:p/>
    <w:p>
      <w:pPr>
        <w:pStyle w:val="Heading1"/>
      </w:pPr>
      <w:r>
        <w:t>6. Hands-on: Send, peek and receive a message</w:t>
      </w:r>
    </w:p>
    <w:p>
      <w:pPr>
        <w:pStyle w:val="ListNumber"/>
      </w:pPr>
      <w:r>
        <w:t>Open the queue and find Service Bus Explorer (portal navigation may vary).</w:t>
      </w:r>
    </w:p>
    <w:p>
      <w:pPr>
        <w:pStyle w:val="ListNumber"/>
      </w:pPr>
      <w:r>
        <w:t>Select Send messages. Use a test message body, for example: {"applicationId":"APP-1001","eventType":"ApplicationSubmitted"}. Do not use real customer data.</w:t>
      </w:r>
    </w:p>
    <w:p>
      <w:pPr>
        <w:pStyle w:val="ListNumber"/>
      </w:pPr>
      <w:r>
        <w:t>Send the message and inspect the active message count.</w:t>
      </w:r>
    </w:p>
    <w:p>
      <w:pPr>
        <w:pStyle w:val="ListNumber"/>
      </w:pPr>
      <w:r>
        <w:t>Use Peek to inspect the message without removing it.</w:t>
      </w:r>
    </w:p>
    <w:p>
      <w:pPr>
        <w:pStyle w:val="ListNumber"/>
      </w:pPr>
      <w:r>
        <w:t>Use Receive with the available mode to observe how the message is consumed. Understand that Receive-and-Delete removes the message immediately, whereas Peek-Lock supports explicit completion.</w:t>
      </w:r>
    </w:p>
    <w:p>
      <w:pPr>
        <w:pStyle w:val="ListNumber"/>
      </w:pPr>
      <w:r>
        <w:t>Refresh queue metrics and confirm the expected change in active message count.</w:t>
      </w:r>
    </w:p>
    <w:p>
      <w:r>
        <w:t>Expected result: The queue accepts the sample message, and you can explain the difference between inspecting, locking, completing and dead-lettering a message.</w:t>
      </w:r>
    </w:p>
    <w:p>
      <w:pPr>
        <w:pStyle w:val="Heading1"/>
      </w:pPr>
      <w:r>
        <w:t>7. Security: Microsoft Entra ID, RBAC and local authentication</w:t>
      </w:r>
    </w:p>
    <w:p>
      <w:r>
        <w:t>Authentication identifies the producer or consumer; authorisation controls send, receive or manage operations. In production, prefer Managed Identity and least-privilege Azure Service Bus Data Sender or Data Receiver roles scoped appropriately.</w:t>
      </w:r>
    </w:p>
    <w:tbl>
      <w:tblPr>
        <w:tblStyle w:val="LightShading-Accent1"/>
        <w:tblW w:type="auto" w:w="0"/>
        <w:tblLook w:firstColumn="1" w:firstRow="1" w:lastColumn="0" w:lastRow="0" w:noHBand="0" w:noVBand="1" w:val="04A0"/>
      </w:tblPr>
      <w:tblGrid>
        <w:gridCol w:w="4320"/>
        <w:gridCol w:w="4320"/>
      </w:tblGrid>
      <w:tr>
        <w:tc>
          <w:tcPr>
            <w:tcW w:type="dxa" w:w="4320"/>
          </w:tcPr>
          <w:p>
            <w:r>
              <w:t>Identity / role</w:t>
            </w:r>
          </w:p>
        </w:tc>
        <w:tc>
          <w:tcPr>
            <w:tcW w:type="dxa" w:w="4320"/>
          </w:tcPr>
          <w:p>
            <w:r>
              <w:t>Use</w:t>
            </w:r>
          </w:p>
        </w:tc>
      </w:tr>
      <w:tr>
        <w:tc>
          <w:tcPr>
            <w:tcW w:type="dxa" w:w="4320"/>
          </w:tcPr>
          <w:p>
            <w:r>
              <w:t>Service Bus Data Sender</w:t>
            </w:r>
          </w:p>
        </w:tc>
        <w:tc>
          <w:tcPr>
            <w:tcW w:type="dxa" w:w="4320"/>
          </w:tcPr>
          <w:p>
            <w:r>
              <w:t>Application or API sending messages</w:t>
            </w:r>
          </w:p>
        </w:tc>
      </w:tr>
      <w:tr>
        <w:tc>
          <w:tcPr>
            <w:tcW w:type="dxa" w:w="4320"/>
          </w:tcPr>
          <w:p>
            <w:r>
              <w:t>Service Bus Data Receiver</w:t>
            </w:r>
          </w:p>
        </w:tc>
        <w:tc>
          <w:tcPr>
            <w:tcW w:type="dxa" w:w="4320"/>
          </w:tcPr>
          <w:p>
            <w:r>
              <w:t>Function or worker consuming messages</w:t>
            </w:r>
          </w:p>
        </w:tc>
      </w:tr>
      <w:tr>
        <w:tc>
          <w:tcPr>
            <w:tcW w:type="dxa" w:w="4320"/>
          </w:tcPr>
          <w:p>
            <w:r>
              <w:t>Service Bus Data Owner</w:t>
            </w:r>
          </w:p>
        </w:tc>
        <w:tc>
          <w:tcPr>
            <w:tcW w:type="dxa" w:w="4320"/>
          </w:tcPr>
          <w:p>
            <w:r>
              <w:t>Broad data-plane management; avoid granting by default</w:t>
            </w:r>
          </w:p>
        </w:tc>
      </w:tr>
      <w:tr>
        <w:tc>
          <w:tcPr>
            <w:tcW w:type="dxa" w:w="4320"/>
          </w:tcPr>
          <w:p>
            <w:r>
              <w:t>Shared Access Signature (SAS)</w:t>
            </w:r>
          </w:p>
        </w:tc>
        <w:tc>
          <w:tcPr>
            <w:tcW w:type="dxa" w:w="4320"/>
          </w:tcPr>
          <w:p>
            <w:r>
              <w:t>Key-based alternative; secure and rotate keys if unavoidable</w:t>
            </w:r>
          </w:p>
        </w:tc>
      </w:tr>
    </w:tbl>
    <w:p/>
    <w:p>
      <w:r>
        <w:t>Screenshot note: Local Authentication = Enabled permits SAS-based access. For a production Entra-only design, assess whether local authentication can be disabled after confirming every client supports Entra ID. Do not embed connection strings in source code.</w:t>
      </w:r>
    </w:p>
    <w:p>
      <w:r>
        <w:t>Networking note: Public access controls reachability; it does not by itself authorise a message operation. Private endpoints and advanced network isolation are tier-dependent and belong to the enterprise architecture discussion, not this basic lab.</w:t>
      </w:r>
    </w:p>
    <w:p>
      <w:pPr>
        <w:pStyle w:val="Heading1"/>
      </w:pPr>
      <w:r>
        <w:t>8. Optional .NET developer example</w:t>
      </w:r>
    </w:p>
    <w:p>
      <w:r>
        <w:t>Install the Azure.Messaging.ServiceBus and Azure.Identity packages. Assign the application identity Service Bus Data Sender. Use DefaultAzureCredential locally and Managed Identity in Azure. Replace the placeholder namespace with your own.</w:t>
      </w:r>
    </w:p>
    <w:p>
      <w:r>
        <w:t>Example (C#):</w:t>
      </w:r>
    </w:p>
    <w:p>
      <w:pPr/>
      <w:r>
        <w:t>using Azure.Identity;</w:t>
      </w:r>
    </w:p>
    <w:p>
      <w:pPr/>
      <w:r>
        <w:t>using Azure.Messaging.ServiceBus;</w:t>
      </w:r>
    </w:p>
    <w:p>
      <w:pPr/>
      <w:r>
        <w:t>var client = new ServiceBusClient("&lt;namespace&gt;.servicebus.windows.net", new DefaultAzureCredential());</w:t>
      </w:r>
    </w:p>
    <w:p>
      <w:pPr/>
      <w:r>
        <w:t>var sender = client.CreateSender("application-submitted");</w:t>
      </w:r>
    </w:p>
    <w:p>
      <w:pPr/>
      <w:r>
        <w:t>await sender.SendMessageAsync(new ServiceBusMessage("{\"applicationId\":\"APP-1001\"}"));</w:t>
      </w:r>
    </w:p>
    <w:p>
      <w:pPr/>
      <w:r>
        <w:t>await sender.DisposeAsync();</w:t>
      </w:r>
    </w:p>
    <w:p>
      <w:pPr/>
      <w:r>
        <w:t>await client.DisposeAsync();</w:t>
      </w:r>
    </w:p>
    <w:p>
      <w:r>
        <w:t>For a real application, use a structured message contract, correlation ID, validation, retries with backoff, observability and idempotent processing. Sending a message and updating SQL are separate operations; consider the transactional outbox pattern if consistency matters.</w:t>
      </w:r>
    </w:p>
    <w:p>
      <w:pPr>
        <w:pStyle w:val="Heading1"/>
      </w:pPr>
      <w:r>
        <w:t>9. Reliability, monitoring and troubleshooting</w:t>
      </w:r>
    </w:p>
    <w:p>
      <w:pPr>
        <w:pStyle w:val="ListBullet"/>
      </w:pPr>
      <w:r>
        <w:t>At-least-once processing: a consumer may see a message more than once. Use an idempotency key, for example applicationId plus event type.</w:t>
      </w:r>
    </w:p>
    <w:p>
      <w:pPr>
        <w:pStyle w:val="ListBullet"/>
      </w:pPr>
      <w:r>
        <w:t>Peek-Lock: complete only after successful processing. Abandon or allow retry for transient failures; dead-letter invalid or repeatedly failing messages.</w:t>
      </w:r>
    </w:p>
    <w:p>
      <w:pPr>
        <w:pStyle w:val="ListBullet"/>
      </w:pPr>
      <w:r>
        <w:t>Inspect active, scheduled and dead-letter message counts, incoming/outgoing operations, errors and throttling in Azure Monitor.</w:t>
      </w:r>
    </w:p>
    <w:p>
      <w:pPr>
        <w:pStyle w:val="ListBullet"/>
      </w:pPr>
      <w:r>
        <w:t>Common error — unauthorised: check Entra RBAC data roles, scope and propagation, or SAS permissions if using local auth.</w:t>
      </w:r>
    </w:p>
    <w:p>
      <w:pPr>
        <w:pStyle w:val="ListBullet"/>
      </w:pPr>
      <w:r>
        <w:t>Common error — connection failure: verify namespace name, allowed outbound connectivity and network access settings.</w:t>
      </w:r>
    </w:p>
    <w:p>
      <w:pPr>
        <w:pStyle w:val="ListBullet"/>
      </w:pPr>
      <w:r>
        <w:t>Common error — messages not disappearing: check receiver mode, lock expiry, completion calls and consumer errors.</w:t>
      </w:r>
    </w:p>
    <w:p>
      <w:r>
        <w:t>Optional Functions integration: configure a Service Bus-triggered Azure Function with an identity-based connection and Service Bus Data Receiver permissions. Basic queue processing can be demonstrated without building a full production workflow.</w:t>
      </w:r>
    </w:p>
    <w:p>
      <w:pPr>
        <w:pStyle w:val="Heading1"/>
      </w:pPr>
      <w:r>
        <w:t>10. Cost and architecture exercise</w:t>
      </w:r>
    </w:p>
    <w:p>
      <w:r>
        <w:t>Discuss: 1) Why does Basic suit the queue-only lab? 2) When would Standard be necessary? 3) When is Premium justified? 4) What is the operational cost of an unmonitored DLQ? 5) How do you prevent duplicate application processing?</w:t>
      </w:r>
    </w:p>
    <w:p>
      <w:r>
        <w:t>Use the Azure Pricing Calculator (https://azure.microsoft.com/en-us/pricing/calculator/) for an estimate. Compare region, tier and expected operations. Portal estimates are not guarantees of actual billing.</w:t>
      </w:r>
    </w:p>
    <w:p>
      <w:pPr>
        <w:pStyle w:val="Heading1"/>
      </w:pPr>
      <w:r>
        <w:t>11. Cleanup</w:t>
      </w:r>
    </w:p>
    <w:p>
      <w:pPr>
        <w:pStyle w:val="ListNumber"/>
      </w:pPr>
      <w:r>
        <w:t>Delete the test queue or namespace after verifying no other training resources depend on it.</w:t>
      </w:r>
    </w:p>
    <w:p>
      <w:pPr>
        <w:pStyle w:val="ListNumber"/>
      </w:pPr>
      <w:r>
        <w:t>If the namespace was created in a dedicated training resource group, delete that resource group only after confirming all resources can be removed.</w:t>
      </w:r>
    </w:p>
    <w:p>
      <w:pPr>
        <w:pStyle w:val="ListNumber"/>
      </w:pPr>
      <w:r>
        <w:t>Check Cost Management later for any remaining resources and usage charges.</w:t>
      </w:r>
    </w:p>
    <w:p>
      <w:pPr>
        <w:pStyle w:val="Heading1"/>
      </w:pPr>
      <w:r>
        <w:t>12. Student knowledge check</w:t>
      </w:r>
    </w:p>
    <w:p>
      <w:pPr>
        <w:pStyle w:val="ListBullet"/>
      </w:pPr>
      <w:r>
        <w:t>What problem does Service Bus solve compared with calling a background worker directly over HTTP?</w:t>
      </w:r>
    </w:p>
    <w:p>
      <w:pPr>
        <w:pStyle w:val="ListBullet"/>
      </w:pPr>
      <w:r>
        <w:t>What is the difference between a queue and a topic?</w:t>
      </w:r>
    </w:p>
    <w:p>
      <w:pPr>
        <w:pStyle w:val="ListBullet"/>
      </w:pPr>
      <w:r>
        <w:t>Why might the Basic tier be insufficient for a publish/subscribe scenario?</w:t>
      </w:r>
    </w:p>
    <w:p>
      <w:pPr>
        <w:pStyle w:val="ListBullet"/>
      </w:pPr>
      <w:r>
        <w:t>What is the difference between Peek and Receive?</w:t>
      </w:r>
    </w:p>
    <w:p>
      <w:pPr>
        <w:pStyle w:val="ListBullet"/>
      </w:pPr>
      <w:r>
        <w:t>Why do we need a dead-letter queue and an operational process for it?</w:t>
      </w:r>
    </w:p>
    <w:p>
      <w:pPr>
        <w:pStyle w:val="ListBullet"/>
      </w:pPr>
      <w:r>
        <w:t>What does at-least-once delivery imply for .NET application code?</w:t>
      </w:r>
    </w:p>
    <w:p>
      <w:pPr>
        <w:pStyle w:val="ListBullet"/>
      </w:pPr>
      <w:r>
        <w:t>Why is Managed Identity preferable to a hard-coded SAS connection string?</w:t>
      </w:r>
    </w:p>
    <w:p>
      <w:r>
        <w:t>Expected outcome: Learners can create a Service Bus namespace and queue, send and inspect test messages, explain pricing/security choices, and identify reliability practices for asynchronous application processing.</w:t>
      </w:r>
    </w:p>
    <w:p>
      <w:pPr>
        <w:pStyle w:val="Heading1"/>
      </w:pPr>
      <w:r>
        <w:t>Microsoft Learn references</w:t>
      </w:r>
    </w:p>
    <w:p>
      <w:r>
        <w:t>https://learn.microsoft.com/en-us/azure/service-bus-messaging/service-bus-messaging-overview</w:t>
      </w:r>
    </w:p>
    <w:p>
      <w:r>
        <w:t>https://learn.microsoft.com/en-us/azure/service-bus-messaging/service-bus-quickstart-portal</w:t>
      </w:r>
    </w:p>
    <w:p>
      <w:r>
        <w:t>https://learn.microsoft.com/en-us/azure/service-bus-messaging/service-bus-authentication-and-authorization</w:t>
      </w:r>
    </w:p>
    <w:p>
      <w:r>
        <w:t>https://learn.microsoft.com/en-us/azure/service-bus-messaging/service-bus-dead-letter-queues-overview</w:t>
      </w:r>
    </w:p>
    <w:p>
      <w:r>
        <w:t>https://learn.microsoft.com/en-us/azure/service-bus-messaging/service-bus-premium-messaging</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