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 Analytics: create, collect and govern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4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Log_Analytics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3" w:name="X7fe3c0026f0c94afa11a004a75ccd3fa374a56e"/>
    <w:p>
      <w:pPr>
        <w:pStyle w:val="Heading2"/>
      </w:pPr>
      <w:r>
        <w:t>Log Analytics workspace | Store and query monitoring data</w:t>
      </w:r>
    </w:p>
    <w:p>
      <w:pPr/>
      <w:r>
        <w:t>What: an Azure Monitor workspace provides tables, retention, query access and related log-data controls. Application Insights provides application-focused experiences; Log Analytics is the query experience over the selected workspace’s data.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investigate multiple application components, compare deployment periods, correlate failures and create query-based alerts.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create/select a workspace, connect telemetry sources, verify data arrives, then query tables in Logs. Follow Labs 7-8.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the web app and Function have separate Application Insights resources linked to a course workspace, allowing authorised cross-component investigation.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a workspace does not collect every resource automatically. Configure each data source/instrumentation path. Access and retention are deliberate choices. Workspace</w:t>
      </w:r>
      <w:r>
        <w:t xml:space="preserve"> </w:t>
      </w:r>
      <w:r>
        <w:rPr>
          <w:rStyle w:val="VerbatimChar"/>
        </w:rPr>
        <w:t xml:space="preserve">AppRequests.TimeGenerated</w:t>
      </w:r>
      <w:r>
        <w:t xml:space="preserve"> </w:t>
      </w:r>
      <w:r>
        <w:t xml:space="preserve">differs from resource-context</w:t>
      </w:r>
      <w:r>
        <w:t xml:space="preserve"> </w:t>
      </w:r>
      <w:r>
        <w:rPr>
          <w:rStyle w:val="VerbatimChar"/>
        </w:rPr>
        <w:t xml:space="preserve">requests.timestamp</w:t>
      </w:r>
      <w:r>
        <w:t xml:space="preserve">. Do not ingest everything forever: consider value, privacy, volume and required retention.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2">
        <w:r>
          <w:rPr>
            <w:rStyle w:val="Hyperlink"/>
          </w:rPr>
          <w:t xml:space="preserve">https://learn.microsoft.com/azure/azure-monitor/logs/log-analytics-overview</w:t>
        </w:r>
      </w:hyperlink>
    </w:p>
    <w:bookmarkEnd w:id="13"/>
    <w:bookmarkEnd w:id="14"/>
    <w:bookmarkStart w:id="16" w:name="Xcd9cd4ef0cd98f216d80e0feea05dfac2aae091"/>
    <w:p>
      <w:pPr>
        <w:pStyle w:val="Heading1"/>
      </w:pPr>
      <w:r>
        <w:t xml:space="preserve">Lab 7 | Application Insights and Log Analytics (core)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45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deployed app from Lab 3 or instructor-provided instrumented app.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telemetry ingestion/retention and any alerts.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Log Analytics workspaces &gt; Create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law-lbs-&lt;suffix&gt;</w:t>
      </w:r>
      <w:r>
        <w:t xml:space="preserve">, the training group and approved region, unless Lab 3 already created the assigned workspace. Do not create a duplicate.</w:t>
      </w:r>
    </w:p>
    <w:p>
      <w:pPr>
        <w:pStyle w:val="Compact"/>
        <w:numPr>
          <w:ilvl w:val="0"/>
          <w:numId w:val="1001"/>
        </w:numPr>
      </w:pPr>
      <w:r>
        <w:t xml:space="preserve">Search</w:t>
      </w:r>
      <w:r>
        <w:t xml:space="preserve"> </w:t>
      </w:r>
      <w:r>
        <w:rPr>
          <w:b/>
          <w:bCs/>
        </w:rPr>
        <w:t xml:space="preserve">Application Insights &gt; Create</w:t>
      </w:r>
      <w:r>
        <w:t xml:space="preserve"> </w:t>
      </w:r>
      <w:r>
        <w:t xml:space="preserve">and select the workspace from step 1, unless the assigned resource already exists. Use</w:t>
      </w:r>
      <w:r>
        <w:t xml:space="preserve"> </w:t>
      </w:r>
      <w:r>
        <w:rPr>
          <w:rStyle w:val="VerbatimChar"/>
        </w:rPr>
        <w:t xml:space="preserve">ai-lbs-&lt;suffix&gt;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On App Service open</w:t>
      </w:r>
      <w:r>
        <w:t xml:space="preserve"> </w:t>
      </w:r>
      <w:r>
        <w:rPr>
          <w:b/>
          <w:bCs/>
        </w:rPr>
        <w:t xml:space="preserve">Application Insights &gt; Enable</w:t>
      </w:r>
      <w:r>
        <w:t xml:space="preserve"> </w:t>
      </w:r>
      <w:r>
        <w:t xml:space="preserve">and select this resource. Choose recommended monitoring for supported ASP.NET Core auto-instrumentation, then apply. The app restarts.</w:t>
      </w:r>
    </w:p>
    <w:p>
      <w:pPr>
        <w:pStyle w:val="Compact"/>
        <w:numPr>
          <w:ilvl w:val="0"/>
          <w:numId w:val="1001"/>
        </w:numPr>
      </w:pPr>
      <w:r>
        <w:t xml:space="preserve">This guide uses Windows App Service and a supported .NET LTS stack. If auto-instrumentation is unavailable, the instructor must supply an instrumented build using the supported Azure Monitor SDK/OpenTelemetry route. Do not assume a connection-string setting alone instruments application code.</w:t>
      </w:r>
    </w:p>
    <w:p>
      <w:pPr>
        <w:pStyle w:val="Compact"/>
        <w:numPr>
          <w:ilvl w:val="0"/>
          <w:numId w:val="1001"/>
        </w:numPr>
      </w:pPr>
      <w:r>
        <w:t xml:space="preserve">Avoid enabling a second instrumentation path on an already instrumented app; duplicate telemetry can result.</w:t>
      </w:r>
    </w:p>
    <w:p>
      <w:pPr>
        <w:pStyle w:val="Compact"/>
        <w:numPr>
          <w:ilvl w:val="0"/>
          <w:numId w:val="1001"/>
        </w:numPr>
      </w:pPr>
      <w:r>
        <w:t xml:space="preserve">Open the deployed API 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repeatedly, or generate a small, bounded set of requests from PowerShell:</w:t>
      </w:r>
    </w:p>
    <w:p>
      <w:pPr>
        <w:pStyle w:val="SourceCode"/>
      </w:pPr>
      <w:r>
        <w:rPr>
          <w:rStyle w:val="VariableTok"/>
        </w:rPr>
        <w:t xml:space="preserve">$baseUrl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"https://&lt;actual-web-app&gt;.azurewebsites.net"</w:t>
      </w:r>
      <w:r>
        <w:br/>
      </w:r>
      <w:r>
        <w:rPr>
          <w:rStyle w:val="DecValTok"/>
        </w:rPr>
        <w:t xml:space="preserve">1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$baseUrl</w:t>
      </w:r>
      <w:r>
        <w:rPr>
          <w:rStyle w:val="StringTok"/>
        </w:rPr>
        <w:t xml:space="preserve">/health"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$baseUrl</w:t>
      </w:r>
      <w:r>
        <w:rPr>
          <w:rStyle w:val="StringTok"/>
        </w:rPr>
        <w:t xml:space="preserve">/api/items"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Seconds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Application Insights &gt; Live Metrics</w:t>
      </w:r>
      <w:r>
        <w:t xml:space="preserve">,</w:t>
      </w:r>
      <w:r>
        <w:t xml:space="preserve"> </w:t>
      </w:r>
      <w:r>
        <w:rPr>
          <w:b/>
          <w:bCs/>
        </w:rPr>
        <w:t xml:space="preserve">Failures</w:t>
      </w:r>
      <w:r>
        <w:t xml:space="preserve">,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Application map</w:t>
      </w:r>
      <w:r>
        <w:t xml:space="preserve">. Live Metrics and stored logs may appear at different times. Allow several minutes for ingestion.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Log Analytics workspace &gt; Logs</w:t>
      </w:r>
      <w:r>
        <w:t xml:space="preserve"> </w:t>
      </w:r>
      <w:r>
        <w:t xml:space="preserve">and switch to KQL/query editor mode if needed. Use that workspace context for the next lab.</w:t>
      </w:r>
    </w:p>
    <w:p>
      <w:pPr>
        <w:pStyle w:val="Compact"/>
        <w:numPr>
          <w:ilvl w:val="0"/>
          <w:numId w:val="1002"/>
        </w:numPr>
      </w:pPr>
      <w:r>
        <w:t xml:space="preserve">Review workspace</w:t>
      </w:r>
      <w:r>
        <w:t xml:space="preserve"> </w:t>
      </w:r>
      <w:r>
        <w:rPr>
          <w:b/>
          <w:bCs/>
        </w:rPr>
        <w:t xml:space="preserve">Usage and estimated costs</w:t>
      </w:r>
      <w:r>
        <w:t xml:space="preserve"> </w:t>
      </w:r>
      <w:r>
        <w:t xml:space="preserve">and retention. Discuss instructor-approved daily caps/retention, but do not disable required monitoring or treat a cap as a guaranteed immediate billing stop.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request rows appear in</w:t>
      </w:r>
      <w:r>
        <w:t xml:space="preserve"> </w:t>
      </w:r>
      <w:r>
        <w:rPr>
          <w:rStyle w:val="VerbatimChar"/>
        </w:rPr>
        <w:t xml:space="preserve">AppRequests</w:t>
      </w:r>
      <w:r>
        <w:t xml:space="preserve"> </w:t>
      </w:r>
      <w:r>
        <w:t xml:space="preserve">for the web app. SQL dependency visibility depends on supported instrumentation and the executed query path; verify it rather than assuming it exists.</w:t>
      </w:r>
    </w:p>
    <w:bookmarkStart w:id="15" w:name="X518b2e14c05d243220497cf95977254284bf925"/>
    <w:p>
      <w:pPr>
        <w:pStyle w:val="Heading2"/>
      </w:pPr>
      <w:r>
        <w:t xml:space="preserve">7A. Create and test a failure alert (hands-on)</w:t>
      </w:r>
    </w:p>
    <w:p>
      <w:pPr>
        <w:pStyle w:val="Compact"/>
        <w:numPr>
          <w:ilvl w:val="0"/>
          <w:numId w:val="1003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Azure Monitor &gt; Alerts &gt; Action groups &gt; Create</w:t>
      </w:r>
      <w:r>
        <w:t xml:space="preserve">, use your training group and a short display name. Add only an approved email recipient for yourself/instructor.</w:t>
      </w:r>
    </w:p>
    <w:p>
      <w:pPr>
        <w:pStyle w:val="Compact"/>
        <w:numPr>
          <w:ilvl w:val="0"/>
          <w:numId w:val="1003"/>
        </w:numPr>
      </w:pPr>
      <w:r>
        <w:t xml:space="preserve">Review and create, then use the action group’s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feature. Confirm the test email arrives; this tests notification delivery, not query-condition firing.</w:t>
      </w:r>
    </w:p>
    <w:p>
      <w:pPr>
        <w:pStyle w:val="Compact"/>
        <w:numPr>
          <w:ilvl w:val="0"/>
          <w:numId w:val="1003"/>
        </w:numPr>
      </w:pPr>
      <w:r>
        <w:t xml:space="preserve">From the Log Analytics workspace choose</w:t>
      </w:r>
      <w:r>
        <w:t xml:space="preserve"> </w:t>
      </w:r>
      <w:r>
        <w:rPr>
          <w:b/>
          <w:bCs/>
        </w:rPr>
        <w:t xml:space="preserve">Alerts &gt; Create alert rule</w:t>
      </w:r>
      <w:r>
        <w:t xml:space="preserve">, then a</w:t>
      </w:r>
      <w:r>
        <w:t xml:space="preserve"> </w:t>
      </w:r>
      <w:r>
        <w:rPr>
          <w:b/>
          <w:bCs/>
        </w:rPr>
        <w:t xml:space="preserve">Custom log search</w:t>
      </w:r>
      <w:r>
        <w:t xml:space="preserve"> </w:t>
      </w:r>
      <w:r>
        <w:t xml:space="preserve">condition.</w:t>
      </w:r>
    </w:p>
    <w:p>
      <w:pPr>
        <w:pStyle w:val="Compact"/>
        <w:numPr>
          <w:ilvl w:val="0"/>
          <w:numId w:val="1003"/>
        </w:numPr>
      </w:pPr>
      <w:r>
        <w:t xml:space="preserve">Use the following query, substituting your actual Application Insights resource ID so a shared workspace does not alert on other apps:</w:t>
      </w:r>
    </w:p>
    <w:p>
      <w:pPr>
        <w:pStyle w:val="SourceCode"/>
      </w:pPr>
      <w:r>
        <w:rPr>
          <w:rStyle w:val="VerbatimChar"/>
        </w:rPr>
        <w:t xml:space="preserve">AppRequests</w:t>
      </w:r>
      <w:r>
        <w:br/>
      </w:r>
      <w:r>
        <w:rPr>
          <w:rStyle w:val="VerbatimChar"/>
        </w:rPr>
        <w:t xml:space="preserve">| where TimeGenerated &gt; ago(15m)</w:t>
      </w:r>
      <w:r>
        <w:br/>
      </w:r>
      <w:r>
        <w:rPr>
          <w:rStyle w:val="VerbatimChar"/>
        </w:rPr>
        <w:t xml:space="preserve">| where _ResourceId =~ "&lt;actual-application-insights-resource-id&gt;"</w:t>
      </w:r>
      <w:r>
        <w:br/>
      </w:r>
      <w:r>
        <w:rPr>
          <w:rStyle w:val="VerbatimChar"/>
        </w:rPr>
        <w:t xml:space="preserve">| where Success == false</w:t>
      </w:r>
    </w:p>
    <w:p>
      <w:pPr>
        <w:pStyle w:val="Compact"/>
        <w:numPr>
          <w:ilvl w:val="0"/>
          <w:numId w:val="1004"/>
        </w:numPr>
      </w:pPr>
      <w:r>
        <w:t xml:space="preserve">Configure table-row count</w:t>
      </w:r>
      <w:r>
        <w:t xml:space="preserve"> </w:t>
      </w:r>
      <w:r>
        <w:rPr>
          <w:b/>
          <w:bCs/>
        </w:rPr>
        <w:t xml:space="preserve">greater than 0</w:t>
      </w:r>
      <w:r>
        <w:t xml:space="preserve">, a 15-minute lookback and an instructor-approved evaluation frequency such as 5 minutes. Do not split dimensions for this introductory exercise.</w:t>
      </w:r>
    </w:p>
    <w:p>
      <w:pPr>
        <w:pStyle w:val="Compact"/>
        <w:numPr>
          <w:ilvl w:val="0"/>
          <w:numId w:val="1004"/>
        </w:numPr>
      </w:pPr>
      <w:r>
        <w:t xml:space="preserve">Select the action group and a clearly named low-impact training alert. Review the alert’s pricing and permissions before creating.</w:t>
      </w:r>
    </w:p>
    <w:p>
      <w:pPr>
        <w:pStyle w:val="Compact"/>
        <w:numPr>
          <w:ilvl w:val="0"/>
          <w:numId w:val="1004"/>
        </w:numPr>
      </w:pPr>
      <w:r>
        <w:t xml:space="preserve">Generate the single approved failure in Lab 8F, restore the app immediately, and wait for ingestion/evaluation. Confirm an actual fired alert separately from the action-group test. A 404 may not meet this application’s</w:t>
      </w:r>
      <w:r>
        <w:t xml:space="preserve"> </w:t>
      </w:r>
      <w:r>
        <w:rPr>
          <w:rStyle w:val="VerbatimChar"/>
        </w:rPr>
        <w:t xml:space="preserve">Success == false</w:t>
      </w:r>
      <w:r>
        <w:t xml:space="preserve"> </w:t>
      </w:r>
      <w:r>
        <w:t xml:space="preserve">semantics, so use recorded telemetry rather than guessing.</w:t>
      </w:r>
    </w:p>
    <w:p>
      <w:pPr>
        <w:pStyle w:val="Compact"/>
        <w:numPr>
          <w:ilvl w:val="0"/>
          <w:numId w:val="1004"/>
        </w:numPr>
      </w:pPr>
      <w:r>
        <w:t xml:space="preserve">Inspect the alert instance, query result and time window. Disable/delete the training alert after verification to avoid ongoing evaluation charges and emails.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action-group test received; real alert fired or the exact evaluation/telemetry blocker documented. Do not count a test email alone as successful application failure detection.</w:t>
      </w:r>
    </w:p>
    <w:bookmarkEnd w:id="15"/>
    <w:bookmarkEnd w:id="16"/>
    <w:bookmarkStart w:id="18" w:name="X20035f4598b1bf5902cc1901dac216074cc9105"/>
    <w:p>
      <w:pPr>
        <w:pStyle w:val="Heading1"/>
      </w:pPr>
      <w:r>
        <w:t xml:space="preserve">Lab 15 | Collect Blob resource logs in Log Analytics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diagnostic settings route supported resource logs to a destination. Creating a workspace does not automatically collect data from storage, Key Vault or every Azure service.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Labs 6-7; write permission for diagnostic settings and permitted destination access. Use the instructor to perform denied configuration steps.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resource-log ingestion and retention may bill; enable only the specific category needed.</w:t>
      </w:r>
    </w:p>
    <w:p>
      <w:pPr>
        <w:pStyle w:val="Compact"/>
        <w:numPr>
          <w:ilvl w:val="0"/>
          <w:numId w:val="1005"/>
        </w:numPr>
      </w:pPr>
      <w:r>
        <w:t xml:space="preserve">Open your</w:t>
      </w:r>
      <w:r>
        <w:t xml:space="preserve"> </w:t>
      </w:r>
      <w:r>
        <w:rPr>
          <w:b/>
          <w:bCs/>
        </w:rPr>
        <w:t xml:space="preserve">Storage account &gt; Monitoring &gt; Diagnostic settings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Blob service</w:t>
      </w:r>
      <w:r>
        <w:t xml:space="preserve"> </w:t>
      </w:r>
      <w:r>
        <w:t xml:space="preserve">resource if the page lists storage sub-services. Configure Blob diagnostics, not only the storage account’s parent-resource view.</w:t>
      </w:r>
    </w:p>
    <w:p>
      <w:pPr>
        <w:pStyle w:val="Compact"/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Add diagnostic setting</w:t>
      </w:r>
      <w:r>
        <w:t xml:space="preserve">. Name it</w:t>
      </w:r>
      <w:r>
        <w:t xml:space="preserve"> </w:t>
      </w:r>
      <w:r>
        <w:rPr>
          <w:rStyle w:val="VerbatimChar"/>
        </w:rPr>
        <w:t xml:space="preserve">lbs-blob-read-practice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StorageRead</w:t>
      </w:r>
      <w:r>
        <w:t xml:space="preserve"> </w:t>
      </w:r>
      <w:r>
        <w:t xml:space="preserve">log category if offered. Do not select every category or broad category groups just to ensure a result.</w:t>
      </w:r>
    </w:p>
    <w:p>
      <w:pPr>
        <w:pStyle w:val="Compact"/>
        <w:numPr>
          <w:ilvl w:val="0"/>
          <w:numId w:val="1005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Send to Log Analytics workspace</w:t>
      </w:r>
      <w:r>
        <w:t xml:space="preserve">, your approved subscription and workspace. Select resource-specific/dedicated tables where the option exists. Do not simultaneously send to several destinations for this lab.</w:t>
      </w:r>
    </w:p>
    <w:p>
      <w:pPr>
        <w:pStyle w:val="Compact"/>
        <w:numPr>
          <w:ilvl w:val="0"/>
          <w:numId w:val="1005"/>
        </w:numPr>
      </w:pPr>
      <w:r>
        <w:t xml:space="preserve">Save. Reopen the setting and verify the destination and category.</w:t>
      </w:r>
    </w:p>
    <w:p>
      <w:pPr>
        <w:pStyle w:val="Compact"/>
        <w:numPr>
          <w:ilvl w:val="0"/>
          <w:numId w:val="1005"/>
        </w:numPr>
      </w:pPr>
      <w:r>
        <w:t xml:space="preserve">In the private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container, download your fictional file through authorised access a few times. Avoid using a cached browser copy as your only test.</w:t>
      </w:r>
    </w:p>
    <w:p>
      <w:pPr>
        <w:pStyle w:val="Compact"/>
        <w:numPr>
          <w:ilvl w:val="0"/>
          <w:numId w:val="1005"/>
        </w:numPr>
      </w:pPr>
      <w:r>
        <w:t xml:space="preserve">Wait for ingestion. In</w:t>
      </w:r>
      <w:r>
        <w:t xml:space="preserve"> </w:t>
      </w:r>
      <w:r>
        <w:rPr>
          <w:b/>
          <w:bCs/>
        </w:rPr>
        <w:t xml:space="preserve">workspace &gt; Logs</w:t>
      </w:r>
      <w:r>
        <w:t xml:space="preserve">, inspect the table list and run:</w:t>
      </w:r>
    </w:p>
    <w:p>
      <w:pPr>
        <w:pStyle w:val="SourceCode"/>
      </w:pPr>
      <w:r>
        <w:rPr>
          <w:rStyle w:val="VerbatimChar"/>
        </w:rPr>
        <w:t xml:space="preserve">StorageBlobLogs</w:t>
      </w:r>
      <w:r>
        <w:br/>
      </w:r>
      <w:r>
        <w:rPr>
          <w:rStyle w:val="VerbatimChar"/>
        </w:rPr>
        <w:t xml:space="preserve">| where TimeGenerated &gt; ago(1h)</w:t>
      </w:r>
      <w:r>
        <w:br/>
      </w:r>
      <w:r>
        <w:rPr>
          <w:rStyle w:val="VerbatimChar"/>
        </w:rPr>
        <w:t xml:space="preserve">| where AccountName == "&lt;actual-storage-account&gt;"</w:t>
      </w:r>
      <w:r>
        <w:br/>
      </w:r>
      <w:r>
        <w:rPr>
          <w:rStyle w:val="VerbatimChar"/>
        </w:rPr>
        <w:t xml:space="preserve">| project TimeGenerated, OperationName, StatusCode,</w:t>
      </w:r>
      <w:r>
        <w:br/>
      </w:r>
      <w:r>
        <w:rPr>
          <w:rStyle w:val="VerbatimChar"/>
        </w:rPr>
        <w:t xml:space="preserve">          AuthenticationType, DurationMs</w:t>
      </w:r>
      <w:r>
        <w:br/>
      </w:r>
      <w:r>
        <w:rPr>
          <w:rStyle w:val="VerbatimChar"/>
        </w:rPr>
        <w:t xml:space="preserve">| order by TimeGenerated desc</w:t>
      </w:r>
      <w:r>
        <w:br/>
      </w:r>
      <w:r>
        <w:rPr>
          <w:rStyle w:val="VerbatimChar"/>
        </w:rPr>
        <w:t xml:space="preserve">| take 20</w:t>
      </w:r>
    </w:p>
    <w:p>
      <w:pPr>
        <w:pStyle w:val="Compact"/>
        <w:numPr>
          <w:ilvl w:val="0"/>
          <w:numId w:val="1006"/>
        </w:numPr>
      </w:pPr>
      <w:r>
        <w:t xml:space="preserve">If the table is absent, check the setting actually saved, Blob category availability, destination, generated operations and ingestion delay. Legacy routing may use</w:t>
      </w:r>
      <w:r>
        <w:t xml:space="preserve"> </w:t>
      </w:r>
      <w:r>
        <w:rPr>
          <w:rStyle w:val="VerbatimChar"/>
        </w:rPr>
        <w:t xml:space="preserve">AzureDiagnostics</w:t>
      </w:r>
      <w:r>
        <w:t xml:space="preserve"> </w:t>
      </w:r>
      <w:r>
        <w:t xml:space="preserve">with a different schema: inspect it rather than forcing the query above.</w:t>
      </w:r>
    </w:p>
    <w:p>
      <w:pPr>
        <w:pStyle w:val="Compact"/>
        <w:numPr>
          <w:ilvl w:val="0"/>
          <w:numId w:val="1006"/>
        </w:numPr>
      </w:pPr>
      <w:r>
        <w:t xml:space="preserve">Identify a read operation, status code and authentication type. Do not expose object paths/requester details unnecessarily.</w:t>
      </w:r>
    </w:p>
    <w:p>
      <w:pPr>
        <w:pStyle w:val="Compact"/>
        <w:numPr>
          <w:ilvl w:val="0"/>
          <w:numId w:val="1006"/>
        </w:numPr>
      </w:pPr>
      <w:r>
        <w:t xml:space="preserve">Remove this practice diagnostic setting after evidence, unless the instructor has approved continued collection.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row associated with your Blob reads; not a claim that all storage operations are now audited.</w:t>
      </w:r>
    </w:p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t xml:space="preserve">App Insights tracks instrumented app behaviour; these logs originate in the storage service. Activity Log describes management changes. They answer different questions.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diagnostic settings are not an excuse to collect document contents or to relax storage access.</w:t>
      </w:r>
      <w:r>
        <w:t xml:space="preserve"> </w:t>
      </w:r>
      <w:r>
        <w:rPr>
          <w:b/>
          <w:bCs/>
        </w:rPr>
        <w:t xml:space="preserve">Cleanup:</w:t>
      </w:r>
      <w:r>
        <w:t xml:space="preserve"> </w:t>
      </w:r>
      <w:r>
        <w:t xml:space="preserve">remove only</w:t>
      </w:r>
      <w:r>
        <w:t xml:space="preserve"> </w:t>
      </w:r>
      <w:r>
        <w:rPr>
          <w:rStyle w:val="VerbatimChar"/>
        </w:rPr>
        <w:t xml:space="preserve">lbs-blob-read-practice</w:t>
      </w:r>
      <w:r>
        <w:t xml:space="preserve">; retained ingested data is governed by workspace retention and is not erased by removing the setting.</w:t>
      </w:r>
    </w:p>
    <w:p>
      <w:pPr>
        <w:pStyle w:val="BodyText"/>
      </w:pPr>
      <w:r>
        <w:t xml:space="preserve">Reference:</w:t>
      </w:r>
      <w:r>
        <w:t xml:space="preserve"> </w:t>
      </w:r>
      <w:hyperlink r:id="rId17">
        <w:r>
          <w:rPr>
            <w:rStyle w:val="Hyperlink"/>
          </w:rPr>
          <w:t xml:space="preserve">https://learn.microsoft.com/azure/azure-monitor/data-collection/diagnostic-settings</w:t>
        </w:r>
      </w:hyperlink>
    </w:p>
    <w:bookmarkEnd w:id="18"/>
    <w:bookmarkStart w:id="20" w:name="Xff3b920988a7ea7d9ffb765e07152508bc107c9"/>
    <w:p>
      <w:pPr>
        <w:pStyle w:val="Heading1"/>
      </w:pPr>
      <w:r>
        <w:t xml:space="preserve">Lab 17 | Log Analytics cost, retention and access review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useful monitoring needs intentional collection, access and retention. Too much data can be costly or sensitive; too little can prevent incident diagnosis.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a populated workspace and access to its settings. Changes require instructor approval; inspect settings without changing shared workspaces.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workspace &gt; Usage and estimated costs</w:t>
      </w:r>
      <w:r>
        <w:t xml:space="preserve">. Record pricing model, recent ingestion trend and estimate period. Do not purchase a commitment tier for a tiny practice environment.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Tables</w:t>
      </w:r>
      <w:r>
        <w:t xml:space="preserve">. Find</w:t>
      </w:r>
      <w:r>
        <w:t xml:space="preserve"> </w:t>
      </w:r>
      <w:r>
        <w:rPr>
          <w:rStyle w:val="VerbatimChar"/>
        </w:rPr>
        <w:t xml:space="preserve">AppRequests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AppTraces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StorageBlobLogs</w:t>
      </w:r>
      <w:r>
        <w:t xml:space="preserve"> </w:t>
      </w:r>
      <w:r>
        <w:t xml:space="preserve">table created earlier. Record their table plan, interactive/total retention where shown, and available controls.</w:t>
      </w:r>
    </w:p>
    <w:p>
      <w:pPr>
        <w:pStyle w:val="Compact"/>
        <w:numPr>
          <w:ilvl w:val="0"/>
          <w:numId w:val="1007"/>
        </w:numPr>
      </w:pPr>
      <w:r>
        <w:t xml:space="preserve">Do not change tables to Basic/Auxiliary merely to reduce a displayed price. Features, query capabilities, costs and alert support differ by table plan; not every table supports every plan.</w:t>
      </w:r>
    </w:p>
    <w:p>
      <w:pPr>
        <w:pStyle w:val="Compact"/>
        <w:numPr>
          <w:ilvl w:val="0"/>
          <w:numId w:val="1007"/>
        </w:numPr>
      </w:pPr>
      <w:r>
        <w:t xml:space="preserve">In Logs estimate the volume of selected application tables:</w:t>
      </w:r>
    </w:p>
    <w:p>
      <w:pPr>
        <w:pStyle w:val="SourceCode"/>
      </w:pPr>
      <w:r>
        <w:rPr>
          <w:rStyle w:val="VerbatimChar"/>
        </w:rPr>
        <w:t xml:space="preserve">union withsource=TableName AppRequests, AppTraces, AppExceptions</w:t>
      </w:r>
      <w:r>
        <w:br/>
      </w:r>
      <w:r>
        <w:rPr>
          <w:rStyle w:val="VerbatimChar"/>
        </w:rPr>
        <w:t xml:space="preserve">| where TimeGenerated &gt; ago(24h)</w:t>
      </w:r>
      <w:r>
        <w:br/>
      </w:r>
      <w:r>
        <w:rPr>
          <w:rStyle w:val="VerbatimChar"/>
        </w:rPr>
        <w:t xml:space="preserve">| where _IsBillable == "true"</w:t>
      </w:r>
      <w:r>
        <w:br/>
      </w:r>
      <w:r>
        <w:rPr>
          <w:rStyle w:val="VerbatimChar"/>
        </w:rPr>
        <w:t xml:space="preserve">| summarize ApproxBillableGB=sum(_BilledSize) / 1000000000.0</w:t>
      </w:r>
      <w:r>
        <w:br/>
      </w:r>
      <w:r>
        <w:rPr>
          <w:rStyle w:val="VerbatimChar"/>
        </w:rPr>
        <w:t xml:space="preserve">    by TableName</w:t>
      </w:r>
      <w:r>
        <w:br/>
      </w:r>
      <w:r>
        <w:rPr>
          <w:rStyle w:val="VerbatimChar"/>
        </w:rPr>
        <w:t xml:space="preserve">| order by ApproxBillableGB desc</w:t>
      </w:r>
    </w:p>
    <w:p>
      <w:pPr>
        <w:pStyle w:val="Compact"/>
        <w:numPr>
          <w:ilvl w:val="0"/>
          <w:numId w:val="1008"/>
        </w:numPr>
      </w:pPr>
      <w:r>
        <w:t xml:space="preserve">These columns/table names must exist in your actual schema. This is selected-table stored billable-byte analysis, not a complete invoice or necessarily a one-to-one match to the billing period. It excludes other tables/features and any different pricing treatment.</w:t>
      </w:r>
    </w:p>
    <w:p>
      <w:pPr>
        <w:pStyle w:val="Compact"/>
        <w:numPr>
          <w:ilvl w:val="0"/>
          <w:numId w:val="1008"/>
        </w:numPr>
      </w:pPr>
      <w:r>
        <w:t xml:space="preserve">Inspect</w:t>
      </w:r>
      <w:r>
        <w:t xml:space="preserve"> </w:t>
      </w:r>
      <w:r>
        <w:rPr>
          <w:b/>
          <w:bCs/>
        </w:rPr>
        <w:t xml:space="preserve">Daily cap</w:t>
      </w:r>
      <w:r>
        <w:t xml:space="preserve"> </w:t>
      </w:r>
      <w:r>
        <w:t xml:space="preserve">settings if available. Record the reset time and the warning about delayed enforcement/excluded data. Do not enable a tiny cap that blinds a shared app.</w:t>
      </w:r>
    </w:p>
    <w:p>
      <w:pPr>
        <w:pStyle w:val="Compact"/>
        <w:numPr>
          <w:ilvl w:val="0"/>
          <w:numId w:val="1008"/>
        </w:numPr>
      </w:pPr>
      <w:r>
        <w:t xml:space="preserve">Draft a retention decision: which data must remain, for how long, who approves it, and what privacy/security requirement supports the duration. Defaults and included retention vary; do not assume one universal free period.</w:t>
      </w:r>
    </w:p>
    <w:p>
      <w:pPr>
        <w:pStyle w:val="Compact"/>
        <w:numPr>
          <w:ilvl w:val="0"/>
          <w:numId w:val="1008"/>
        </w:numPr>
      </w:pPr>
      <w:r>
        <w:t xml:space="preserve">Inspect</w:t>
      </w:r>
      <w:r>
        <w:t xml:space="preserve"> </w:t>
      </w:r>
      <w:r>
        <w:rPr>
          <w:b/>
          <w:bCs/>
        </w:rPr>
        <w:t xml:space="preserve">Properties &gt; Access control mode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 control (IAM)</w:t>
      </w:r>
      <w:r>
        <w:t xml:space="preserve">. Have the instructor explain resource-context versus workspace-context permissions. Do not grant every learner broad workspace access to sensitive multi-application logs.</w:t>
      </w:r>
    </w:p>
    <w:p>
      <w:pPr>
        <w:pStyle w:val="Compact"/>
        <w:numPr>
          <w:ilvl w:val="0"/>
          <w:numId w:val="1008"/>
        </w:numPr>
      </w:pPr>
      <w:r>
        <w:t xml:space="preserve">With a partner, list three cost reductions that preserve diagnostic value: reduce repetitive low-value verbose logs, avoid duplicate instrumentation/export, and scope high-volume resource logs. Do not remove audit data required by policy.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log-governance worksheet with sources, table plans, estimated volume, retention, access owners and cost decisions.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logging secrets is a data incident, not a problem to solve by shortening retention alone. Restrict access, follow incident procedures and prevent further sensitive ingestion. Never run purge/delete operations as a classroom experiment.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no settings changed unless approved; revert any authorised temporary practice setting to its recorded original value.</w:t>
      </w:r>
    </w:p>
    <w:p>
      <w:pPr>
        <w:pStyle w:val="BodyText"/>
      </w:pPr>
      <w:r>
        <w:t xml:space="preserve">Reference:</w:t>
      </w:r>
      <w:r>
        <w:t xml:space="preserve"> </w:t>
      </w:r>
      <w:hyperlink r:id="rId19">
        <w:r>
          <w:rPr>
            <w:rStyle w:val="Hyperlink"/>
          </w:rPr>
          <w:t xml:space="preserve">https://learn.microsoft.com/azure/azure-monitor/logs/cost-logs</w:t>
        </w:r>
      </w:hyperlink>
    </w:p>
    <w:bookmarkEnd w:id="20"/>
    <w:bookmarkStart w:id="21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21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https://learn.microsoft.com/azure/azure-monitor/data-collection/diagnostic-settings" TargetMode="External"/><Relationship Id="rId19" Type="http://schemas.openxmlformats.org/officeDocument/2006/relationships/hyperlink" Target="https://learn.microsoft.com/azure/azure-monitor/logs/cost-logs" TargetMode="External"/><Relationship Id="rId12" Type="http://schemas.openxmlformats.org/officeDocument/2006/relationships/hyperlink" Target="https://learn.microsoft.com/azure/azure-monitor/logs/log-analytics-overview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learn.microsoft.com/azure/azure-monitor/data-collection/diagnostic-settings" TargetMode="External"/><Relationship Id="rId19" Type="http://schemas.openxmlformats.org/officeDocument/2006/relationships/hyperlink" Target="https://learn.microsoft.com/azure/azure-monitor/logs/cost-logs" TargetMode="External"/><Relationship Id="rId12" Type="http://schemas.openxmlformats.org/officeDocument/2006/relationships/hyperlink" Target="https://learn.microsoft.com/azure/azure-monitor/logs/log-analytics-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Analytics: create, collect and govern</dc:title>
  <dc:creator>LBS | Attendee edition v2 | 26 October 2026</dc:creator>
  <cp:keywords/>
  <dcterms:created xsi:type="dcterms:W3CDTF">2026-10-26T12:58:42Z</dcterms:created>
  <dcterms:modified xsi:type="dcterms:W3CDTF">2026-10-26T12:58:42Z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