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Two-day timetable - 09:45 to 17:30</w:t>
      </w:r>
    </w:p>
    <w:p>
      <w:r>
        <w:t>Each day is 465 minutes including lunch and breaks. Use assigned resources and the day-specific order guides. Optional work does not replace core evidence or cleanup.</w:t>
      </w:r>
    </w:p>
    <w:p>
      <w:pPr>
        <w:pStyle w:val="Heading1"/>
      </w:pPr>
      <w:r>
        <w:t>Day 1 - understand the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Finish</w:t>
            </w:r>
          </w:p>
        </w:tc>
        <w:tc>
          <w:tcPr>
            <w:tcW w:type="dxa" w:w="2880"/>
          </w:tcPr>
          <w:p>
            <w:r>
              <w:t>Block</w:t>
            </w:r>
          </w:p>
        </w:tc>
      </w:tr>
      <w:tr>
        <w:tc>
          <w:tcPr>
            <w:tcW w:type="dxa" w:w="2880"/>
          </w:tcPr>
          <w:p>
            <w:r>
              <w:t>09:45</w:t>
            </w:r>
          </w:p>
        </w:tc>
        <w:tc>
          <w:tcPr>
            <w:tcW w:type="dxa" w:w="2880"/>
          </w:tcPr>
          <w:p>
            <w:r>
              <w:t>11:05</w:t>
            </w:r>
          </w:p>
        </w:tc>
        <w:tc>
          <w:tcPr>
            <w:tcW w:type="dxa" w:w="2880"/>
          </w:tcPr>
          <w:p>
            <w:r>
              <w:t>Welcome, introductions, foundations and orientation</w:t>
            </w:r>
          </w:p>
        </w:tc>
      </w:tr>
      <w:tr>
        <w:tc>
          <w:tcPr>
            <w:tcW w:type="dxa" w:w="2880"/>
          </w:tcPr>
          <w:p>
            <w:r>
              <w:t>11:05</w:t>
            </w:r>
          </w:p>
        </w:tc>
        <w:tc>
          <w:tcPr>
            <w:tcW w:type="dxa" w:w="2880"/>
          </w:tcPr>
          <w:p>
            <w:r>
              <w:t>12:20</w:t>
            </w:r>
          </w:p>
        </w:tc>
        <w:tc>
          <w:tcPr>
            <w:tcW w:type="dxa" w:w="2880"/>
          </w:tcPr>
          <w:p>
            <w:r>
              <w:t>SQL including cost decision</w:t>
            </w:r>
          </w:p>
        </w:tc>
      </w:tr>
      <w:tr>
        <w:tc>
          <w:tcPr>
            <w:tcW w:type="dxa" w:w="2880"/>
          </w:tcPr>
          <w:p>
            <w:r>
              <w:t>12:20</w:t>
            </w:r>
          </w:p>
        </w:tc>
        <w:tc>
          <w:tcPr>
            <w:tcW w:type="dxa" w:w="2880"/>
          </w:tcPr>
          <w:p>
            <w:r>
              <w:t>12:35</w:t>
            </w:r>
          </w:p>
        </w:tc>
        <w:tc>
          <w:tcPr>
            <w:tcW w:type="dxa" w:w="2880"/>
          </w:tcPr>
          <w:p>
            <w:r>
              <w:t>Break</w:t>
            </w:r>
          </w:p>
        </w:tc>
      </w:tr>
      <w:tr>
        <w:tc>
          <w:tcPr>
            <w:tcW w:type="dxa" w:w="2880"/>
          </w:tcPr>
          <w:p>
            <w:r>
              <w:t>12:35</w:t>
            </w:r>
          </w:p>
        </w:tc>
        <w:tc>
          <w:tcPr>
            <w:tcW w:type="dxa" w:w="2880"/>
          </w:tcPr>
          <w:p>
            <w:r>
              <w:t>13:40</w:t>
            </w:r>
          </w:p>
        </w:tc>
        <w:tc>
          <w:tcPr>
            <w:tcW w:type="dxa" w:w="2880"/>
          </w:tcPr>
          <w:p>
            <w:r>
              <w:t>Blob including cost decision</w:t>
            </w:r>
          </w:p>
        </w:tc>
      </w:tr>
      <w:tr>
        <w:tc>
          <w:tcPr>
            <w:tcW w:type="dxa" w:w="2880"/>
          </w:tcPr>
          <w:p>
            <w:r>
              <w:t>13:40</w:t>
            </w:r>
          </w:p>
        </w:tc>
        <w:tc>
          <w:tcPr>
            <w:tcW w:type="dxa" w:w="2880"/>
          </w:tcPr>
          <w:p>
            <w:r>
              <w:t>14:25</w:t>
            </w:r>
          </w:p>
        </w:tc>
        <w:tc>
          <w:tcPr>
            <w:tcW w:type="dxa" w:w="2880"/>
          </w:tcPr>
          <w:p>
            <w:r>
              <w:t>Lunch</w:t>
            </w:r>
          </w:p>
        </w:tc>
      </w:tr>
      <w:tr>
        <w:tc>
          <w:tcPr>
            <w:tcW w:type="dxa" w:w="2880"/>
          </w:tcPr>
          <w:p>
            <w:r>
              <w:t>14:25</w:t>
            </w:r>
          </w:p>
        </w:tc>
        <w:tc>
          <w:tcPr>
            <w:tcW w:type="dxa" w:w="2880"/>
          </w:tcPr>
          <w:p>
            <w:r>
              <w:t>15:40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15:40</w:t>
            </w:r>
          </w:p>
        </w:tc>
        <w:tc>
          <w:tcPr>
            <w:tcW w:type="dxa" w:w="2880"/>
          </w:tcPr>
          <w:p>
            <w:r>
              <w:t>15:55</w:t>
            </w:r>
          </w:p>
        </w:tc>
        <w:tc>
          <w:tcPr>
            <w:tcW w:type="dxa" w:w="2880"/>
          </w:tcPr>
          <w:p>
            <w:r>
              <w:t>Break</w:t>
            </w:r>
          </w:p>
        </w:tc>
      </w:tr>
      <w:tr>
        <w:tc>
          <w:tcPr>
            <w:tcW w:type="dxa" w:w="2880"/>
          </w:tcPr>
          <w:p>
            <w:r>
              <w:t>15:55</w:t>
            </w:r>
          </w:p>
        </w:tc>
        <w:tc>
          <w:tcPr>
            <w:tcW w:type="dxa" w:w="2880"/>
          </w:tcPr>
          <w:p>
            <w:r>
              <w:t>16:50</w:t>
            </w:r>
          </w:p>
        </w:tc>
        <w:tc>
          <w:tcPr>
            <w:tcW w:type="dxa" w:w="2880"/>
          </w:tcPr>
          <w:p>
            <w:r>
              <w:t>Logs/KQL</w:t>
            </w:r>
          </w:p>
        </w:tc>
      </w:tr>
      <w:tr>
        <w:tc>
          <w:tcPr>
            <w:tcW w:type="dxa" w:w="2880"/>
          </w:tcPr>
          <w:p>
            <w:r>
              <w:t>16:50</w:t>
            </w:r>
          </w:p>
        </w:tc>
        <w:tc>
          <w:tcPr>
            <w:tcW w:type="dxa" w:w="2880"/>
          </w:tcPr>
          <w:p>
            <w:r>
              <w:t>17:30</w:t>
            </w:r>
          </w:p>
        </w:tc>
        <w:tc>
          <w:tcPr>
            <w:tcW w:type="dxa" w:w="2880"/>
          </w:tcPr>
          <w:p>
            <w:r>
              <w:t>Troubleshooting, knowledge check, cost recap and cleanup</w:t>
            </w:r>
          </w:p>
        </w:tc>
      </w:tr>
    </w:tbl>
    <w:p>
      <w:r>
        <w:t>Includes a guided 15-minute portal walkthrough and SQL/Blob cost decisions. The HTTP Function, SQL, files and synthetic KQL remain independent exercises.</w:t>
      </w:r>
    </w:p>
    <w:p>
      <w:r>
        <w:br w:type="page"/>
      </w:r>
    </w:p>
    <w:p>
      <w:pPr>
        <w:pStyle w:val="Heading1"/>
      </w:pPr>
      <w:r>
        <w:t>Day 2 - cost and observability first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Finish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</w:tr>
      <w:tr>
        <w:tc>
          <w:tcPr>
            <w:tcW w:type="dxa" w:w="2160"/>
          </w:tcPr>
          <w:p>
            <w:r>
              <w:t>09:45</w:t>
            </w:r>
          </w:p>
        </w:tc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Welcome, recap and portal orientation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11:15</w:t>
            </w:r>
          </w:p>
        </w:tc>
        <w:tc>
          <w:tcPr>
            <w:tcW w:type="dxa" w:w="2160"/>
          </w:tcPr>
          <w:p>
            <w:r>
              <w:t>Mandatory Cost Management investigation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11:15</w:t>
            </w:r>
          </w:p>
        </w:tc>
        <w:tc>
          <w:tcPr>
            <w:tcW w:type="dxa" w:w="2160"/>
          </w:tcPr>
          <w:p>
            <w:r>
              <w:t>11:30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11:30</w:t>
            </w:r>
          </w:p>
        </w:tc>
        <w:tc>
          <w:tcPr>
            <w:tcW w:type="dxa" w:w="2160"/>
          </w:tcPr>
          <w:p>
            <w:r>
              <w:t>12:45</w:t>
            </w:r>
          </w:p>
        </w:tc>
        <w:tc>
          <w:tcPr>
            <w:tcW w:type="dxa" w:w="2160"/>
          </w:tcPr>
          <w:p>
            <w:r>
              <w:t>Application Insights: requests, failures and dependencies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12:45</w:t>
            </w:r>
          </w:p>
        </w:tc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14:45</w:t>
            </w:r>
          </w:p>
        </w:tc>
        <w:tc>
          <w:tcPr>
            <w:tcW w:type="dxa" w:w="2160"/>
          </w:tcPr>
          <w:p>
            <w:r>
              <w:t>KQL: first rows, failures, slow dependency and correlation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14:45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15:35</w:t>
            </w:r>
          </w:p>
        </w:tc>
        <w:tc>
          <w:tcPr>
            <w:tcW w:type="dxa" w:w="2160"/>
          </w:tcPr>
          <w:p>
            <w:r>
              <w:t>Service Bus Explorer: standalone send, peek and receive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15:35</w:t>
            </w:r>
          </w:p>
        </w:tc>
        <w:tc>
          <w:tcPr>
            <w:tcW w:type="dxa" w:w="2160"/>
          </w:tcPr>
          <w:p>
            <w:r>
              <w:t>16:20</w:t>
            </w:r>
          </w:p>
        </w:tc>
        <w:tc>
          <w:tcPr>
            <w:tcW w:type="dxa" w:w="2160"/>
          </w:tcPr>
          <w:p>
            <w:r>
              <w:t>Local document tracker: realistic outcomes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16:20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Team incident and cost trade-off exercise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17:30</w:t>
            </w:r>
          </w:p>
        </w:tc>
        <w:tc>
          <w:tcPr>
            <w:tcW w:type="dxa" w:w="2160"/>
          </w:tcPr>
          <w:p>
            <w:r>
              <w:t>Knowledge check, evidence, cleanup and close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>
      <w:r>
        <w:t>Cost comparison and budget design are mandatory; creating a real budget needs approval. Use live telemetry only when prepared and authorised, otherwise labelled prepared/offline data. The local tracker is not Azure-integrated. CI/CD and IaC remain awareness-only.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/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