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1 - individual component exercises</w:t>
      </w:r>
    </w:p>
    <w:p>
      <w:pPr>
        <w:pStyle w:val="Heading1"/>
      </w:pPr>
      <w:r>
        <w:t>Confirmed delivery window - 09:45-17:30</w:t>
      </w:r>
    </w:p>
    <w:p>
      <w:r>
        <w:t>The opening includes a 15-minute guided portal walkthrough before individual practice. SQL and Blob include short paired cost decisions: state the workload assumption, cost driver, safe recommendation and risk. Day 2 has a mandatory deeper Cost Management lab. Use existing assigned resources; optional creation guides are not required.</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t>Start</w:t>
            </w:r>
          </w:p>
        </w:tc>
        <w:tc>
          <w:tcPr>
            <w:tcW w:type="dxa" w:w="3298"/>
          </w:tcPr>
          <w:p>
            <w:r>
              <w:t>Finish</w:t>
            </w:r>
          </w:p>
        </w:tc>
        <w:tc>
          <w:tcPr>
            <w:tcW w:type="dxa" w:w="3298"/>
          </w:tcPr>
          <w:p>
            <w:r>
              <w:t>Block</w:t>
            </w:r>
          </w:p>
        </w:tc>
      </w:tr>
      <w:tr>
        <w:tc>
          <w:tcPr>
            <w:tcW w:type="dxa" w:w="3298"/>
          </w:tcPr>
          <w:p>
            <w:r>
              <w:t>09:45</w:t>
            </w:r>
          </w:p>
        </w:tc>
        <w:tc>
          <w:tcPr>
            <w:tcW w:type="dxa" w:w="3298"/>
          </w:tcPr>
          <w:p>
            <w:r>
              <w:t>11:05</w:t>
            </w:r>
          </w:p>
        </w:tc>
        <w:tc>
          <w:tcPr>
            <w:tcW w:type="dxa" w:w="3298"/>
          </w:tcPr>
          <w:p>
            <w:r>
              <w:t>Welcome, introductions, foundations and orientation</w:t>
            </w:r>
          </w:p>
        </w:tc>
      </w:tr>
      <w:tr>
        <w:tc>
          <w:tcPr>
            <w:tcW w:type="dxa" w:w="3298"/>
          </w:tcPr>
          <w:p>
            <w:r>
              <w:t>11:05</w:t>
            </w:r>
          </w:p>
        </w:tc>
        <w:tc>
          <w:tcPr>
            <w:tcW w:type="dxa" w:w="3298"/>
          </w:tcPr>
          <w:p>
            <w:r>
              <w:t>12:20</w:t>
            </w:r>
          </w:p>
        </w:tc>
        <w:tc>
          <w:tcPr>
            <w:tcW w:type="dxa" w:w="3298"/>
          </w:tcPr>
          <w:p>
            <w:r>
              <w:t>SQL including cost decision</w:t>
            </w:r>
          </w:p>
        </w:tc>
      </w:tr>
      <w:tr>
        <w:tc>
          <w:tcPr>
            <w:tcW w:type="dxa" w:w="3298"/>
          </w:tcPr>
          <w:p>
            <w:r>
              <w:t>12:20</w:t>
            </w:r>
          </w:p>
        </w:tc>
        <w:tc>
          <w:tcPr>
            <w:tcW w:type="dxa" w:w="3298"/>
          </w:tcPr>
          <w:p>
            <w:r>
              <w:t>12:35</w:t>
            </w:r>
          </w:p>
        </w:tc>
        <w:tc>
          <w:tcPr>
            <w:tcW w:type="dxa" w:w="3298"/>
          </w:tcPr>
          <w:p>
            <w:r>
              <w:t>Break</w:t>
            </w:r>
          </w:p>
        </w:tc>
      </w:tr>
      <w:tr>
        <w:tc>
          <w:tcPr>
            <w:tcW w:type="dxa" w:w="3298"/>
          </w:tcPr>
          <w:p>
            <w:r>
              <w:t>12:35</w:t>
            </w:r>
          </w:p>
        </w:tc>
        <w:tc>
          <w:tcPr>
            <w:tcW w:type="dxa" w:w="3298"/>
          </w:tcPr>
          <w:p>
            <w:r>
              <w:t>13:40</w:t>
            </w:r>
          </w:p>
        </w:tc>
        <w:tc>
          <w:tcPr>
            <w:tcW w:type="dxa" w:w="3298"/>
          </w:tcPr>
          <w:p>
            <w:r>
              <w:t>Blob including cost decision</w:t>
            </w:r>
          </w:p>
        </w:tc>
      </w:tr>
      <w:tr>
        <w:tc>
          <w:tcPr>
            <w:tcW w:type="dxa" w:w="3298"/>
          </w:tcPr>
          <w:p>
            <w:r>
              <w:t>13:40</w:t>
            </w:r>
          </w:p>
        </w:tc>
        <w:tc>
          <w:tcPr>
            <w:tcW w:type="dxa" w:w="3298"/>
          </w:tcPr>
          <w:p>
            <w:r>
              <w:t>14:25</w:t>
            </w:r>
          </w:p>
        </w:tc>
        <w:tc>
          <w:tcPr>
            <w:tcW w:type="dxa" w:w="3298"/>
          </w:tcPr>
          <w:p>
            <w:r>
              <w:t>Lunch</w:t>
            </w:r>
          </w:p>
        </w:tc>
      </w:tr>
      <w:tr>
        <w:tc>
          <w:tcPr>
            <w:tcW w:type="dxa" w:w="3298"/>
          </w:tcPr>
          <w:p>
            <w:r>
              <w:t>14:25</w:t>
            </w:r>
          </w:p>
        </w:tc>
        <w:tc>
          <w:tcPr>
            <w:tcW w:type="dxa" w:w="3298"/>
          </w:tcPr>
          <w:p>
            <w:r>
              <w:t>15:40</w:t>
            </w:r>
          </w:p>
        </w:tc>
        <w:tc>
          <w:tcPr>
            <w:tcW w:type="dxa" w:w="3298"/>
          </w:tcPr>
          <w:p>
            <w:r>
              <w:t>Function</w:t>
            </w:r>
          </w:p>
        </w:tc>
      </w:tr>
      <w:tr>
        <w:tc>
          <w:tcPr>
            <w:tcW w:type="dxa" w:w="3298"/>
          </w:tcPr>
          <w:p>
            <w:r>
              <w:t>15:40</w:t>
            </w:r>
          </w:p>
        </w:tc>
        <w:tc>
          <w:tcPr>
            <w:tcW w:type="dxa" w:w="3298"/>
          </w:tcPr>
          <w:p>
            <w:r>
              <w:t>15:55</w:t>
            </w:r>
          </w:p>
        </w:tc>
        <w:tc>
          <w:tcPr>
            <w:tcW w:type="dxa" w:w="3298"/>
          </w:tcPr>
          <w:p>
            <w:r>
              <w:t>Break</w:t>
            </w:r>
          </w:p>
        </w:tc>
      </w:tr>
      <w:tr>
        <w:tc>
          <w:tcPr>
            <w:tcW w:type="dxa" w:w="3298"/>
          </w:tcPr>
          <w:p>
            <w:r>
              <w:t>15:55</w:t>
            </w:r>
          </w:p>
        </w:tc>
        <w:tc>
          <w:tcPr>
            <w:tcW w:type="dxa" w:w="3298"/>
          </w:tcPr>
          <w:p>
            <w:r>
              <w:t>16:50</w:t>
            </w:r>
          </w:p>
        </w:tc>
        <w:tc>
          <w:tcPr>
            <w:tcW w:type="dxa" w:w="3298"/>
          </w:tcPr>
          <w:p>
            <w:r>
              <w:t>Logs/KQL</w:t>
            </w:r>
          </w:p>
        </w:tc>
      </w:tr>
      <w:tr>
        <w:tc>
          <w:tcPr>
            <w:tcW w:type="dxa" w:w="3298"/>
          </w:tcPr>
          <w:p>
            <w:r>
              <w:t>16:50</w:t>
            </w:r>
          </w:p>
        </w:tc>
        <w:tc>
          <w:tcPr>
            <w:tcW w:type="dxa" w:w="3298"/>
          </w:tcPr>
          <w:p>
            <w:r>
              <w:t>17:30</w:t>
            </w:r>
          </w:p>
        </w:tc>
        <w:tc>
          <w:tcPr>
            <w:tcW w:type="dxa" w:w="3298"/>
          </w:tcPr>
          <w:p>
            <w:r>
              <w:t>Troubleshooting, knowledge check, cost recap and cleanup</w:t>
            </w:r>
          </w:p>
        </w:tc>
      </w:tr>
    </w:tbl>
    <w:p>
      <w:pPr>
        <w:pStyle w:val="Heading1"/>
      </w:pPr>
      <w:r>
        <w:t>Follow this order</w:t>
      </w:r>
    </w:p>
    <w:p>
      <w:r>
        <w:t>1. Orientation: Basic_Lab_VS_Code_Azure_Function_And_Dummy_Tracker.docx, orientation-only route, Parts 1-2. Do not require Function tools for discovery.</w:t>
      </w:r>
    </w:p>
    <w:p>
      <w:r>
        <w:t>2. SQL: Basic_Lab_01_Azure_SQL_Portal_And_VS_Code.docx. Prepare access, create/read rows, add Notes, update and verify in portal and MSSQL.</w:t>
      </w:r>
    </w:p>
    <w:p>
      <w:r>
        <w:t>3. Blob: Basic_Lab_02_Blob_Storage_Portal_And_VS_Code.docx. Private container, network/IAM, portal and terminal transfers, then hash comparison.</w:t>
      </w:r>
    </w:p>
    <w:p>
      <w:r>
        <w:t>4. Function: return to the Function guide, Parts 3-5 and relevant Part 8 evidence/cleanup. Do not deploy to another attendee's host.</w:t>
      </w:r>
    </w:p>
    <w:p>
      <w:r>
        <w:t>5. Logs/KQL: Basic_Lab_03_Log_Analytics_Portal_And_VS_Code.docx. Same synthetic query in portal and terminal; this does not prove telemetry ingestion.</w:t>
      </w:r>
    </w:p>
    <w:p>
      <w:r>
        <w:t>6. Optional local UI: Function guide Parts 6-8, only if assigned.</w:t>
      </w:r>
    </w:p>
    <w:p>
      <w:pPr>
        <w:pStyle w:val="Heading1"/>
      </w:pPr>
      <w:r>
        <w:t>Where are the project files?</w:t>
      </w:r>
    </w:p>
    <w:p>
      <w:r>
        <w:t>From the attendee-pack root open Labs\PortalAndVsCodeBasics for SQL/Blob/Logs; open Labs\VsCodePublishBasics\HelloAzureFunction for the Function.</w:t>
      </w:r>
    </w:p>
    <w:p>
      <w:r>
        <w:t>Optional - Portal Resource Creation contains additional creation exercises, not a requirement to create duplicate Azure resources. Owner approval is needed.</w:t>
      </w:r>
    </w:p>
    <w:p>
      <w:r>
        <w:t>Record each result as Passed, Blocked or Not run. Keep passwords, tokens and real document content out of screenshots.</w:t>
      </w:r>
    </w:p>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1. Follow the course route; these are separate exercises</w:t>
      </w:r>
    </w:p>
    <w:p>
      <w:r>
        <w:drawing>
          <wp:inline xmlns:a="http://schemas.openxmlformats.org/drawingml/2006/main" xmlns:pic="http://schemas.openxmlformats.org/drawingml/2006/picture">
            <wp:extent cx="5486400" cy="1499616"/>
            <wp:docPr id="1" name="Picture 1"/>
            <wp:cNvGraphicFramePr>
              <a:graphicFrameLocks noChangeAspect="1"/>
            </wp:cNvGraphicFramePr>
            <a:graphic>
              <a:graphicData uri="http://schemas.openxmlformats.org/drawingml/2006/picture">
                <pic:pic>
                  <pic:nvPicPr>
                    <pic:cNvPr id="0" name="day1-route.png"/>
                    <pic:cNvPicPr/>
                  </pic:nvPicPr>
                  <pic:blipFill>
                    <a:blip r:embed="rId9"/>
                    <a:stretch>
                      <a:fillRect/>
                    </a:stretch>
                  </pic:blipFill>
                  <pic:spPr>
                    <a:xfrm>
                      <a:off x="0" y="0"/>
                      <a:ext cx="5486400" cy="1499616"/>
                    </a:xfrm>
                    <a:prstGeom prst="rect"/>
                  </pic:spPr>
                </pic:pic>
              </a:graphicData>
            </a:graphic>
          </wp:inline>
        </w:drawing>
      </w:r>
    </w:p>
    <w:p>
      <w:r>
        <w:t>Diagram: day1 route</w:t>
      </w:r>
    </w:p>
    <w:p>
      <w:r>
        <w:t>Use fictional training data only. Orientation, SQL, Blob Storage, the HTTP Function and Logs/KQL are independent checkpoints. They do not form a connected document-processing application. The local dummy UI is optional.</w:t>
      </w:r>
    </w:p>
    <w:p>
      <w:pPr>
        <w:pStyle w:val="Heading2"/>
      </w:pPr>
      <w:r>
        <w:t>Find the correct folder without losing your chat</w:t>
      </w:r>
    </w:p>
    <w:p>
      <w:r>
        <w:t>Use the supplied attendee-pack location, not a path copied from the instructor's laptop. SQL, Blob and Logs use Labs\PortalAndVsCodeBasics; the Function uses Labs\VsCodePublishBasics\HelloAzureFunction. Quote paths containing spaces. In an existing terminal, Set-Location changes the terminal folder only. It does not change Explorer's workspace.</w:t>
      </w:r>
    </w:p>
    <w:p>
      <w:r>
        <w:rPr>
          <w:rFonts w:ascii="Consolas" w:hAnsi="Consolas"/>
          <w:sz w:val="18"/>
        </w:rPr>
        <w:t>Set-Location "C:\YOUR-ATTENDEE-PACK\Labs\PortalAndVsCodeBasics"</w:t>
        <w:br/>
        <w:t>Get-Location</w:t>
        <w:br/>
        <w:t>Test-Path .\Samples\Logs\01-fictional-status.kql</w:t>
      </w:r>
    </w:p>
    <w:p>
      <w:r>
        <w:t>Replace C:\YOUR-ATTENDEE-PACK before running. Test-Path should be True. File &gt; Open Folder may change the window's workspace; code --new-window opens another window and the earlier chat may remain in the original one. Use chat history or the original window to return; do not repeat completed cloud changes just because a new conversation appeared.</w:t>
      </w:r>
    </w:p>
    <w:p>
      <w:pPr>
        <w:pStyle w:val="Heading2"/>
      </w:pPr>
      <w:r>
        <w:t>Sign-in and permissions are separate</w:t>
      </w:r>
    </w:p>
    <w:p>
      <w:r>
        <w:t>Portal sign-in, VS Code Azure Resources, MSSQL and Azure CLI have separate sign-in contexts. Confirm the approved tenant, subscription and target. Azure Reader shows resources but does not automatically grant SQL queries, Blob transfers, Function key access or publishing rights.</w:t>
      </w:r>
    </w:p>
    <w:p>
      <w:r>
        <w:rPr>
          <w:rFonts w:ascii="Consolas" w:hAnsi="Consolas"/>
          <w:sz w:val="18"/>
        </w:rPr>
        <w:t>az account show --query "{name:name,id:id,tenant:tenantId}" -o table</w:t>
      </w:r>
    </w:p>
    <w:p>
      <w:r>
        <w:t>If CLI sign-in is missing, use az login with your approved account. Do not paste tokens, passwords, keys, connection strings or key-bearing URLs into chat or evidence. Never broaden network or role permissions to work around an unexplained error.</w:t>
      </w:r>
    </w:p>
    <w:p>
      <w:pPr>
        <w:pStyle w:val="Heading2"/>
      </w:pPr>
      <w:r>
        <w:t>6. Finish safely and record your own evidence</w:t>
      </w:r>
    </w:p>
    <w:p>
      <w:r>
        <w:t>Record Passed, Blocked or Not run separately for each item: resource discovery; SQL portal connect/create/read; SQL MSSQL read/alter/update; portal recheck; Blob transfer and hashes in both directions; local Function build/invocation; publishing approval/result or test-only; cloud keyed response and keyless rejection; portal/terminal KQL match.</w:t>
      </w:r>
    </w:p>
    <w:p>
      <w:r>
        <w:t>Capture the target, time, command and expected/actual non-secret output. An instructor screenshot is an example, not your pass. SQL rows and schema do not prove which tool wrote them. A green deployment is not an invocation. A reported key rotation is not independent proof the exposed key was invalidated.</w:t>
      </w:r>
    </w:p>
    <w:p>
      <w:r>
        <w:t>Stop your own local Function with Ctrl+C. Close Azurite only if you started it and no other work needs it. Disconnect the SQL client and sign out on shared machines. Local shutdown does not stop cloud billing. Do not delete shared resources or restore network/role changes without owner approval; temporary permission cleanup requires checking dependencies and verifying the narrower approved access first.</w:t>
      </w:r>
    </w:p>
    <w:p>
      <w:r>
        <w:t>Day 1 is ready for sign-off only when required checks have evidence or approved exceptions. Record your own results, review access cleanup with the owner, and leave the optional UI Not run if not assigned. Continue to Day 2 after your instructor reviews the checkpoints.</w:t>
      </w:r>
    </w:p>
    <w:sectPr w:rsidR="00FC693F" w:rsidRPr="0006063C" w:rsidSect="00034616">
      <w:pgSz w:w="11909" w:h="16834"/>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LBS Training</dc:creator>
  <cp:keywords/>
  <dc:description/>
  <cp:lastModifiedBy>LBS Training</cp:lastModifiedBy>
  <cp:revision>1</cp:revision>
  <dcterms:created xsi:type="dcterms:W3CDTF">2013-12-23T23:15:00Z</dcterms:created>
  <dcterms:modified xsi:type="dcterms:W3CDTF">2013-12-23T23:15:00Z</dcterms:modified>
  <cp:category/>
</cp:coreProperties>
</file>