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Two-day timetable - 09:45 to 17:30</w:t>
      </w:r>
    </w:p>
    <w:p>
      <w:r>
        <w:t>Each day is 465 minutes including lunch and breaks. Use assigned resources and the day-specific order guides. Optional work does not replace core evidence or cleanup.</w:t>
      </w:r>
    </w:p>
    <w:p>
      <w:pPr>
        <w:pStyle w:val="Heading1"/>
      </w:pPr>
      <w:r>
        <w:t>Day 1 - understand the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Finish</w:t>
            </w:r>
          </w:p>
        </w:tc>
        <w:tc>
          <w:tcPr>
            <w:tcW w:type="dxa" w:w="2880"/>
          </w:tcPr>
          <w:p>
            <w:r>
              <w:t>Block</w:t>
            </w:r>
          </w:p>
        </w:tc>
      </w:tr>
      <w:tr>
        <w:tc>
          <w:tcPr>
            <w:tcW w:type="dxa" w:w="2880"/>
          </w:tcPr>
          <w:p>
            <w:r>
              <w:t>09:45</w:t>
            </w:r>
          </w:p>
        </w:tc>
        <w:tc>
          <w:tcPr>
            <w:tcW w:type="dxa" w:w="2880"/>
          </w:tcPr>
          <w:p>
            <w:r>
              <w:t>11:05</w:t>
            </w:r>
          </w:p>
        </w:tc>
        <w:tc>
          <w:tcPr>
            <w:tcW w:type="dxa" w:w="2880"/>
          </w:tcPr>
          <w:p>
            <w:r>
              <w:t>Welcome, introductions, foundations and orientation</w:t>
            </w:r>
          </w:p>
        </w:tc>
      </w:tr>
      <w:tr>
        <w:tc>
          <w:tcPr>
            <w:tcW w:type="dxa" w:w="2880"/>
          </w:tcPr>
          <w:p>
            <w:r>
              <w:t>11:05</w:t>
            </w:r>
          </w:p>
        </w:tc>
        <w:tc>
          <w:tcPr>
            <w:tcW w:type="dxa" w:w="2880"/>
          </w:tcPr>
          <w:p>
            <w:r>
              <w:t>12:20</w:t>
            </w:r>
          </w:p>
        </w:tc>
        <w:tc>
          <w:tcPr>
            <w:tcW w:type="dxa" w:w="2880"/>
          </w:tcPr>
          <w:p>
            <w:r>
              <w:t>SQL including cost decision</w:t>
            </w:r>
          </w:p>
        </w:tc>
      </w:tr>
      <w:tr>
        <w:tc>
          <w:tcPr>
            <w:tcW w:type="dxa" w:w="2880"/>
          </w:tcPr>
          <w:p>
            <w:r>
              <w:t>12:20</w:t>
            </w:r>
          </w:p>
        </w:tc>
        <w:tc>
          <w:tcPr>
            <w:tcW w:type="dxa" w:w="2880"/>
          </w:tcPr>
          <w:p>
            <w:r>
              <w:t>12:35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</w:tr>
      <w:tr>
        <w:tc>
          <w:tcPr>
            <w:tcW w:type="dxa" w:w="2880"/>
          </w:tcPr>
          <w:p>
            <w:r>
              <w:t>12:35</w:t>
            </w:r>
          </w:p>
        </w:tc>
        <w:tc>
          <w:tcPr>
            <w:tcW w:type="dxa" w:w="2880"/>
          </w:tcPr>
          <w:p>
            <w:r>
              <w:t>13:40</w:t>
            </w:r>
          </w:p>
        </w:tc>
        <w:tc>
          <w:tcPr>
            <w:tcW w:type="dxa" w:w="2880"/>
          </w:tcPr>
          <w:p>
            <w:r>
              <w:t>Blob including cost decision</w:t>
            </w:r>
          </w:p>
        </w:tc>
      </w:tr>
      <w:tr>
        <w:tc>
          <w:tcPr>
            <w:tcW w:type="dxa" w:w="2880"/>
          </w:tcPr>
          <w:p>
            <w:r>
              <w:t>13:40</w:t>
            </w:r>
          </w:p>
        </w:tc>
        <w:tc>
          <w:tcPr>
            <w:tcW w:type="dxa" w:w="2880"/>
          </w:tcPr>
          <w:p>
            <w:r>
              <w:t>14:25</w:t>
            </w:r>
          </w:p>
        </w:tc>
        <w:tc>
          <w:tcPr>
            <w:tcW w:type="dxa" w:w="2880"/>
          </w:tcPr>
          <w:p>
            <w:r>
              <w:t>Lunch</w:t>
            </w:r>
          </w:p>
        </w:tc>
      </w:tr>
      <w:tr>
        <w:tc>
          <w:tcPr>
            <w:tcW w:type="dxa" w:w="2880"/>
          </w:tcPr>
          <w:p>
            <w:r>
              <w:t>14:25</w:t>
            </w:r>
          </w:p>
        </w:tc>
        <w:tc>
          <w:tcPr>
            <w:tcW w:type="dxa" w:w="2880"/>
          </w:tcPr>
          <w:p>
            <w:r>
              <w:t>15:40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15:40</w:t>
            </w:r>
          </w:p>
        </w:tc>
        <w:tc>
          <w:tcPr>
            <w:tcW w:type="dxa" w:w="2880"/>
          </w:tcPr>
          <w:p>
            <w:r>
              <w:t>15:55</w:t>
            </w:r>
          </w:p>
        </w:tc>
        <w:tc>
          <w:tcPr>
            <w:tcW w:type="dxa" w:w="2880"/>
          </w:tcPr>
          <w:p>
            <w:r>
              <w:t>Break</w:t>
            </w:r>
          </w:p>
        </w:tc>
      </w:tr>
      <w:tr>
        <w:tc>
          <w:tcPr>
            <w:tcW w:type="dxa" w:w="2880"/>
          </w:tcPr>
          <w:p>
            <w:r>
              <w:t>15:55</w:t>
            </w:r>
          </w:p>
        </w:tc>
        <w:tc>
          <w:tcPr>
            <w:tcW w:type="dxa" w:w="2880"/>
          </w:tcPr>
          <w:p>
            <w:r>
              <w:t>16:50</w:t>
            </w:r>
          </w:p>
        </w:tc>
        <w:tc>
          <w:tcPr>
            <w:tcW w:type="dxa" w:w="2880"/>
          </w:tcPr>
          <w:p>
            <w:r>
              <w:t>Logs/KQL</w:t>
            </w:r>
          </w:p>
        </w:tc>
      </w:tr>
      <w:tr>
        <w:tc>
          <w:tcPr>
            <w:tcW w:type="dxa" w:w="2880"/>
          </w:tcPr>
          <w:p>
            <w:r>
              <w:t>16:50</w:t>
            </w:r>
          </w:p>
        </w:tc>
        <w:tc>
          <w:tcPr>
            <w:tcW w:type="dxa" w:w="2880"/>
          </w:tcPr>
          <w:p>
            <w:r>
              <w:t>17:30</w:t>
            </w:r>
          </w:p>
        </w:tc>
        <w:tc>
          <w:tcPr>
            <w:tcW w:type="dxa" w:w="2880"/>
          </w:tcPr>
          <w:p>
            <w:r>
              <w:t>Troubleshooting, knowledge check, cost recap and cleanup</w:t>
            </w:r>
          </w:p>
        </w:tc>
      </w:tr>
    </w:tbl>
    <w:p>
      <w:r>
        <w:t>Includes a guided 15-minute portal walkthrough and SQL/Blob cost decisions. The HTTP Function, SQL, files and synthetic KQL remain independent exercises.</w:t>
      </w:r>
    </w:p>
    <w:p>
      <w:r>
        <w:br w:type="page"/>
      </w:r>
    </w:p>
    <w:p>
      <w:pPr>
        <w:pStyle w:val="Heading1"/>
      </w:pPr>
      <w:r>
        <w:t>Day 2 - Service Bus, document processing and design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Finish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</w:tr>
      <w:tr>
        <w:tc>
          <w:tcPr>
            <w:tcW w:type="dxa" w:w="2160"/>
          </w:tcPr>
          <w:p>
            <w:r>
              <w:t>09:45</w:t>
            </w:r>
          </w:p>
        </w:tc>
        <w:tc>
          <w:tcPr>
            <w:tcW w:type="dxa" w:w="2160"/>
          </w:tcPr>
          <w:p>
            <w:r>
              <w:t>10:25</w:t>
            </w:r>
          </w:p>
        </w:tc>
        <w:tc>
          <w:tcPr>
            <w:tcW w:type="dxa" w:w="2160"/>
          </w:tcPr>
          <w:p>
            <w:r>
              <w:t>Recap, objectives and course orientation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10:25</w:t>
            </w:r>
          </w:p>
        </w:tc>
        <w:tc>
          <w:tcPr>
            <w:tcW w:type="dxa" w:w="2160"/>
          </w:tcPr>
          <w:p>
            <w:r>
              <w:t>11:45</w:t>
            </w:r>
          </w:p>
        </w:tc>
        <w:tc>
          <w:tcPr>
            <w:tcW w:type="dxa" w:w="2160"/>
          </w:tcPr>
          <w:p>
            <w:r>
              <w:t>Service Bus: concepts, isolated queue demo and practice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11:45</w:t>
            </w:r>
          </w:p>
        </w:tc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Document-tracker demo/lab; instructor confirms lunch/break timing in this block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14:30</w:t>
            </w:r>
          </w:p>
        </w:tc>
        <w:tc>
          <w:tcPr>
            <w:tcW w:type="dxa" w:w="2160"/>
          </w:tcPr>
          <w:p>
            <w:r>
              <w:t>Azure AI services: capabilities and responsible use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14:30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AI practical: Document Intelligence on a synthetic sample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Design discussion: architecture and trade-offs; use support references as needed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17:30</w:t>
            </w:r>
          </w:p>
        </w:tc>
        <w:tc>
          <w:tcPr>
            <w:tcW w:type="dxa" w:w="2160"/>
          </w:tcPr>
          <w:p>
            <w:r>
              <w:t>Knowledge check, evidence, cleanup and close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>
      <w:r>
        <w:t>Follow the aligned agenda below. Cost, monitoring, KQL and networking guides are optional supporting material and do not replace the scheduled AI services and Document Intelligence practical. The 11:45-13:30 demo/lab block may include lunch or breaks; the instructor confirms their placement. The local and Azure-backed tracker samples are separate.</w:t>
      </w:r>
    </w:p>
    <w:p>
      <w:r>
        <w:t>Slide alignment: the Day 2 deck's core slides 1-33 follow this schedule; slides 34-42 are optional appendix/support. The invited-guest and Training IAM Reader demonstration in the appendix is described in Day 2\05_Identity_And_Access_Optional.docx; it is not a separate timed core agenda block.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>generated by python-docx</dc:description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