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 — Create and Configure Azure Blob Storage</w:t>
      </w:r>
    </w:p>
    <w:p>
      <w:pPr>
        <w:pStyle w:val="Subtitle"/>
      </w:pPr>
      <w:r>
        <w:t>LBS | Azure Cloud Architecture Fundamentals for Developers</w:t>
      </w:r>
    </w:p>
    <w:p>
      <w:r>
        <w:t>Scenario: The Building Society application stores sample customer supporting documents (PDFs and images). Use synthetic files only. Duration: 30–40 minutes. Prerequisites: Azure subscription and permissions to create resources and assign data access.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Storage</w:t>
      </w:r>
    </w:p>
    <w:p>
      <w:r>
        <w:t>A storage account provides a namespace for Blob, Files, Queues and Table storage. Blob Storage is designed for unstructured objects such as PDF files and images; Azure SQL is better for structured relational data. Hierarchy: Storage Account → Container → Blob.</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Service</w:t>
            </w:r>
          </w:p>
        </w:tc>
        <w:tc>
          <w:tcPr>
            <w:tcW w:type="dxa" w:w="4320"/>
          </w:tcPr>
          <w:p>
            <w:r>
              <w:t>Developer example</w:t>
            </w:r>
          </w:p>
        </w:tc>
      </w:tr>
      <w:tr>
        <w:tc>
          <w:tcPr>
            <w:tcW w:type="dxa" w:w="4320"/>
          </w:tcPr>
          <w:p>
            <w:r>
              <w:t>Blob Storage</w:t>
            </w:r>
          </w:p>
        </w:tc>
        <w:tc>
          <w:tcPr>
            <w:tcW w:type="dxa" w:w="4320"/>
          </w:tcPr>
          <w:p>
            <w:r>
              <w:t>Customer documents, images and exports</w:t>
            </w:r>
          </w:p>
        </w:tc>
      </w:tr>
      <w:tr>
        <w:tc>
          <w:tcPr>
            <w:tcW w:type="dxa" w:w="4320"/>
          </w:tcPr>
          <w:p>
            <w:r>
              <w:t>Azure Files</w:t>
            </w:r>
          </w:p>
        </w:tc>
        <w:tc>
          <w:tcPr>
            <w:tcW w:type="dxa" w:w="4320"/>
          </w:tcPr>
          <w:p>
            <w:r>
              <w:t>Shared file access</w:t>
            </w:r>
          </w:p>
        </w:tc>
      </w:tr>
      <w:tr>
        <w:tc>
          <w:tcPr>
            <w:tcW w:type="dxa" w:w="4320"/>
          </w:tcPr>
          <w:p>
            <w:r>
              <w:t>Queue Storage</w:t>
            </w:r>
          </w:p>
        </w:tc>
        <w:tc>
          <w:tcPr>
            <w:tcW w:type="dxa" w:w="4320"/>
          </w:tcPr>
          <w:p>
            <w:r>
              <w:t>Simple background-work messages</w:t>
            </w:r>
          </w:p>
        </w:tc>
      </w:tr>
      <w:tr>
        <w:tc>
          <w:tcPr>
            <w:tcW w:type="dxa" w:w="4320"/>
          </w:tcPr>
          <w:p>
            <w:r>
              <w:t>Table Storage</w:t>
            </w:r>
          </w:p>
        </w:tc>
        <w:tc>
          <w:tcPr>
            <w:tcW w:type="dxa" w:w="4320"/>
          </w:tcPr>
          <w:p>
            <w:r>
              <w:t>NoSQL key/value-style records</w:t>
            </w:r>
          </w:p>
        </w:tc>
      </w:tr>
    </w:tbl>
    <w:p/>
    <w:p>
      <w:pPr>
        <w:pStyle w:val="Heading1"/>
      </w:pPr>
      <w:r>
        <w:t>2. Create a Storage Account in the Azure portal</w:t>
      </w:r>
    </w:p>
    <w:p>
      <w:pPr>
        <w:pStyle w:val="ListNumber"/>
      </w:pPr>
      <w:r>
        <w:t>Sign in at https://portal.azure.com and search for Storage accounts.</w:t>
      </w:r>
    </w:p>
    <w:p>
      <w:pPr>
        <w:pStyle w:val="ListNumber"/>
      </w:pPr>
      <w:r>
        <w:t>Select + Create and choose the instructor-approved subscription and resource group (Training only if assigned).</w:t>
      </w:r>
    </w:p>
    <w:p>
      <w:pPr>
        <w:pStyle w:val="ListNumber"/>
      </w:pPr>
      <w:r>
        <w:t>On Basics, enter a new globally unique account name using 3-24 lowercase letters and digits, for example stlbs&lt;your-suffix&gt; after replacing the placeholder. Do not reuse stordemo2026 unless the instructor assigned that existing account.</w:t>
      </w:r>
    </w:p>
    <w:p>
      <w:pPr>
        <w:pStyle w:val="ListNumber"/>
      </w:pPr>
      <w:r>
        <w:t>Choose the approved region, Standard performance, general-purpose v2 (StorageV2), and approved LRS for this disposable lab. Do not change an existing shared account's redundancy.</w:t>
      </w:r>
    </w:p>
    <w:p>
      <w:pPr>
        <w:pStyle w:val="ListNumber"/>
      </w:pPr>
      <w:r>
        <w:t>Review Advanced, Networking, Data protection, Security, Encryption and Tags as described below.</w:t>
      </w:r>
    </w:p>
    <w:p>
      <w:pPr>
        <w:pStyle w:val="ListNumber"/>
      </w:pPr>
      <w:r>
        <w:t>Select Review + create, confirm settings, then Create. After deployment, select Go to resource.</w:t>
      </w:r>
    </w:p>
    <w:p>
      <w:pPr>
        <w:pStyle w:val="Heading2"/>
      </w:pPr>
      <w:r>
        <w:t>Basics: choose based on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recommendation</w:t>
            </w:r>
          </w:p>
        </w:tc>
        <w:tc>
          <w:tcPr>
            <w:tcW w:type="dxa" w:w="2880"/>
          </w:tcPr>
          <w:p>
            <w:r>
              <w:t>Reason / trade-off</w:t>
            </w:r>
          </w:p>
        </w:tc>
      </w:tr>
      <w:tr>
        <w:tc>
          <w:tcPr>
            <w:tcW w:type="dxa" w:w="2880"/>
          </w:tcPr>
          <w:p>
            <w:r>
              <w:t>Region</w:t>
            </w:r>
          </w:p>
        </w:tc>
        <w:tc>
          <w:tcPr>
            <w:tcW w:type="dxa" w:w="2880"/>
          </w:tcPr>
          <w:p>
            <w:r>
              <w:t>Approved region (example: East US)</w:t>
            </w:r>
          </w:p>
        </w:tc>
        <w:tc>
          <w:tcPr>
            <w:tcW w:type="dxa" w:w="2880"/>
          </w:tcPr>
          <w:p>
            <w:r>
              <w:t>Data residency, latency and price vary</w:t>
            </w:r>
          </w:p>
        </w:tc>
      </w:tr>
      <w:tr>
        <w:tc>
          <w:tcPr>
            <w:tcW w:type="dxa" w:w="2880"/>
          </w:tcPr>
          <w:p>
            <w:r>
              <w:t>Performance</w:t>
            </w:r>
          </w:p>
        </w:tc>
        <w:tc>
          <w:tcPr>
            <w:tcW w:type="dxa" w:w="2880"/>
          </w:tcPr>
          <w:p>
            <w:r>
              <w:t>Standard</w:t>
            </w:r>
          </w:p>
        </w:tc>
        <w:tc>
          <w:tcPr>
            <w:tcW w:type="dxa" w:w="2880"/>
          </w:tcPr>
          <w:p>
            <w:r>
              <w:t>General document workload</w:t>
            </w:r>
          </w:p>
        </w:tc>
      </w:tr>
      <w:tr>
        <w:tc>
          <w:tcPr>
            <w:tcW w:type="dxa" w:w="2880"/>
          </w:tcPr>
          <w:p>
            <w:r>
              <w:t>Redundancy</w:t>
            </w:r>
          </w:p>
        </w:tc>
        <w:tc>
          <w:tcPr>
            <w:tcW w:type="dxa" w:w="2880"/>
          </w:tcPr>
          <w:p>
            <w:r>
              <w:t>LRS</w:t>
            </w:r>
          </w:p>
        </w:tc>
        <w:tc>
          <w:tcPr>
            <w:tcW w:type="dxa" w:w="2880"/>
          </w:tcPr>
          <w:p>
            <w:r>
              <w:t>Usually lower cost; no zone or geo redundancy</w:t>
            </w:r>
          </w:p>
        </w:tc>
      </w:tr>
      <w:tr>
        <w:tc>
          <w:tcPr>
            <w:tcW w:type="dxa" w:w="2880"/>
          </w:tcPr>
          <w:p>
            <w:r>
              <w:t>RA-GRS (shown in screenshot)</w:t>
            </w:r>
          </w:p>
        </w:tc>
        <w:tc>
          <w:tcPr>
            <w:tcW w:type="dxa" w:w="2880"/>
          </w:tcPr>
          <w:p>
            <w:r>
              <w:t>Not needed for this lab</w:t>
            </w:r>
          </w:p>
        </w:tc>
        <w:tc>
          <w:tcPr>
            <w:tcW w:type="dxa" w:w="2880"/>
          </w:tcPr>
          <w:p>
            <w:r>
              <w:t>Secondary-region read and geo replication increase cost</w:t>
            </w:r>
          </w:p>
        </w:tc>
      </w:tr>
    </w:tbl>
    <w:p/>
    <w:p>
      <w:r>
        <w:t>Replication options: LRS = local copies; ZRS = across availability zones; GRS = geo replication; RA-GRS = GRS with secondary-region read access; GZRS/RA-GZRS combine zone and geo resilience. Replication is not a substitute for backup or soft delete.</w:t>
      </w:r>
    </w:p>
    <w:p>
      <w:pPr>
        <w:pStyle w:val="Heading2"/>
      </w:pPr>
      <w:r>
        <w:t>Advanced: hierarchical namespace and access tier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Why</w:t>
            </w:r>
          </w:p>
        </w:tc>
      </w:tr>
      <w:tr>
        <w:tc>
          <w:tcPr>
            <w:tcW w:type="dxa" w:w="2880"/>
          </w:tcPr>
          <w:p>
            <w:r>
              <w:t>Hierarchical namespace</w:t>
            </w:r>
          </w:p>
        </w:tc>
        <w:tc>
          <w:tcPr>
            <w:tcW w:type="dxa" w:w="2880"/>
          </w:tcPr>
          <w:p>
            <w:r>
              <w:t>Disabled</w:t>
            </w:r>
          </w:p>
        </w:tc>
        <w:tc>
          <w:tcPr>
            <w:tcW w:type="dxa" w:w="2880"/>
          </w:tcPr>
          <w:p>
            <w:r>
              <w:t>Needed for ADLS Gen2-style analytics/directory semantics, not a simple document lab</w:t>
            </w:r>
          </w:p>
        </w:tc>
      </w:tr>
      <w:tr>
        <w:tc>
          <w:tcPr>
            <w:tcW w:type="dxa" w:w="2880"/>
          </w:tcPr>
          <w:p>
            <w:r>
              <w:t>SFTP / NFS v3</w:t>
            </w:r>
          </w:p>
        </w:tc>
        <w:tc>
          <w:tcPr>
            <w:tcW w:type="dxa" w:w="2880"/>
          </w:tcPr>
          <w:p>
            <w:r>
              <w:t>Disabled</w:t>
            </w:r>
          </w:p>
        </w:tc>
        <w:tc>
          <w:tcPr>
            <w:tcW w:type="dxa" w:w="2880"/>
          </w:tcPr>
          <w:p>
            <w:r>
              <w:t>Enable only for a defined integration requirement</w:t>
            </w:r>
          </w:p>
        </w:tc>
      </w:tr>
      <w:tr>
        <w:tc>
          <w:tcPr>
            <w:tcW w:type="dxa" w:w="2880"/>
          </w:tcPr>
          <w:p>
            <w:r>
              <w:t>Cross-tenant replication</w:t>
            </w:r>
          </w:p>
        </w:tc>
        <w:tc>
          <w:tcPr>
            <w:tcW w:type="dxa" w:w="2880"/>
          </w:tcPr>
          <w:p>
            <w:r>
              <w:t>Disabled</w:t>
            </w:r>
          </w:p>
        </w:tc>
        <w:tc>
          <w:tcPr>
            <w:tcW w:type="dxa" w:w="2880"/>
          </w:tcPr>
          <w:p>
            <w:r>
              <w:t>Avoid unnecessary cross-tenant transfers</w:t>
            </w:r>
          </w:p>
        </w:tc>
      </w:tr>
      <w:tr>
        <w:tc>
          <w:tcPr>
            <w:tcW w:type="dxa" w:w="2880"/>
          </w:tcPr>
          <w:p>
            <w:r>
              <w:t>Default access tier</w:t>
            </w:r>
          </w:p>
        </w:tc>
        <w:tc>
          <w:tcPr>
            <w:tcW w:type="dxa" w:w="2880"/>
          </w:tcPr>
          <w:p>
            <w:r>
              <w:t>Hot</w:t>
            </w:r>
          </w:p>
        </w:tc>
        <w:tc>
          <w:tcPr>
            <w:tcW w:type="dxa" w:w="2880"/>
          </w:tcPr>
          <w:p>
            <w:r>
              <w:t>Suitable for frequent uploads and reads</w:t>
            </w:r>
          </w:p>
        </w:tc>
      </w:tr>
    </w:tbl>
    <w:p/>
    <w:p>
      <w:r>
        <w:t>The supplied screenshot has hierarchical namespace Enabled. This still supports many Blob operations, but some features differ from ordinary Blob Storage. For a new, basic document demo, choose Disabled.</w:t>
      </w:r>
    </w:p>
    <w:p>
      <w:pPr>
        <w:pStyle w:val="Heading2"/>
      </w:pPr>
      <w:r>
        <w:t>Hot, Cool, Cold and Archive: cost and access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Tier</w:t>
            </w:r>
          </w:p>
        </w:tc>
        <w:tc>
          <w:tcPr>
            <w:tcW w:type="dxa" w:w="2880"/>
          </w:tcPr>
          <w:p>
            <w:r>
              <w:t>Typical access</w:t>
            </w:r>
          </w:p>
        </w:tc>
        <w:tc>
          <w:tcPr>
            <w:tcW w:type="dxa" w:w="2880"/>
          </w:tcPr>
          <w:p>
            <w:r>
              <w:t>Pricing / behaviour</w:t>
            </w:r>
          </w:p>
        </w:tc>
      </w:tr>
      <w:tr>
        <w:tc>
          <w:tcPr>
            <w:tcW w:type="dxa" w:w="2880"/>
          </w:tcPr>
          <w:p>
            <w:r>
              <w:t>Hot</w:t>
            </w:r>
          </w:p>
        </w:tc>
        <w:tc>
          <w:tcPr>
            <w:tcW w:type="dxa" w:w="2880"/>
          </w:tcPr>
          <w:p>
            <w:r>
              <w:t>Frequently accessed</w:t>
            </w:r>
          </w:p>
        </w:tc>
        <w:tc>
          <w:tcPr>
            <w:tcW w:type="dxa" w:w="2880"/>
          </w:tcPr>
          <w:p>
            <w:r>
              <w:t>Higher capacity cost; lower access cost</w:t>
            </w:r>
          </w:p>
        </w:tc>
      </w:tr>
      <w:tr>
        <w:tc>
          <w:tcPr>
            <w:tcW w:type="dxa" w:w="2880"/>
          </w:tcPr>
          <w:p>
            <w:r>
              <w:t>Cool</w:t>
            </w:r>
          </w:p>
        </w:tc>
        <w:tc>
          <w:tcPr>
            <w:tcW w:type="dxa" w:w="2880"/>
          </w:tcPr>
          <w:p>
            <w:r>
              <w:t>Infrequent</w:t>
            </w:r>
          </w:p>
        </w:tc>
        <w:tc>
          <w:tcPr>
            <w:tcW w:type="dxa" w:w="2880"/>
          </w:tcPr>
          <w:p>
            <w:r>
              <w:t>Lower capacity cost; higher read/retrieval costs; typically 30-day minimum storage duration for GPv2; verify account type/current pricing</w:t>
            </w:r>
          </w:p>
        </w:tc>
      </w:tr>
      <w:tr>
        <w:tc>
          <w:tcPr>
            <w:tcW w:type="dxa" w:w="2880"/>
          </w:tcPr>
          <w:p>
            <w:r>
              <w:t>Cold</w:t>
            </w:r>
          </w:p>
        </w:tc>
        <w:tc>
          <w:tcPr>
            <w:tcW w:type="dxa" w:w="2880"/>
          </w:tcPr>
          <w:p>
            <w:r>
              <w:t>Rare</w:t>
            </w:r>
          </w:p>
        </w:tc>
        <w:tc>
          <w:tcPr>
            <w:tcW w:type="dxa" w:w="2880"/>
          </w:tcPr>
          <w:p>
            <w:r>
              <w:t>Lower capacity cost; higher retrieval costs; typically 90-day minimum storage duration for GPv2; verify account type/current pricing</w:t>
            </w:r>
          </w:p>
        </w:tc>
      </w:tr>
      <w:tr>
        <w:tc>
          <w:tcPr>
            <w:tcW w:type="dxa" w:w="2880"/>
          </w:tcPr>
          <w:p>
            <w:r>
              <w:t>Archive</w:t>
            </w:r>
          </w:p>
        </w:tc>
        <w:tc>
          <w:tcPr>
            <w:tcW w:type="dxa" w:w="2880"/>
          </w:tcPr>
          <w:p>
            <w:r>
              <w:t>Long-term, delayed access</w:t>
            </w:r>
          </w:p>
        </w:tc>
        <w:tc>
          <w:tcPr>
            <w:tcW w:type="dxa" w:w="2880"/>
          </w:tcPr>
          <w:p>
            <w:r>
              <w:t>Offline tier; rehydration required; typically 180-day minimum storage duration; verify supported account/blob type and pricing</w:t>
            </w:r>
          </w:p>
        </w:tc>
      </w:tr>
    </w:tbl>
    <w:p/>
    <w:p>
      <w:r>
        <w:t>Example: A mortgage application document may stay Hot while actively reviewed, then move to Cool/Cold under a lifecycle rule. Archive only if delayed retrieval is acceptable. Exact prices depend on region, redundancy, capacity, transactions, data retrieval and transfers. Archive is a blob-level tier, not the usual account default.</w:t>
      </w:r>
    </w:p>
    <w:p>
      <w:pPr>
        <w:pStyle w:val="Heading1"/>
      </w:pPr>
      <w:r>
        <w:t>3. Networking, data protection and security choices</w:t>
      </w:r>
    </w:p>
    <w:p>
      <w:pPr>
        <w:pStyle w:val="Heading2"/>
      </w:pPr>
      <w:r>
        <w:t>Networking</w:t>
      </w:r>
    </w:p>
    <w:p>
      <w:r>
        <w:t>Screenshot: Public network access Enabled from all networks. This allows endpoint reachability but does NOT permit anonymous blob reads. For a training lab, public endpoint access may be needed. For production, follow the platform team’s approved restricted-network/private-endpoint design.</w:t>
      </w:r>
    </w:p>
    <w:p>
      <w:pPr>
        <w:pStyle w:val="Heading2"/>
      </w:pPr>
      <w:r>
        <w:t>Data protection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Setting</w:t>
            </w:r>
          </w:p>
        </w:tc>
        <w:tc>
          <w:tcPr>
            <w:tcW w:type="dxa" w:w="2880"/>
          </w:tcPr>
          <w:p>
            <w:r>
              <w:t>Lab choice</w:t>
            </w:r>
          </w:p>
        </w:tc>
        <w:tc>
          <w:tcPr>
            <w:tcW w:type="dxa" w:w="2880"/>
          </w:tcPr>
          <w:p>
            <w:r>
              <w:t>Note</w:t>
            </w:r>
          </w:p>
        </w:tc>
      </w:tr>
      <w:tr>
        <w:tc>
          <w:tcPr>
            <w:tcW w:type="dxa" w:w="2880"/>
          </w:tcPr>
          <w:p>
            <w:r>
              <w:t>Blob soft delete</w:t>
            </w:r>
          </w:p>
        </w:tc>
        <w:tc>
          <w:tcPr>
            <w:tcW w:type="dxa" w:w="2880"/>
          </w:tcPr>
          <w:p>
            <w:r>
              <w:t>Enabled; 7 days</w:t>
            </w:r>
          </w:p>
        </w:tc>
        <w:tc>
          <w:tcPr>
            <w:tcW w:type="dxa" w:w="2880"/>
          </w:tcPr>
          <w:p>
            <w:r>
              <w:t>Recover deleted blobs during retention window</w:t>
            </w:r>
          </w:p>
        </w:tc>
      </w:tr>
      <w:tr>
        <w:tc>
          <w:tcPr>
            <w:tcW w:type="dxa" w:w="2880"/>
          </w:tcPr>
          <w:p>
            <w:r>
              <w:t>Container soft delete</w:t>
            </w:r>
          </w:p>
        </w:tc>
        <w:tc>
          <w:tcPr>
            <w:tcW w:type="dxa" w:w="2880"/>
          </w:tcPr>
          <w:p>
            <w:r>
              <w:t>Enabled; 7 days</w:t>
            </w:r>
          </w:p>
        </w:tc>
        <w:tc>
          <w:tcPr>
            <w:tcW w:type="dxa" w:w="2880"/>
          </w:tcPr>
          <w:p>
            <w:r>
              <w:t>Recover deleted containers</w:t>
            </w:r>
          </w:p>
        </w:tc>
      </w:tr>
      <w:tr>
        <w:tc>
          <w:tcPr>
            <w:tcW w:type="dxa" w:w="2880"/>
          </w:tcPr>
          <w:p>
            <w:r>
              <w:t>Versioning</w:t>
            </w:r>
          </w:p>
        </w:tc>
        <w:tc>
          <w:tcPr>
            <w:tcW w:type="dxa" w:w="2880"/>
          </w:tcPr>
          <w:p>
            <w:r>
              <w:t>Optional; Disabled for simple lab</w:t>
            </w:r>
          </w:p>
        </w:tc>
        <w:tc>
          <w:tcPr>
            <w:tcW w:type="dxa" w:w="2880"/>
          </w:tcPr>
          <w:p>
            <w:r>
              <w:t>Useful for recovery when supported; additional stored versions cost money</w:t>
            </w:r>
          </w:p>
        </w:tc>
      </w:tr>
      <w:tr>
        <w:tc>
          <w:tcPr>
            <w:tcW w:type="dxa" w:w="2880"/>
          </w:tcPr>
          <w:p>
            <w:r>
              <w:t>Point-in-time restore</w:t>
            </w:r>
          </w:p>
        </w:tc>
        <w:tc>
          <w:tcPr>
            <w:tcW w:type="dxa" w:w="2880"/>
          </w:tcPr>
          <w:p>
            <w:r>
              <w:t>Disabled</w:t>
            </w:r>
          </w:p>
        </w:tc>
        <w:tc>
          <w:tcPr>
            <w:tcW w:type="dxa" w:w="2880"/>
          </w:tcPr>
          <w:p>
            <w:r>
              <w:t>Advanced recovery feature; not needed in this exercise</w:t>
            </w:r>
          </w:p>
        </w:tc>
      </w:tr>
      <w:tr>
        <w:tc>
          <w:tcPr>
            <w:tcW w:type="dxa" w:w="2880"/>
          </w:tcPr>
          <w:p>
            <w:r>
              <w:t>Immutability</w:t>
            </w:r>
          </w:p>
        </w:tc>
        <w:tc>
          <w:tcPr>
            <w:tcW w:type="dxa" w:w="2880"/>
          </w:tcPr>
          <w:p>
            <w:r>
              <w:t>Disabled</w:t>
            </w:r>
          </w:p>
        </w:tc>
        <w:tc>
          <w:tcPr>
            <w:tcW w:type="dxa" w:w="2880"/>
          </w:tcPr>
          <w:p>
            <w:r>
              <w:t>Use for explicit retention/compliance requirements</w:t>
            </w:r>
          </w:p>
        </w:tc>
      </w:tr>
    </w:tbl>
    <w:p/>
    <w:p>
      <w:pPr>
        <w:pStyle w:val="Heading2"/>
      </w:pPr>
      <w:r>
        <w:t>Security and encryption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Setting</w:t>
            </w:r>
          </w:p>
        </w:tc>
        <w:tc>
          <w:tcPr>
            <w:tcW w:type="dxa" w:w="4320"/>
          </w:tcPr>
          <w:p>
            <w:r>
              <w:t>Lab choice / guidance</w:t>
            </w:r>
          </w:p>
        </w:tc>
      </w:tr>
      <w:tr>
        <w:tc>
          <w:tcPr>
            <w:tcW w:type="dxa" w:w="4320"/>
          </w:tcPr>
          <w:p>
            <w:r>
              <w:t>Secure transfer required</w:t>
            </w:r>
          </w:p>
        </w:tc>
        <w:tc>
          <w:tcPr>
            <w:tcW w:type="dxa" w:w="4320"/>
          </w:tcPr>
          <w:p>
            <w:r>
              <w:t>Enabled; HTTPS only</w:t>
            </w:r>
          </w:p>
        </w:tc>
      </w:tr>
      <w:tr>
        <w:tc>
          <w:tcPr>
            <w:tcW w:type="dxa" w:w="4320"/>
          </w:tcPr>
          <w:p>
            <w:r>
              <w:t>Anonymous Blob access</w:t>
            </w:r>
          </w:p>
        </w:tc>
        <w:tc>
          <w:tcPr>
            <w:tcW w:type="dxa" w:w="4320"/>
          </w:tcPr>
          <w:p>
            <w:r>
              <w:t>Disabled</w:t>
            </w:r>
          </w:p>
        </w:tc>
      </w:tr>
      <w:tr>
        <w:tc>
          <w:tcPr>
            <w:tcW w:type="dxa" w:w="4320"/>
          </w:tcPr>
          <w:p>
            <w:r>
              <w:t>Storage account key access</w:t>
            </w:r>
          </w:p>
        </w:tc>
        <w:tc>
          <w:tcPr>
            <w:tcW w:type="dxa" w:w="4320"/>
          </w:tcPr>
          <w:p>
            <w:r>
              <w:t>May be enabled for compatibility in lab; prefer disabling when clients support Entra ID</w:t>
            </w:r>
          </w:p>
        </w:tc>
      </w:tr>
      <w:tr>
        <w:tc>
          <w:tcPr>
            <w:tcW w:type="dxa" w:w="4320"/>
          </w:tcPr>
          <w:p>
            <w:r>
              <w:t>Default to Microsoft Entra authorisation in portal</w:t>
            </w:r>
          </w:p>
        </w:tc>
        <w:tc>
          <w:tcPr>
            <w:tcW w:type="dxa" w:w="4320"/>
          </w:tcPr>
          <w:p>
            <w:r>
              <w:t>Enable for identity-based portal workflow</w:t>
            </w:r>
          </w:p>
        </w:tc>
      </w:tr>
      <w:tr>
        <w:tc>
          <w:tcPr>
            <w:tcW w:type="dxa" w:w="4320"/>
          </w:tcPr>
          <w:p>
            <w:r>
              <w:t>Minimum TLS version</w:t>
            </w:r>
          </w:p>
        </w:tc>
        <w:tc>
          <w:tcPr>
            <w:tcW w:type="dxa" w:w="4320"/>
          </w:tcPr>
          <w:p>
            <w:r>
              <w:t>At least 1.2</w:t>
            </w:r>
          </w:p>
        </w:tc>
      </w:tr>
      <w:tr>
        <w:tc>
          <w:tcPr>
            <w:tcW w:type="dxa" w:w="4320"/>
          </w:tcPr>
          <w:p>
            <w:r>
              <w:t>Encryption at rest</w:t>
            </w:r>
          </w:p>
        </w:tc>
        <w:tc>
          <w:tcPr>
            <w:tcW w:type="dxa" w:w="4320"/>
          </w:tcPr>
          <w:p>
            <w:r>
              <w:t>Microsoft-managed keys are suitable for the lab</w:t>
            </w:r>
          </w:p>
        </w:tc>
      </w:tr>
    </w:tbl>
    <w:p/>
    <w:p>
      <w:r>
        <w:t>Authentication ≠ authorisation. Microsoft Entra authenticates a user or workload; a data-plane role such as Storage Blob Data Contributor grants upload rights. Contributor on the Azure resource alone does not necessarily grant access to blob data. Prefer Managed Identity for App Service rather than storing storage account keys in code.</w:t>
      </w:r>
    </w:p>
    <w:p>
      <w:r>
        <w:t>Production tip: Check tool compatibility before disabling Shared Key access. Customer-managed encryption keys add control but also key-management responsibilities.</w:t>
      </w:r>
    </w:p>
    <w:p>
      <w:pPr>
        <w:pStyle w:val="Heading2"/>
      </w:pPr>
      <w:r>
        <w:t>Tags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Tag</w:t>
            </w:r>
          </w:p>
        </w:tc>
        <w:tc>
          <w:tcPr>
            <w:tcW w:type="dxa" w:w="4320"/>
          </w:tcPr>
          <w:p>
            <w:r>
              <w:t>Example</w:t>
            </w:r>
          </w:p>
        </w:tc>
      </w:tr>
      <w:tr>
        <w:tc>
          <w:tcPr>
            <w:tcW w:type="dxa" w:w="4320"/>
          </w:tcPr>
          <w:p>
            <w:r>
              <w:t>Environment</w:t>
            </w:r>
          </w:p>
        </w:tc>
        <w:tc>
          <w:tcPr>
            <w:tcW w:type="dxa" w:w="4320"/>
          </w:tcPr>
          <w:p>
            <w:r>
              <w:t>Training</w:t>
            </w:r>
          </w:p>
        </w:tc>
      </w:tr>
      <w:tr>
        <w:tc>
          <w:tcPr>
            <w:tcW w:type="dxa" w:w="4320"/>
          </w:tcPr>
          <w:p>
            <w:r>
              <w:t>Application</w:t>
            </w:r>
          </w:p>
        </w:tc>
        <w:tc>
          <w:tcPr>
            <w:tcW w:type="dxa" w:w="4320"/>
          </w:tcPr>
          <w:p>
            <w:r>
              <w:t>BuildingSocietyDemo</w:t>
            </w:r>
          </w:p>
        </w:tc>
      </w:tr>
      <w:tr>
        <w:tc>
          <w:tcPr>
            <w:tcW w:type="dxa" w:w="4320"/>
          </w:tcPr>
          <w:p>
            <w:r>
              <w:t>Owner</w:t>
            </w:r>
          </w:p>
        </w:tc>
        <w:tc>
          <w:tcPr>
            <w:tcW w:type="dxa" w:w="4320"/>
          </w:tcPr>
          <w:p>
            <w:r>
              <w:t>AzureTraining</w:t>
            </w:r>
          </w:p>
        </w:tc>
      </w:tr>
      <w:tr>
        <w:tc>
          <w:tcPr>
            <w:tcW w:type="dxa" w:w="4320"/>
          </w:tcPr>
          <w:p>
            <w:r>
              <w:t>CostCentre</w:t>
            </w:r>
          </w:p>
        </w:tc>
        <w:tc>
          <w:tcPr>
            <w:tcW w:type="dxa" w:w="4320"/>
          </w:tcPr>
          <w:p>
            <w:r>
              <w:t>Learning</w:t>
            </w:r>
          </w:p>
        </w:tc>
      </w:tr>
    </w:tbl>
    <w:p/>
    <w:p>
      <w:pPr>
        <w:pStyle w:val="Heading1"/>
      </w:pPr>
      <w:r>
        <w:t>4. Hands-on: create a container and upload a sample file</w:t>
      </w:r>
    </w:p>
    <w:p>
      <w:r>
        <w:t>Access prerequisite: an authorised role administrator opens the storage account &gt; Access control (IAM) &gt; Add role assignment &gt; Storage Blob Data Contributor &gt; User, group, or service principal, and selects your attendee identity at this training account scope. Use an existing approved assignment if available; do not duplicate it. The portal also needs management Reader access or higher. Contributor alone does not guarantee Entra blob-data access.</w:t>
      </w:r>
    </w:p>
    <w:p>
      <w:r>
        <w:t>Allow role propagation (it can take up to 30 minutes), then refresh/sign in again if required. In the container's authentication selector choose Microsoft Entra user account rather than access key where offered. If policy blocks the route or role, record blocked and ask the instructor; do not make the container public or copy account keys.</w:t>
      </w:r>
    </w:p>
    <w:p>
      <w:pPr>
        <w:pStyle w:val="ListNumber"/>
      </w:pPr>
      <w:r>
        <w:t>Open the deployed Storage Account and select Data storage → Containers.</w:t>
      </w:r>
    </w:p>
    <w:p>
      <w:pPr>
        <w:pStyle w:val="ListNumber"/>
      </w:pPr>
      <w:r>
        <w:t>Select + Container and enter customer-documents. Keep anonymous access Private.</w:t>
      </w:r>
    </w:p>
    <w:p>
      <w:pPr>
        <w:pStyle w:val="ListNumber"/>
      </w:pPr>
      <w:r>
        <w:t>Select Create and open the container.</w:t>
      </w:r>
    </w:p>
    <w:p>
      <w:pPr>
        <w:pStyle w:val="ListNumber"/>
      </w:pPr>
      <w:r>
        <w:t>Select Upload and choose a synthetic PDF or TXT file (never real customer information).</w:t>
      </w:r>
    </w:p>
    <w:p>
      <w:pPr>
        <w:pStyle w:val="ListNumber"/>
      </w:pPr>
      <w:r>
        <w:t>Upload the file and verify it appears in the blob list.</w:t>
      </w:r>
    </w:p>
    <w:p>
      <w:pPr>
        <w:pStyle w:val="ListNumber"/>
      </w:pPr>
      <w:r>
        <w:t>Open the blob properties and inspect its size, access tier and URL. Do not assume the URL is publicly accessible.</w:t>
      </w:r>
    </w:p>
    <w:p>
      <w:r>
        <w:t>Download check: select your uploaded blob &gt; Download (or its context menu &gt; Download) while using the authenticated portal. Save it locally and confirm its fictional text/content matches the original. Copying the URL or seeing the blob in the list is not the download checkpoint.</w:t>
      </w:r>
    </w:p>
    <w:p>
      <w:r>
        <w:t>Expected result: your private container contains the fictional blob, and authenticated upload AND download succeed. No anonymous/public access is required. Record your actual account/container/blob names and data-role scope.</w:t>
      </w:r>
    </w:p>
    <w:p>
      <w:pPr>
        <w:pStyle w:val="Heading1"/>
      </w:pPr>
      <w:r>
        <w:t>5. Cost-management mini exercise</w:t>
      </w:r>
    </w:p>
    <w:p>
      <w:pPr>
        <w:pStyle w:val="ListNumber"/>
      </w:pPr>
      <w:r>
        <w:t>Open the Azure Pricing Calculator: https://azure.microsoft.com/en-us/pricing/calculator/.</w:t>
      </w:r>
    </w:p>
    <w:p>
      <w:pPr>
        <w:pStyle w:val="ListNumber"/>
      </w:pPr>
      <w:r>
        <w:t>Compare the same capacity and operations under Hot versus Cool. Include retrieval/transaction assumptions.</w:t>
      </w:r>
    </w:p>
    <w:p>
      <w:pPr>
        <w:pStyle w:val="ListNumber"/>
      </w:pPr>
      <w:r>
        <w:t>Compare LRS and RA-GRS for the same region and capacity.</w:t>
      </w:r>
    </w:p>
    <w:p>
      <w:pPr>
        <w:pStyle w:val="ListNumber"/>
      </w:pPr>
      <w:r>
        <w:t>Discuss how soft delete, versioning, lifecycle policies and non-production cleanup affect cost.</w:t>
      </w:r>
    </w:p>
    <w:p>
      <w:pPr>
        <w:pStyle w:val="ListNumber"/>
      </w:pPr>
      <w:r>
        <w:t>Write down a recommended lab configuration and a different production recommendation, explaining the trade-offs.</w:t>
      </w:r>
    </w:p>
    <w:p>
      <w:r>
        <w:t>Remember: A lower storage-per-GB rate does not always mean a lower total bill. Access, retrieval, replication and retention charges matter.</w:t>
      </w:r>
    </w:p>
    <w:p>
      <w:pPr>
        <w:pStyle w:val="Heading1"/>
      </w:pPr>
      <w:r>
        <w:t>6. Architecture discussion and knowledge check</w:t>
      </w:r>
    </w:p>
    <w:p>
      <w:pPr>
        <w:pStyle w:val="ListNumber"/>
      </w:pPr>
      <w:r>
        <w:t>Why store uploaded PDFs in Blob rather than Azure SQL?</w:t>
      </w:r>
    </w:p>
    <w:p>
      <w:pPr>
        <w:pStyle w:val="ListNumber"/>
      </w:pPr>
      <w:r>
        <w:t>When would hierarchical namespace be useful?</w:t>
      </w:r>
    </w:p>
    <w:p>
      <w:pPr>
        <w:pStyle w:val="ListNumber"/>
      </w:pPr>
      <w:r>
        <w:t>How do Hot, Cool, Cold and Archive differ?</w:t>
      </w:r>
    </w:p>
    <w:p>
      <w:pPr>
        <w:pStyle w:val="ListNumber"/>
      </w:pPr>
      <w:r>
        <w:t>Why might RA-GRS be unnecessary in a lab?</w:t>
      </w:r>
    </w:p>
    <w:p>
      <w:pPr>
        <w:pStyle w:val="ListNumber"/>
      </w:pPr>
      <w:r>
        <w:t>What is the difference between public network access and anonymous Blob access?</w:t>
      </w:r>
    </w:p>
    <w:p>
      <w:pPr>
        <w:pStyle w:val="ListNumber"/>
      </w:pPr>
      <w:r>
        <w:t>Why use Managed Identity instead of a storage account key?</w:t>
      </w:r>
    </w:p>
    <w:p>
      <w:pPr>
        <w:pStyle w:val="ListNumber"/>
      </w:pPr>
      <w:r>
        <w:t>How do soft delete and versioning affect cost?</w:t>
      </w:r>
    </w:p>
    <w:p>
      <w:pPr>
        <w:pStyle w:val="Heading1"/>
      </w:pPr>
      <w:r>
        <w:t>7. Cleanup and references</w:t>
      </w:r>
    </w:p>
    <w:p>
      <w:r>
        <w:t>Delete only your own disposable blobs/container after instructor approval. Delete the storage account only if it was created exclusively for this lab and has no dependencies. Do not delete the shared Training resource group. Soft-deleted blobs/versions can remain retained and billable.</w:t>
      </w:r>
    </w:p>
    <w:p>
      <w:r>
        <w:t>https://learn.microsoft.com/en-us/azure/storage/common/storage-account-create</w:t>
      </w:r>
    </w:p>
    <w:p>
      <w:r>
        <w:t>https://learn.microsoft.com/en-us/azure/storage/blobs/access-tiers-overview</w:t>
      </w:r>
    </w:p>
    <w:p>
      <w:r>
        <w:t>https://learn.microsoft.com/en-us/azure/storage/blobs/authorize-access-azure-active-directory</w:t>
      </w:r>
    </w:p>
    <w:p>
      <w:r>
        <w:t>https://azure.microsoft.com/en-us/pricing/calculator/</w:t>
      </w:r>
    </w:p>
    <w:p>
      <w:pPr>
        <w:pStyle w:val="Heading1"/>
      </w:pPr>
      <w:r>
        <w:t>Review references and completion record</w:t>
      </w:r>
    </w:p>
    <w:p>
      <w:r>
        <w:t>Microsoft documentation used for this content review:</w:t>
      </w:r>
    </w:p>
    <w:p>
      <w:r>
        <w:t>https://learn.microsoft.com/en-us/azure/storage/blobs/storage-quickstart-blobs-portal</w:t>
      </w:r>
    </w:p>
    <w:p>
      <w:r>
        <w:t>https://learn.microsoft.com/en-us/azure/storage/blobs/assign-azure-role-data-access</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