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Entra, RBAC, service principals and Key Vault</w:t>
      </w:r>
    </w:p>
    <w:p>
      <w:pPr>
        <w:pStyle w:val="Subtitle"/>
      </w:pPr>
      <w:r>
        <w:t>Optional portal-first reference and instructor demonstration</w:t>
      </w:r>
    </w:p>
    <w:p>
      <w:pPr>
        <w:pStyle w:val="Author"/>
      </w:pPr>
      <w:r>
        <w:t>LBS | Optional V3 attendee reference | 29 October 2026</w:t>
      </w:r>
    </w:p>
    <w:bookmarkStart w:id="15" w:name="before-you-start"/>
    <w:p>
      <w:pPr>
        <w:pStyle w:val="Heading1"/>
      </w:pPr>
      <w:r>
        <w:t xml:space="preserve">Before you start</w:t>
      </w:r>
    </w:p>
    <w:p>
      <w:pPr>
        <w:pStyle w:val="FirstParagraph"/>
      </w:pPr>
      <w:r>
        <w:rPr>
          <w:b/>
          <w:bCs/>
        </w:rPr>
        <w:t xml:space="preserve">Environment:</w:t>
      </w:r>
      <w:r>
        <w:t xml:space="preserve"> </w:t>
      </w:r>
      <w:r>
        <w:t xml:space="preserve">use the instructor-approved sandbox, group, region, tiers and spending limit. Create only your own disposable resources. The walkthrough uses fictional data. No cloud resource is created by reading this document.</w:t>
      </w:r>
    </w:p>
    <w:p>
      <w:pPr>
        <w:pStyle w:val="BodyText"/>
      </w:pPr>
      <w:r>
        <w:t>Materials: copy Labs\AppServiceSqlSample locally when the lab needs the .NET sample. Complete its setup from 02_Windows_And_Local_SQL_Setup.docx. Do not repeat resource creation if you already completed the same lab in the main guide.</w:t>
      </w:r>
    </w:p>
    <w:p>
      <w:pPr>
        <w:pStyle w:val="BodyText"/>
      </w:pPr>
      <w:r>
        <w:rPr>
          <w:b/>
          <w:bCs/>
        </w:rPr>
        <w:t xml:space="preserve">Admin assistance:</w:t>
      </w:r>
      <w:r>
        <w:t xml:space="preserve"> </w:t>
      </w:r>
      <w:r>
        <w:t xml:space="preserve">Contributor does not automatically grant IAM role assignment, SQL SELECT, Blob data access or Service Bus data access. Have the authorised administrator perform only the privileged step. Never bypass policy.</w:t>
      </w:r>
    </w:p>
    <w:p>
      <w:pPr>
        <w:pStyle w:val="CaptionedFigure"/>
      </w:pPr>
      <w:r>
        <w:drawing>
          <wp:inline>
            <wp:extent cx="5334000" cy="1529080"/>
            <wp:effectExtent b="0" l="0" r="0" t="0"/>
            <wp:docPr descr="Learning flow" title="" id="10" name="Picture"/>
            <a:graphic>
              <a:graphicData uri="http://schemas.openxmlformats.org/drawingml/2006/picture">
                <pic:pic>
                  <pic:nvPicPr>
                    <pic:cNvPr descr="C:/Users/meeta/.copilot/session-state/c1d00187-5587-4c8b-bc3b-c0b6e8c45760/files/Entra_RBAC_Managed_Identity_Portal_Lab.png" id="11" name="Picture"/>
                    <pic:cNvPicPr>
                      <a:picLocks noChangeArrowheads="1" noChangeAspect="1"/>
                    </pic:cNvPicPr>
                  </pic:nvPicPr>
                  <pic:blipFill>
                    <a:blip r:embed="rId9"/>
                    <a:stretch>
                      <a:fillRect/>
                    </a:stretch>
                  </pic:blipFill>
                  <pic:spPr bwMode="auto">
                    <a:xfrm>
                      <a:off x="0" y="0"/>
                      <a:ext cx="5334000" cy="1529080"/>
                    </a:xfrm>
                    <a:prstGeom prst="rect">
                      <a:avLst/>
                    </a:prstGeom>
                    <a:noFill/>
                    <a:ln w="9525">
                      <a:noFill/>
                      <a:headEnd/>
                      <a:tailEnd/>
                    </a:ln>
                  </pic:spPr>
                </pic:pic>
              </a:graphicData>
            </a:graphic>
          </wp:inline>
        </w:drawing>
      </w:r>
    </w:p>
    <w:p>
      <w:pPr>
        <w:pStyle w:val="ImageCaption"/>
      </w:pPr>
      <w:r>
        <w:t xml:space="preserve">Learning flow</w:t>
      </w:r>
    </w:p>
    <w:p>
      <w:r>
        <w:t>Day 2 identity demonstration | invited guest and Training IAM Reader</w:t>
      </w:r>
    </w:p>
    <w:p>
      <w:r>
        <w:t>Instructor preparation: use an approved training tenant and disposable resource group. An authorised Entra administrator invites the attendee as a guest using the address supplied through the approved course process. Do not put a real email address or principal/object ID in public notes, screenshots or shared evidence.</w:t>
      </w:r>
    </w:p>
    <w:p>
      <w:r>
        <w:t>The guest accepts the invitation and signs in. In the portal, switch to the training directory, open the assigned resource group, and use Access control (IAM) &gt; View my access to observe the scoped Training IAM Reader demonstration. The instructor explains the displayed role and scope; do not create or broaden a role assignment as an attendee.</w:t>
      </w:r>
    </w:p>
    <w:p>
      <w:r>
        <w:t>This is Azure control-plane visibility only. Reader does not grant SQL data access, Service Bus send/receive, Blob data access, or permission to read application records. Keep each data plane separate and grant only the approved operation at the narrowest scope.</w:t>
      </w:r>
    </w:p>
    <w:p>
      <w:r>
        <w:t>SQL/function identity note: an authorised SQL administrator provisions the Function's managed identity as a database principal with CREATE USER [&lt;function-managed-identity-name&gt;] FROM EXTERNAL PROVIDER; then grants only SELECT and UPDATE on the two specifically approved application tables. Verify exact schema/table names before use; do not grant db_owner or database-wide write access. Separately, an authorised Azure role administrator assigns the Function identity Service Bus Data Sender and Data Receiver permissions at the approved queue or namespace scope. These are distinct from the guest's Training IAM Reader.</w:t>
      </w:r>
    </w:p>
    <w:bookmarkStart w:id="14" w:name="X6840b5ff1388b0889f3cf068008ea553eeac617"/>
    <w:p>
      <w:pPr>
        <w:pStyle w:val="Heading2"/>
      </w:pPr>
      <w:r>
        <w:t>Entra ID, RBAC, service principals and managed identity</w:t>
      </w:r>
    </w:p>
    <w:p>
      <w:pPr/>
      <w:r>
        <w:t>What: Microsoft Entra ID authenticates identities. Azure role-based access control (RBAC) authorises Azure operations through role assignments: principal + role + scope, with applicable conditions/policies. Service principal (SP) is an application’s identity in a tenant. An app registration defines application configuration; it is not the same object as its enterprise application’s service principal.</w:t>
      </w:r>
    </w:p>
    <w:p>
      <w:pPr>
        <w:pStyle w:val="FirstParagraph"/>
      </w:pPr>
      <w:r>
        <w:rPr>
          <w:b/>
          <w:bCs/>
        </w:rPr>
        <w:t xml:space="preserve">Why/when:</w:t>
      </w:r>
      <w:r>
        <w:t xml:space="preserve"> </w:t>
      </w:r>
      <w:r>
        <w:t xml:space="preserve">people, deployed applications and deployment pipelines need different permissions. Distinguishing those identities avoids giving runtime code administrator credentials.</w:t>
      </w:r>
    </w:p>
    <w:p>
      <w:pPr>
        <w:pStyle w:val="BodyText"/>
      </w:pPr>
      <w:r>
        <w:rPr>
          <w:b/>
          <w:bCs/>
        </w:rPr>
        <w:t xml:space="preserve">How:</w:t>
      </w:r>
      <w:r>
        <w:t xml:space="preserve"> </w:t>
      </w:r>
      <w:r>
        <w:t xml:space="preserve">identify the calling principal and target operation; choose the narrowest suitable role/scope; have an authorised administrator assign it; test and remove temporary access. Managed identity lets Azure manage an application’s credential lifecycle. Follow Lab 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Caller</w:t>
            </w:r>
          </w:p>
        </w:tc>
        <w:tc>
          <w:tcPr/>
          <w:p>
            <w:pPr>
              <w:pStyle w:val="Compact"/>
            </w:pPr>
            <w:r>
              <w:t xml:space="preserve">Example identity</w:t>
            </w:r>
          </w:p>
        </w:tc>
        <w:tc>
          <w:tcPr/>
          <w:p>
            <w:pPr>
              <w:pStyle w:val="Compact"/>
            </w:pPr>
            <w:r>
              <w:t xml:space="preserve">Needs access to</w:t>
            </w:r>
          </w:p>
        </w:tc>
      </w:tr>
      <w:tr>
        <w:tc>
          <w:tcPr/>
          <w:p>
            <w:pPr>
              <w:pStyle w:val="Compact"/>
            </w:pPr>
            <w:r>
              <w:t xml:space="preserve">Developer</w:t>
            </w:r>
          </w:p>
        </w:tc>
        <w:tc>
          <w:tcPr/>
          <w:p>
            <w:pPr>
              <w:pStyle w:val="Compact"/>
            </w:pPr>
            <w:r>
              <w:t xml:space="preserve">Training Entra user</w:t>
            </w:r>
          </w:p>
        </w:tc>
        <w:tc>
          <w:tcPr/>
          <w:p>
            <w:pPr>
              <w:pStyle w:val="Compact"/>
            </w:pPr>
            <w:r>
              <w:t xml:space="preserve">Tools and permitted lab resources/data</w:t>
            </w:r>
          </w:p>
        </w:tc>
      </w:tr>
      <w:tr>
        <w:tc>
          <w:tcPr/>
          <w:p>
            <w:pPr>
              <w:pStyle w:val="Compact"/>
            </w:pPr>
            <w:r>
              <w:t xml:space="preserve">Web API runtime</w:t>
            </w:r>
          </w:p>
        </w:tc>
        <w:tc>
          <w:tcPr/>
          <w:p>
            <w:pPr>
              <w:pStyle w:val="Compact"/>
            </w:pPr>
            <w:r>
              <w:t xml:space="preserve">App Service managed identity</w:t>
            </w:r>
          </w:p>
        </w:tc>
        <w:tc>
          <w:tcPr/>
          <w:p>
            <w:pPr>
              <w:pStyle w:val="Compact"/>
            </w:pPr>
            <w:r>
              <w:t xml:space="preserve">Required SQL/Blob/queue operations</w:t>
            </w:r>
          </w:p>
        </w:tc>
      </w:tr>
      <w:tr>
        <w:tc>
          <w:tcPr/>
          <w:p>
            <w:pPr>
              <w:pStyle w:val="Compact"/>
            </w:pPr>
            <w:r>
              <w:t xml:space="preserve">Function runtime</w:t>
            </w:r>
          </w:p>
        </w:tc>
        <w:tc>
          <w:tcPr/>
          <w:p>
            <w:pPr>
              <w:pStyle w:val="Compact"/>
            </w:pPr>
            <w:r>
              <w:t xml:space="preserve">Function App managed identity</w:t>
            </w:r>
          </w:p>
        </w:tc>
        <w:tc>
          <w:tcPr/>
          <w:p>
            <w:pPr>
              <w:pStyle w:val="Compact"/>
            </w:pPr>
            <w:r>
              <w:t xml:space="preserve">Queue receive and required Blob operations</w:t>
            </w:r>
          </w:p>
        </w:tc>
      </w:tr>
      <w:tr>
        <w:tc>
          <w:tcPr/>
          <w:p>
            <w:pPr>
              <w:pStyle w:val="Compact"/>
            </w:pPr>
            <w:r>
              <w:t xml:space="preserve">CI/CD</w:t>
            </w:r>
          </w:p>
        </w:tc>
        <w:tc>
          <w:tcPr/>
          <w:p>
            <w:pPr>
              <w:pStyle w:val="Compact"/>
            </w:pPr>
            <w:r>
              <w:t xml:space="preserve">Federated service principal</w:t>
            </w:r>
          </w:p>
        </w:tc>
        <w:tc>
          <w:tcPr/>
          <w:p>
            <w:pPr>
              <w:pStyle w:val="Compact"/>
            </w:pPr>
            <w:r>
              <w:t xml:space="preserve">Deploy to assigned web app, not blanket business-data access</w:t>
            </w:r>
          </w:p>
        </w:tc>
      </w:tr>
    </w:tbl>
    <w:p>
      <w:pPr>
        <w:pStyle w:val="BodyText"/>
      </w:pPr>
      <w:r>
        <w:rPr>
          <w:b/>
          <w:bCs/>
        </w:rPr>
        <w:t xml:space="preserve">Authentication:</w:t>
      </w:r>
      <w:r>
        <w:t xml:space="preserve"> </w:t>
      </w:r>
      <w:r>
        <w:t xml:space="preserve">“Who are you?”</w:t>
      </w:r>
      <w:r>
        <w:t xml:space="preserve"> </w:t>
      </w:r>
      <w:r>
        <w:rPr>
          <w:b/>
          <w:bCs/>
        </w:rPr>
        <w:t xml:space="preserve">Authorisation:</w:t>
      </w:r>
      <w:r>
        <w:t xml:space="preserve"> </w:t>
      </w:r>
      <w:r>
        <w:t xml:space="preserve">“May you perform this operation on this resource?”</w:t>
      </w:r>
      <w:r>
        <w:t xml:space="preserve"> </w:t>
      </w:r>
      <w:r>
        <w:t xml:space="preserve">Azure management RBAC and data access are distinct. SQL additionally requires its own users/grants. Role assignment propagation is not always immediate.</w:t>
      </w:r>
    </w:p>
    <w:p>
      <w:pPr>
        <w:pStyle w:val="BodyText"/>
      </w:pPr>
      <w:r>
        <w:rPr>
          <w:b/>
          <w:bCs/>
        </w:rPr>
        <w:t xml:space="preserve">Tips and traps:</w:t>
      </w:r>
      <w:r>
        <w:t xml:space="preserve"> </w:t>
      </w:r>
      <w:r>
        <w:t xml:space="preserve">never grant Owner merely to fix a 403. Contributor normally cannot assign roles. Object IDs, client IDs and tenant IDs are different identifiers, not interchangeable. System-assigned identity lifecycle follows its resource; deleting/recreating the app can change the principal. A function key authenticates possession of a shared secret, not a human’s Entra identity. Use workload federation for pipelines instead of long-lived client secrets.</w:t>
      </w:r>
    </w:p>
    <w:p>
      <w:pPr>
        <w:pStyle w:val="BodyText"/>
      </w:pPr>
      <w:r>
        <w:rPr>
          <w:b/>
          <w:bCs/>
        </w:rPr>
        <w:t xml:space="preserve">References:</w:t>
      </w:r>
      <w:r>
        <w:t xml:space="preserve"> </w:t>
      </w:r>
      <w:hyperlink r:id="rId12">
        <w:r>
          <w:rPr>
            <w:rStyle w:val="Hyperlink"/>
          </w:rPr>
          <w:t xml:space="preserve">https://learn.microsoft.com/entra/fundamentals/what-is-entra</w:t>
        </w:r>
      </w:hyperlink>
      <w:r>
        <w:t xml:space="preserve"> </w:t>
      </w:r>
      <w:r>
        <w:t xml:space="preserve">and</w:t>
      </w:r>
      <w:r>
        <w:t xml:space="preserve"> </w:t>
      </w:r>
      <w:hyperlink r:id="rId13">
        <w:r>
          <w:rPr>
            <w:rStyle w:val="Hyperlink"/>
          </w:rPr>
          <w:t xml:space="preserve">https://learn.microsoft.com/azure/role-based-access-control/overview</w:t>
        </w:r>
      </w:hyperlink>
    </w:p>
    <w:bookmarkEnd w:id="14"/>
    <w:bookmarkEnd w:id="15"/>
    <w:bookmarkStart w:id="20" w:name="X4897a3c18d5c4a62816974b2206f980056de18d"/>
    <w:p>
      <w:pPr>
        <w:pStyle w:val="Heading1"/>
      </w:pPr>
      <w:r>
        <w:t>Optional reference material (not a scheduled primary Day 2 lab). The short invited-guest and Training IAM Reader demonstration above is instructor-led and requires an approved training tenant/resource group.</w:t>
      </w:r>
    </w:p>
    <w:p>
      <w:pPr>
        <w:pStyle w:val="FirstParagraph"/>
      </w:pPr>
      <w:r>
        <w:t>Reference duration: 45 minutes if assigned separately. Needs: delegated admin actions where noted. This is not a timed core Day 2 session.</w:t>
      </w:r>
    </w:p>
    <w:bookmarkStart w:id="16" w:name="Xe7dd7bcc3b1695efe17be1d6773177e98410fac"/>
    <w:p>
      <w:pPr>
        <w:pStyle w:val="Heading2"/>
      </w:pPr>
      <w:r>
        <w:t xml:space="preserve">4A. Inspect control-plane and data-plane permissions</w:t>
      </w:r>
    </w:p>
    <w:p>
      <w:pPr>
        <w:pStyle w:val="Compact"/>
        <w:numPr>
          <w:ilvl w:val="0"/>
          <w:numId w:val="1001"/>
        </w:numPr>
      </w:pPr>
      <w:r>
        <w:t xml:space="preserve">On your resource group, open</w:t>
      </w:r>
      <w:r>
        <w:t xml:space="preserve"> </w:t>
      </w:r>
      <w:r>
        <w:rPr>
          <w:b/>
          <w:bCs/>
        </w:rPr>
        <w:t xml:space="preserve">Access control (IAM) &gt; View my access</w:t>
      </w:r>
      <w:r>
        <w:t xml:space="preserve">. Record your role and scope.</w:t>
      </w:r>
    </w:p>
    <w:p>
      <w:pPr>
        <w:pStyle w:val="Compact"/>
        <w:numPr>
          <w:ilvl w:val="0"/>
          <w:numId w:val="1001"/>
        </w:numPr>
      </w:pPr>
      <w:r>
        <w:t xml:space="preserve">On the web app, inspect its system-assigned identity. It represents the application, not your personal login.</w:t>
      </w:r>
    </w:p>
    <w:p>
      <w:pPr>
        <w:pStyle w:val="Compact"/>
        <w:numPr>
          <w:ilvl w:val="0"/>
          <w:numId w:val="1001"/>
        </w:numPr>
      </w:pPr>
      <w:r>
        <w:t xml:space="preserve">In the Entra portal, locate</w:t>
      </w:r>
      <w:r>
        <w:t xml:space="preserve"> </w:t>
      </w:r>
      <w:r>
        <w:rPr>
          <w:b/>
          <w:bCs/>
        </w:rPr>
        <w:t xml:space="preserve">App registrations</w:t>
      </w:r>
      <w:r>
        <w:t xml:space="preserve"> </w:t>
      </w:r>
      <w:r>
        <w:t xml:space="preserve">and</w:t>
      </w:r>
      <w:r>
        <w:t xml:space="preserve"> </w:t>
      </w:r>
      <w:r>
        <w:rPr>
          <w:b/>
          <w:bCs/>
        </w:rPr>
        <w:t xml:space="preserve">Enterprise applications</w:t>
      </w:r>
      <w:r>
        <w:t xml:space="preserve">. An app registration describes an application; its service principal represents it in a tenant. A managed identity is a special service principal managed by Azure.</w:t>
      </w:r>
    </w:p>
    <w:p>
      <w:pPr>
        <w:pStyle w:val="Compact"/>
        <w:numPr>
          <w:ilvl w:val="0"/>
          <w:numId w:val="1001"/>
        </w:numPr>
      </w:pPr>
      <w:r>
        <w:t xml:space="preserve">Explain why Contributor can manage a Service Bus namespace but cannot necessarily send a message, and why Azure SQL management access does not grant SELECT.</w:t>
      </w:r>
    </w:p>
    <w:p>
      <w:pPr>
        <w:pStyle w:val="Compact"/>
        <w:numPr>
          <w:ilvl w:val="0"/>
          <w:numId w:val="1001"/>
        </w:numPr>
      </w:pPr>
      <w:r>
        <w:t xml:space="preserve">If authorised, create an app registration named</w:t>
      </w:r>
      <w:r>
        <w:t xml:space="preserve"> </w:t>
      </w:r>
      <w:r>
        <w:rPr>
          <w:rStyle w:val="VerbatimChar"/>
        </w:rPr>
        <w:t xml:space="preserve">lbs-lab-&lt;suffix&gt;</w:t>
      </w:r>
      <w:r>
        <w:t xml:space="preserve"> </w:t>
      </w:r>
      <w:r>
        <w:t xml:space="preserve">with</w:t>
      </w:r>
      <w:r>
        <w:t xml:space="preserve"> </w:t>
      </w:r>
      <w:r>
        <w:rPr>
          <w:b/>
          <w:bCs/>
        </w:rPr>
        <w:t xml:space="preserve">accounts in this organisational directory only</w:t>
      </w:r>
      <w:r>
        <w:t xml:space="preserve"> </w:t>
      </w:r>
      <w:r>
        <w:t xml:space="preserve">and no redirect URI. Record Application (client) ID, Directory (tenant) ID and its enterprise application’s object ID. Do not create a client secret or grant tenant-wide API consent.</w:t>
      </w:r>
    </w:p>
    <w:p>
      <w:pPr>
        <w:pStyle w:val="Compact"/>
        <w:numPr>
          <w:ilvl w:val="0"/>
          <w:numId w:val="1001"/>
        </w:numPr>
      </w:pPr>
      <w:r>
        <w:t xml:space="preserve">Otherwise inspect an instructor-provided registration. Tenant restrictions are expected, not an invitation to bypass controls.</w:t>
      </w:r>
    </w:p>
    <w:bookmarkEnd w:id="16"/>
    <w:bookmarkStart w:id="17" w:name="Xca67bb3e81efe878b44687753a2a39296fe6aae"/>
    <w:p>
      <w:pPr>
        <w:pStyle w:val="Heading2"/>
      </w:pPr>
      <w:r>
        <w:t xml:space="preserve">4B. Key Vault: replace a stored configuration value</w:t>
      </w:r>
    </w:p>
    <w:p>
      <w:pPr>
        <w:pStyle w:val="Compact"/>
        <w:numPr>
          <w:ilvl w:val="0"/>
          <w:numId w:val="1002"/>
        </w:numPr>
      </w:pPr>
      <w:r>
        <w:t xml:space="preserve">In the portal create</w:t>
      </w:r>
      <w:r>
        <w:t xml:space="preserve"> </w:t>
      </w:r>
      <w:r>
        <w:rPr>
          <w:rStyle w:val="VerbatimChar"/>
        </w:rPr>
        <w:t xml:space="preserve">kv-lbs-&lt;suffix&gt;</w:t>
      </w:r>
      <w:r>
        <w:t xml:space="preserve"> </w:t>
      </w:r>
      <w:r>
        <w:t xml:space="preserve">with the</w:t>
      </w:r>
      <w:r>
        <w:t xml:space="preserve"> </w:t>
      </w:r>
      <w:r>
        <w:rPr>
          <w:b/>
          <w:bCs/>
        </w:rPr>
        <w:t xml:space="preserve">Azure RBAC</w:t>
      </w:r>
      <w:r>
        <w:t xml:space="preserve"> </w:t>
      </w:r>
      <w:r>
        <w:t xml:space="preserve">permission model and approved network settings. Select the instructor-approved tier.</w:t>
      </w:r>
    </w:p>
    <w:p>
      <w:pPr>
        <w:pStyle w:val="Compact"/>
        <w:numPr>
          <w:ilvl w:val="0"/>
          <w:numId w:val="1002"/>
        </w:numPr>
      </w:pPr>
      <w:r>
        <w:t xml:space="preserve">An authorised role administrator assigns your learner identity</w:t>
      </w:r>
      <w:r>
        <w:t xml:space="preserve"> </w:t>
      </w:r>
      <w:r>
        <w:rPr>
          <w:b/>
          <w:bCs/>
        </w:rPr>
        <w:t xml:space="preserve">Key Vault Secrets Officer</w:t>
      </w:r>
      <w:r>
        <w:t xml:space="preserve"> </w:t>
      </w:r>
      <w:r>
        <w:t xml:space="preserve">at this vault for the exercise. Resource Contributor alone does not let you write secret values.</w:t>
      </w:r>
    </w:p>
    <w:p>
      <w:pPr>
        <w:pStyle w:val="Compact"/>
        <w:numPr>
          <w:ilvl w:val="0"/>
          <w:numId w:val="1002"/>
        </w:numPr>
      </w:pPr>
      <w:r>
        <w:t xml:space="preserve">Under</w:t>
      </w:r>
      <w:r>
        <w:t xml:space="preserve"> </w:t>
      </w:r>
      <w:r>
        <w:rPr>
          <w:b/>
          <w:bCs/>
        </w:rPr>
        <w:t xml:space="preserve">Objects &gt; Secrets &gt; Generate/Import</w:t>
      </w:r>
      <w:r>
        <w:t xml:space="preserve">, create</w:t>
      </w:r>
      <w:r>
        <w:t xml:space="preserve"> </w:t>
      </w:r>
      <w:r>
        <w:rPr>
          <w:rStyle w:val="VerbatimChar"/>
        </w:rPr>
        <w:t xml:space="preserve">LabGreeting</w:t>
      </w:r>
      <w:r>
        <w:t xml:space="preserve"> </w:t>
      </w:r>
      <w:r>
        <w:t xml:space="preserve">with a fictional value such as</w:t>
      </w:r>
      <w:r>
        <w:t xml:space="preserve"> </w:t>
      </w:r>
      <w:r>
        <w:rPr>
          <w:rStyle w:val="VerbatimChar"/>
        </w:rPr>
        <w:t xml:space="preserve">LBS training only</w:t>
      </w:r>
      <w:r>
        <w:t xml:space="preserve">. Do not use a real password.</w:t>
      </w:r>
    </w:p>
    <w:p>
      <w:pPr>
        <w:pStyle w:val="Compact"/>
        <w:numPr>
          <w:ilvl w:val="0"/>
          <w:numId w:val="1002"/>
        </w:numPr>
      </w:pPr>
      <w:r>
        <w:t xml:space="preserve">The role administrator assigns the web app’s managed identity</w:t>
      </w:r>
      <w:r>
        <w:t xml:space="preserve"> </w:t>
      </w:r>
      <w:r>
        <w:rPr>
          <w:b/>
          <w:bCs/>
        </w:rPr>
        <w:t xml:space="preserve">Key Vault Secrets User</w:t>
      </w:r>
      <w:r>
        <w:t xml:space="preserve"> </w:t>
      </w:r>
      <w:r>
        <w:t xml:space="preserve">at the vault scope. Wait for role propagation.</w:t>
      </w:r>
    </w:p>
    <w:p>
      <w:pPr>
        <w:pStyle w:val="Compact"/>
        <w:numPr>
          <w:ilvl w:val="0"/>
          <w:numId w:val="1002"/>
        </w:numPr>
      </w:pPr>
      <w:r>
        <w:t xml:space="preserve">Copy the secret’s</w:t>
      </w:r>
      <w:r>
        <w:t xml:space="preserve"> </w:t>
      </w:r>
      <w:r>
        <w:rPr>
          <w:b/>
          <w:bCs/>
        </w:rPr>
        <w:t xml:space="preserve">versionless</w:t>
      </w:r>
      <w:r>
        <w:t xml:space="preserve"> </w:t>
      </w:r>
      <w:r>
        <w:t xml:space="preserve">URI, shaped like</w:t>
      </w:r>
      <w:r>
        <w:t xml:space="preserve"> </w:t>
      </w:r>
      <w:r>
        <w:rPr>
          <w:rStyle w:val="VerbatimChar"/>
        </w:rPr>
        <w:t xml:space="preserve">https://&lt;vault&gt;.vault.azure.net/secrets/LabGreeting/</w:t>
      </w:r>
      <w:r>
        <w:t xml:space="preserve">.</w:t>
      </w:r>
    </w:p>
    <w:p>
      <w:pPr>
        <w:pStyle w:val="Compact"/>
        <w:numPr>
          <w:ilvl w:val="0"/>
          <w:numId w:val="1002"/>
        </w:numPr>
      </w:pPr>
      <w:r>
        <w:t xml:space="preserve">Add an App Service application setting</w:t>
      </w:r>
      <w:r>
        <w:t xml:space="preserve"> </w:t>
      </w:r>
      <w:r>
        <w:rPr>
          <w:rStyle w:val="VerbatimChar"/>
        </w:rPr>
        <w:t xml:space="preserve">LabGreeting</w:t>
      </w:r>
      <w:r>
        <w:t xml:space="preserve"> </w:t>
      </w:r>
      <w:r>
        <w:t xml:space="preserve">with a Key Vault reference:</w:t>
      </w:r>
    </w:p>
    <w:p>
      <w:pPr>
        <w:pStyle w:val="SourceCode"/>
      </w:pPr>
      <w:r>
        <w:rPr>
          <w:rStyle w:val="VerbatimChar"/>
        </w:rPr>
        <w:t xml:space="preserve">@Microsoft.KeyVault(SecretUri=https://&lt;vault&gt;.vault.azure.net/secrets/LabGreeting/)</w:t>
      </w:r>
    </w:p>
    <w:p>
      <w:pPr>
        <w:pStyle w:val="Compact"/>
        <w:numPr>
          <w:ilvl w:val="0"/>
          <w:numId w:val="1003"/>
        </w:numPr>
      </w:pPr>
      <w:r>
        <w:t xml:space="preserve">Save and inspect the reference’s resolution status in App Service. It may take time or a configuration refresh. Both identity permissions and network access must succeed.</w:t>
      </w:r>
    </w:p>
    <w:p>
      <w:pPr>
        <w:pStyle w:val="FirstParagraph"/>
      </w:pPr>
      <w:r>
        <w:t xml:space="preserve">The existing sample does not read</w:t>
      </w:r>
      <w:r>
        <w:t xml:space="preserve"> </w:t>
      </w:r>
      <w:r>
        <w:rPr>
          <w:rStyle w:val="VerbatimChar"/>
        </w:rPr>
        <w:t xml:space="preserve">LabGreeting</w:t>
      </w:r>
      <w:r>
        <w:t xml:space="preserve">; this task verifies reference resolution, not an application response change. A managed identity removes the need to store credentials to access the vault.</w:t>
      </w:r>
    </w:p>
    <w:bookmarkEnd w:id="17"/>
    <w:bookmarkStart w:id="18" w:name="X5b8d6c9c584630c231de4adf6de8c9b8c8c11a5"/>
    <w:p>
      <w:pPr>
        <w:pStyle w:val="Heading2"/>
      </w:pPr>
      <w:r>
        <w:t xml:space="preserve">4C. Assign and remove a service-principal role (hands-on)</w:t>
      </w:r>
    </w:p>
    <w:p>
      <w:pPr>
        <w:pStyle w:val="Compact"/>
        <w:numPr>
          <w:ilvl w:val="0"/>
          <w:numId w:val="1004"/>
        </w:numPr>
      </w:pPr>
      <w:r>
        <w:t xml:space="preserve">Use the single-tenant app registration created in 4A. Open</w:t>
      </w:r>
      <w:r>
        <w:t xml:space="preserve"> </w:t>
      </w:r>
      <w:r>
        <w:rPr>
          <w:b/>
          <w:bCs/>
        </w:rPr>
        <w:t xml:space="preserve">Enterprise applications</w:t>
      </w:r>
      <w:r>
        <w:t xml:space="preserve"> </w:t>
      </w:r>
      <w:r>
        <w:t xml:space="preserve">and find its matching service principal by Application ID. Record its object ID; it differs from the app registration object’s ID.</w:t>
      </w:r>
    </w:p>
    <w:p>
      <w:pPr>
        <w:pStyle w:val="Compact"/>
        <w:numPr>
          <w:ilvl w:val="0"/>
          <w:numId w:val="1004"/>
        </w:numPr>
      </w:pPr>
      <w:r>
        <w:t xml:space="preserve">An authorised role administrator opens your</w:t>
      </w:r>
      <w:r>
        <w:t xml:space="preserve"> </w:t>
      </w:r>
      <w:r>
        <w:rPr>
          <w:b/>
          <w:bCs/>
        </w:rPr>
        <w:t xml:space="preserve">training resource group &gt; Access control (IAM) &gt; Add role assignment</w:t>
      </w:r>
      <w:r>
        <w:t xml:space="preserve">, selects</w:t>
      </w:r>
      <w:r>
        <w:t xml:space="preserve"> </w:t>
      </w:r>
      <w:r>
        <w:rPr>
          <w:b/>
          <w:bCs/>
        </w:rPr>
        <w:t xml:space="preserve">Reader</w:t>
      </w:r>
      <w:r>
        <w:t xml:space="preserve">, then</w:t>
      </w:r>
      <w:r>
        <w:t xml:space="preserve"> </w:t>
      </w:r>
      <w:r>
        <w:rPr>
          <w:b/>
          <w:bCs/>
        </w:rPr>
        <w:t xml:space="preserve">User, group, or service principal</w:t>
      </w:r>
      <w:r>
        <w:t xml:space="preserve">, and selects this exact service principal.</w:t>
      </w:r>
    </w:p>
    <w:p>
      <w:pPr>
        <w:pStyle w:val="Compact"/>
        <w:numPr>
          <w:ilvl w:val="0"/>
          <w:numId w:val="1004"/>
        </w:numPr>
      </w:pPr>
      <w:r>
        <w:t xml:space="preserve">Review the assignment scope: it must be your disposable resource group, not the subscription. Save and locate the assignment in</w:t>
      </w:r>
      <w:r>
        <w:t xml:space="preserve"> </w:t>
      </w:r>
      <w:r>
        <w:rPr>
          <w:b/>
          <w:bCs/>
        </w:rPr>
        <w:t xml:space="preserve">Role assignments</w:t>
      </w:r>
      <w:r>
        <w:t xml:space="preserve">.</w:t>
      </w:r>
    </w:p>
    <w:p>
      <w:pPr>
        <w:pStyle w:val="Compact"/>
        <w:numPr>
          <w:ilvl w:val="0"/>
          <w:numId w:val="1004"/>
        </w:numPr>
      </w:pPr>
      <w:r>
        <w:t xml:space="preserve">From Azure CLI run</w:t>
      </w:r>
      <w:r>
        <w:t xml:space="preserve"> </w:t>
      </w:r>
      <w:r>
        <w:rPr>
          <w:rStyle w:val="VerbatimChar"/>
        </w:rPr>
        <w:t xml:space="preserve">az role assignment list --scope "&lt;actual-resource-group-resource-id&gt;" --all --query "[?principalId=='&lt;actual-service-principal-object-id&gt;'].{Role:roleDefinitionName,Scope:scope,Principal:principalId}" -o table</w:t>
      </w:r>
      <w:r>
        <w:t xml:space="preserve">.</w:t>
      </w:r>
    </w:p>
    <w:p>
      <w:pPr>
        <w:pStyle w:val="Compact"/>
        <w:numPr>
          <w:ilvl w:val="0"/>
          <w:numId w:val="1004"/>
        </w:numPr>
      </w:pPr>
      <w:r>
        <w:t xml:space="preserve">Record Reader and the expected scope. This inspects an assignment; it does not prove the principal has authenticated or received a token. Federated workload sign-in is exercised in Lab 12E.</w:t>
      </w:r>
    </w:p>
    <w:p>
      <w:pPr>
        <w:pStyle w:val="Compact"/>
        <w:numPr>
          <w:ilvl w:val="0"/>
          <w:numId w:val="1004"/>
        </w:numPr>
      </w:pPr>
      <w:r>
        <w:t xml:space="preserve">Have the role administrator remove this temporary Reader assignment after inspection. Do not delete the service principal yet if you will reuse it for the pipeline.</w:t>
      </w:r>
    </w:p>
    <w:p>
      <w:pPr>
        <w:pStyle w:val="FirstParagraph"/>
      </w:pPr>
      <w:r>
        <w:rPr>
          <w:b/>
          <w:bCs/>
        </w:rPr>
        <w:t xml:space="preserve">Checkpoint:</w:t>
      </w:r>
      <w:r>
        <w:t xml:space="preserve"> </w:t>
      </w:r>
      <w:r>
        <w:t xml:space="preserve">demonstrate an assignment and removal at a narrowly defined scope without generating a client secret.</w:t>
      </w:r>
    </w:p>
    <w:bookmarkEnd w:id="18"/>
    <w:bookmarkStart w:id="19" w:name="Xeaccc7e4fabd902e0165c3f06619e223bf1dfdd"/>
    <w:p>
      <w:pPr>
        <w:pStyle w:val="Heading2"/>
      </w:pPr>
      <w:r>
        <w:t xml:space="preserve">4D. Rotate the fictional Key Vault value (hands-on)</w:t>
      </w:r>
    </w:p>
    <w:p>
      <w:pPr>
        <w:pStyle w:val="Compact"/>
        <w:numPr>
          <w:ilvl w:val="0"/>
          <w:numId w:val="1005"/>
        </w:numPr>
      </w:pPr>
      <w:r>
        <w:t xml:space="preserve">Open</w:t>
      </w:r>
      <w:r>
        <w:t xml:space="preserve"> </w:t>
      </w:r>
      <w:r>
        <w:rPr>
          <w:rStyle w:val="VerbatimChar"/>
        </w:rPr>
        <w:t xml:space="preserve">LabGreeting</w:t>
      </w:r>
      <w:r>
        <w:t xml:space="preserve"> </w:t>
      </w:r>
      <w:r>
        <w:t xml:space="preserve">in the vault and choose</w:t>
      </w:r>
      <w:r>
        <w:t xml:space="preserve"> </w:t>
      </w:r>
      <w:r>
        <w:rPr>
          <w:b/>
          <w:bCs/>
        </w:rPr>
        <w:t xml:space="preserve">New version</w:t>
      </w:r>
      <w:r>
        <w:t xml:space="preserve">. Save</w:t>
      </w:r>
      <w:r>
        <w:t xml:space="preserve"> </w:t>
      </w:r>
      <w:r>
        <w:rPr>
          <w:rStyle w:val="VerbatimChar"/>
        </w:rPr>
        <w:t xml:space="preserve">LBS training version 2</w:t>
      </w:r>
      <w:r>
        <w:t xml:space="preserve">.</w:t>
      </w:r>
    </w:p>
    <w:p>
      <w:pPr>
        <w:pStyle w:val="Compact"/>
        <w:numPr>
          <w:ilvl w:val="0"/>
          <w:numId w:val="1005"/>
        </w:numPr>
      </w:pPr>
      <w:r>
        <w:t xml:space="preserve">Verify both versions exist and the versionless URI did not change. Do not disable the old version until you understand whether a consumer uses a versioned URI.</w:t>
      </w:r>
    </w:p>
    <w:p>
      <w:pPr>
        <w:pStyle w:val="Compact"/>
        <w:numPr>
          <w:ilvl w:val="0"/>
          <w:numId w:val="1005"/>
        </w:numPr>
      </w:pPr>
      <w:r>
        <w:t xml:space="preserve">Refresh the Key Vault reference using the supported portal refresh action where available, or apply a harmless approved app configuration change to trigger reference refresh. Restarting alone is not a universal guarantee that every cached reference refreshes immediately.</w:t>
      </w:r>
    </w:p>
    <w:p>
      <w:pPr>
        <w:pStyle w:val="Compact"/>
        <w:numPr>
          <w:ilvl w:val="0"/>
          <w:numId w:val="1005"/>
        </w:numPr>
      </w:pPr>
      <w:r>
        <w:t xml:space="preserve">Verify the App Service reference reports resolution success. The sample still does not display</w:t>
      </w:r>
      <w:r>
        <w:t xml:space="preserve"> </w:t>
      </w:r>
      <w:r>
        <w:rPr>
          <w:rStyle w:val="VerbatimChar"/>
        </w:rPr>
        <w:t xml:space="preserve">LabGreeting</w:t>
      </w:r>
      <w:r>
        <w:t xml:space="preserve">; do not claim a changed API output.</w:t>
      </w:r>
    </w:p>
    <w:p>
      <w:pPr>
        <w:pStyle w:val="Compact"/>
        <w:numPr>
          <w:ilvl w:val="0"/>
          <w:numId w:val="1005"/>
        </w:numPr>
      </w:pPr>
      <w:r>
        <w:t xml:space="preserve">Record the version identifiers only. Do not put secret values into the lab evidence.</w:t>
      </w:r>
    </w:p>
    <w:p>
      <w:pPr>
        <w:pStyle w:val="FirstParagraph"/>
      </w:pPr>
      <w:r>
        <w:rPr>
          <w:b/>
          <w:bCs/>
        </w:rPr>
        <w:t xml:space="preserve">Checkpoint:</w:t>
      </w:r>
      <w:r>
        <w:t xml:space="preserve"> </w:t>
      </w:r>
      <w:r>
        <w:t xml:space="preserve">describe authentication versus authorisation and show a resolved Key Vault reference (or document the exact blocked permission). Do not grant Owner to applications.</w:t>
      </w:r>
    </w:p>
    <w:bookmarkEnd w:id="19"/>
    <w:bookmarkEnd w:id="20"/>
    <w:bookmarkStart w:id="23" w:name="Xb8ba6d532f3861b53ac1377b2267b7dc5178036"/>
    <w:p>
      <w:pPr>
        <w:pStyle w:val="Heading1"/>
      </w:pPr>
      <w:r>
        <w:t xml:space="preserve">Lab 19 | Portal security baseline without administrator shortcuts</w:t>
      </w:r>
    </w:p>
    <w:p>
      <w:pPr>
        <w:pStyle w:val="FirstParagraph"/>
      </w:pPr>
      <w:r>
        <w:rPr>
          <w:b/>
          <w:bCs/>
        </w:rPr>
        <w:t xml:space="preserve">What/why:</w:t>
      </w:r>
      <w:r>
        <w:t xml:space="preserve"> </w:t>
      </w:r>
      <w:r>
        <w:t xml:space="preserve">practise inspecting exposure and least privilege before a cloud application is handed to others.</w:t>
      </w:r>
    </w:p>
    <w:p>
      <w:pPr>
        <w:pStyle w:val="BodyText"/>
      </w:pPr>
      <w:r>
        <w:rPr>
          <w:b/>
          <w:bCs/>
        </w:rPr>
        <w:t xml:space="preserve">Needs:</w:t>
      </w:r>
      <w:r>
        <w:t xml:space="preserve"> </w:t>
      </w:r>
      <w:r>
        <w:t xml:space="preserve">read access to own resources; changes only with instructor approval. No penetration testing, secret harvesting or tenant-wide role changes.</w:t>
      </w:r>
    </w:p>
    <w:p>
      <w:pPr>
        <w:pStyle w:val="Compact"/>
        <w:numPr>
          <w:ilvl w:val="0"/>
          <w:numId w:val="1006"/>
        </w:numPr>
      </w:pPr>
      <w:r>
        <w:t xml:space="preserve">Open your web app</w:t>
      </w:r>
      <w:r>
        <w:t xml:space="preserve"> </w:t>
      </w:r>
      <w:r>
        <w:rPr>
          <w:b/>
          <w:bCs/>
        </w:rPr>
        <w:t xml:space="preserve">Configuration / General settings</w:t>
      </w:r>
      <w:r>
        <w:t xml:space="preserve"> </w:t>
      </w:r>
      <w:r>
        <w:t xml:space="preserve">and inspect</w:t>
      </w:r>
      <w:r>
        <w:t xml:space="preserve"> </w:t>
      </w:r>
      <w:r>
        <w:rPr>
          <w:b/>
          <w:bCs/>
        </w:rPr>
        <w:t xml:space="preserve">HTTPS Only</w:t>
      </w:r>
      <w:r>
        <w:t xml:space="preserve"> </w:t>
      </w:r>
      <w:r>
        <w:t xml:space="preserve">and minimum inbound TLS. Enable HTTPS-only and an approved TLS minimum on your disposable app if not already set.</w:t>
      </w:r>
    </w:p>
    <w:p>
      <w:pPr>
        <w:pStyle w:val="Compact"/>
        <w:numPr>
          <w:ilvl w:val="0"/>
          <w:numId w:val="1006"/>
        </w:numPr>
      </w:pPr>
      <w:r>
        <w:t xml:space="preserve">Inspect web app</w:t>
      </w:r>
      <w:r>
        <w:t xml:space="preserve"> </w:t>
      </w:r>
      <w:r>
        <w:rPr>
          <w:b/>
          <w:bCs/>
        </w:rPr>
        <w:t xml:space="preserve">Authentication</w:t>
      </w:r>
      <w:r>
        <w:t xml:space="preserve">. The sample is a training API, not an authenticated customer portal. Record that gap; do not expose real data or assume managed identity secures browser users.</w:t>
      </w:r>
    </w:p>
    <w:p>
      <w:pPr>
        <w:pStyle w:val="Compact"/>
        <w:numPr>
          <w:ilvl w:val="0"/>
          <w:numId w:val="1006"/>
        </w:numPr>
      </w:pPr>
      <w:r>
        <w:t xml:space="preserve">Inspect App Service identity and its actual data permissions. Confirm runtime identity is not granted Owner or unnecessary deployment permissions.</w:t>
      </w:r>
    </w:p>
    <w:p>
      <w:pPr>
        <w:pStyle w:val="Compact"/>
        <w:numPr>
          <w:ilvl w:val="0"/>
          <w:numId w:val="1006"/>
        </w:numPr>
      </w:pPr>
      <w:r>
        <w:t xml:space="preserve">On Storage</w:t>
      </w:r>
      <w:r>
        <w:t xml:space="preserve"> </w:t>
      </w:r>
      <w:r>
        <w:rPr>
          <w:b/>
          <w:bCs/>
        </w:rPr>
        <w:t xml:space="preserve">Configuration</w:t>
      </w:r>
      <w:r>
        <w:t xml:space="preserve">, confirm anonymous blob access is disabled, secure transfer is required and TLS follows policy. On the container confirm private access.</w:t>
      </w:r>
    </w:p>
    <w:p>
      <w:pPr>
        <w:pStyle w:val="Compact"/>
        <w:numPr>
          <w:ilvl w:val="0"/>
          <w:numId w:val="1006"/>
        </w:numPr>
      </w:pPr>
      <w:r>
        <w:t xml:space="preserve">On Storage/SQL/Service Bus/Key Vault</w:t>
      </w:r>
      <w:r>
        <w:t xml:space="preserve"> </w:t>
      </w:r>
      <w:r>
        <w:rPr>
          <w:b/>
          <w:bCs/>
        </w:rPr>
        <w:t xml:space="preserve">Networking</w:t>
      </w:r>
      <w:r>
        <w:t xml:space="preserve">, record public/private access and why the current route is permitted. Do not disable public access until the replacement route is verified: that can break the lab.</w:t>
      </w:r>
    </w:p>
    <w:p>
      <w:pPr>
        <w:pStyle w:val="Compact"/>
        <w:numPr>
          <w:ilvl w:val="0"/>
          <w:numId w:val="1006"/>
        </w:numPr>
      </w:pPr>
      <w:r>
        <w:t xml:space="preserve">On Key Vault inspect the RBAC permission model and soft-delete/purge-protection settings. Do not enable irreversible retention controls just to complete a checkbox; review the implications with the instructor.</w:t>
      </w:r>
    </w:p>
    <w:p>
      <w:pPr>
        <w:pStyle w:val="Compact"/>
        <w:numPr>
          <w:ilvl w:val="0"/>
          <w:numId w:val="1006"/>
        </w:numPr>
      </w:pPr>
      <w:r>
        <w:t xml:space="preserve">On the group</w:t>
      </w:r>
      <w:r>
        <w:t xml:space="preserve"> </w:t>
      </w:r>
      <w:r>
        <w:rPr>
          <w:b/>
          <w:bCs/>
        </w:rPr>
        <w:t xml:space="preserve">IAM</w:t>
      </w:r>
      <w:r>
        <w:t xml:space="preserve">, inspect direct and inherited assignments where your access permits. Record which assignments are needed for development, deployment and runtime. Do not remove inherited organisational roles.</w:t>
      </w:r>
    </w:p>
    <w:p>
      <w:pPr>
        <w:pStyle w:val="Compact"/>
        <w:numPr>
          <w:ilvl w:val="0"/>
          <w:numId w:val="1006"/>
        </w:numPr>
      </w:pPr>
      <w:r>
        <w:t xml:space="preserve">In</w:t>
      </w:r>
      <w:r>
        <w:t xml:space="preserve"> </w:t>
      </w:r>
      <w:r>
        <w:rPr>
          <w:b/>
          <w:bCs/>
        </w:rPr>
        <w:t xml:space="preserve">Microsoft Defender for Cloud &gt; Recommendations</w:t>
      </w:r>
      <w:r>
        <w:t xml:space="preserve">, inspect available recommendations for your own resources if permitted. Do not enable paid Defender plans or accept all recommendations automatically.</w:t>
      </w:r>
    </w:p>
    <w:p>
      <w:pPr>
        <w:pStyle w:val="Compact"/>
        <w:numPr>
          <w:ilvl w:val="0"/>
          <w:numId w:val="1006"/>
        </w:numPr>
      </w:pPr>
      <w:r>
        <w:t xml:space="preserve">Inspect</w:t>
      </w:r>
      <w:r>
        <w:t xml:space="preserve"> </w:t>
      </w:r>
      <w:r>
        <w:rPr>
          <w:b/>
          <w:bCs/>
        </w:rPr>
        <w:t xml:space="preserve">Azure Policy &gt; Compliance</w:t>
      </w:r>
      <w:r>
        <w:t xml:space="preserve"> </w:t>
      </w:r>
      <w:r>
        <w:t xml:space="preserve">at the permitted scope. Record one policy’s purpose/status, or mark not applicable if none is assigned. Do not create an exemption to bypass a blocked deployment.</w:t>
      </w:r>
    </w:p>
    <w:p>
      <w:pPr>
        <w:pStyle w:val="Compact"/>
        <w:numPr>
          <w:ilvl w:val="0"/>
          <w:numId w:val="1006"/>
        </w:numPr>
      </w:pPr>
      <w:r>
        <w:t xml:space="preserve">Review source/Git ignore rules locally: no secrets, publish profiles, local Functions settings, real documents or sensitive log exports. Do not paste discovered secrets into evidence.</w:t>
      </w:r>
    </w:p>
    <w:p>
      <w:pPr>
        <w:pStyle w:val="FirstParagraph"/>
      </w:pPr>
      <w:r>
        <w:rPr>
          <w:b/>
          <w:bCs/>
        </w:rPr>
        <w:t xml:space="preserve">Expected:</w:t>
      </w:r>
      <w:r>
        <w:t xml:space="preserve"> </w:t>
      </w:r>
      <w:r>
        <w:t xml:space="preserve">a baseline checklist with pass/gap/not applicable, owner and next action. A portal green status is not certification that an application is secure.</w:t>
      </w:r>
    </w:p>
    <w:p>
      <w:pPr>
        <w:pStyle w:val="BodyText"/>
      </w:pPr>
      <w:r>
        <w:rPr>
          <w:b/>
          <w:bCs/>
        </w:rPr>
        <w:t xml:space="preserve">Monitoring:</w:t>
      </w:r>
      <w:r>
        <w:t xml:space="preserve"> </w:t>
      </w:r>
      <w:r>
        <w:t xml:space="preserve">distinguish platform security recommendations from application exceptions and audit trails.</w:t>
      </w:r>
      <w:r>
        <w:t xml:space="preserve"> </w:t>
      </w:r>
      <w:r>
        <w:rPr>
          <w:b/>
          <w:bCs/>
        </w:rPr>
        <w:t xml:space="preserve">Cost:</w:t>
      </w:r>
      <w:r>
        <w:t xml:space="preserve"> </w:t>
      </w:r>
      <w:r>
        <w:t xml:space="preserve">paid security plans require explicit approval.</w:t>
      </w:r>
      <w:r>
        <w:t xml:space="preserve"> </w:t>
      </w:r>
      <w:r>
        <w:rPr>
          <w:b/>
          <w:bCs/>
        </w:rPr>
        <w:t xml:space="preserve">Cleanup:</w:t>
      </w:r>
      <w:r>
        <w:t xml:space="preserve"> </w:t>
      </w:r>
      <w:r>
        <w:t xml:space="preserve">remove only your temporary test access using an authorised role administrator; retain required security controls.</w:t>
      </w:r>
    </w:p>
    <w:p>
      <w:pPr>
        <w:pStyle w:val="BodyText"/>
      </w:pPr>
      <w:r>
        <w:t xml:space="preserve">References:</w:t>
      </w:r>
      <w:r>
        <w:t xml:space="preserve"> </w:t>
      </w:r>
      <w:hyperlink r:id="rId21">
        <w:r>
          <w:rPr>
            <w:rStyle w:val="Hyperlink"/>
          </w:rPr>
          <w:t xml:space="preserve">https://learn.microsoft.com/azure/security/fundamentals/overview</w:t>
        </w:r>
      </w:hyperlink>
      <w:r>
        <w:t xml:space="preserve"> </w:t>
      </w:r>
      <w:r>
        <w:t xml:space="preserve">and</w:t>
      </w:r>
      <w:r>
        <w:t xml:space="preserve"> </w:t>
      </w:r>
      <w:hyperlink r:id="rId22">
        <w:r>
          <w:rPr>
            <w:rStyle w:val="Hyperlink"/>
          </w:rPr>
          <w:t xml:space="preserve">https://learn.microsoft.com/azure/governance/policy/overview</w:t>
        </w:r>
      </w:hyperlink>
    </w:p>
    <w:bookmarkEnd w:id="23"/>
    <w:bookmarkStart w:id="24" w:name="completion-record-and-cleanup"/>
    <w:p>
      <w:pPr>
        <w:pStyle w:val="Heading1"/>
      </w:pPr>
      <w:r>
        <w:t xml:space="preserve">Completion record and cleanup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Record</w:t>
            </w:r>
          </w:p>
        </w:tc>
        <w:tc>
          <w:tcPr/>
          <w:p>
            <w:pPr>
              <w:pStyle w:val="Compact"/>
            </w:pPr>
            <w:r>
              <w:t xml:space="preserve">Your observation</w:t>
            </w:r>
          </w:p>
        </w:tc>
      </w:tr>
      <w:tr>
        <w:tc>
          <w:tcPr/>
          <w:p>
            <w:pPr>
              <w:pStyle w:val="Compact"/>
            </w:pPr>
            <w:r>
              <w:t xml:space="preserve">Subscription/group/region and actual resource names</w:t>
            </w:r>
          </w:p>
        </w:tc>
        <w:tc>
          <w:tcPr/>
          <w:p>
            <w:pPr>
              <w:pStyle w:val="Compact"/>
            </w:pPr>
          </w:p>
        </w:tc>
      </w:tr>
      <w:tr>
        <w:tc>
          <w:tcPr/>
          <w:p>
            <w:pPr>
              <w:pStyle w:val="Compact"/>
            </w:pPr>
            <w:r>
              <w:t xml:space="preserve">Expected result and actual result</w:t>
            </w:r>
          </w:p>
        </w:tc>
        <w:tc>
          <w:tcPr/>
          <w:p>
            <w:pPr>
              <w:pStyle w:val="Compact"/>
            </w:pPr>
          </w:p>
        </w:tc>
      </w:tr>
      <w:tr>
        <w:tc>
          <w:tcPr/>
          <w:p>
            <w:pPr>
              <w:pStyle w:val="Compact"/>
            </w:pPr>
            <w:r>
              <w:t xml:space="preserve">Log/table/metric, time range and evidence</w:t>
            </w:r>
          </w:p>
        </w:tc>
        <w:tc>
          <w:tcPr/>
          <w:p>
            <w:pPr>
              <w:pStyle w:val="Compact"/>
            </w:pPr>
          </w:p>
        </w:tc>
      </w:tr>
      <w:tr>
        <w:tc>
          <w:tcPr/>
          <w:p>
            <w:pPr>
              <w:pStyle w:val="Compact"/>
            </w:pPr>
            <w:r>
              <w:t xml:space="preserve">Identity, role/scope and network restrictions</w:t>
            </w:r>
          </w:p>
        </w:tc>
        <w:tc>
          <w:tcPr/>
          <w:p>
            <w:pPr>
              <w:pStyle w:val="Compact"/>
            </w:pPr>
          </w:p>
        </w:tc>
      </w:tr>
      <w:tr>
        <w:tc>
          <w:tcPr/>
          <w:p>
            <w:pPr>
              <w:pStyle w:val="Compact"/>
            </w:pPr>
            <w:r>
              <w:t xml:space="preserve">Idle/usage/logging cost driver</w:t>
            </w:r>
          </w:p>
        </w:tc>
        <w:tc>
          <w:tcPr/>
          <w:p>
            <w:pPr>
              <w:pStyle w:val="Compact"/>
            </w:pPr>
          </w:p>
        </w:tc>
      </w:tr>
      <w:tr>
        <w:tc>
          <w:tcPr/>
          <w:p>
            <w:pPr>
              <w:pStyle w:val="Compact"/>
            </w:pPr>
            <w:r>
              <w:t xml:space="preserve">Cleanup or retention owner/deadline</w:t>
            </w:r>
          </w:p>
        </w:tc>
        <w:tc>
          <w:tcPr/>
          <w:p>
            <w:pPr>
              <w:pStyle w:val="Compact"/>
            </w:pPr>
          </w:p>
        </w:tc>
      </w:tr>
    </w:tbl>
    <w:p>
      <w:pPr>
        <w:pStyle w:val="BodyText"/>
      </w:pPr>
      <w:r>
        <w:t xml:space="preserve">Only mark a lab passed after its functional checkpoint. A deployment success or empty error table alone is not proof. Mark blocked permissions honestly.</w:t>
      </w:r>
    </w:p>
    <w:p>
      <w:pPr>
        <w:pStyle w:val="BodyText"/>
      </w:pPr>
      <w:r>
        <w:t xml:space="preserve">Clean up only your own disposable objects; removing a diagnostic setting does not erase retained logs, and stopping an app does not stop every cost. Follow Lab 13 in the main guide. Keep secrets/customer information out of evidence.</w:t>
      </w:r>
    </w:p>
    <w:p>
      <w:pPr>
        <w:pStyle w:val="BodyText"/>
      </w:pPr>
      <w:r>
        <w:t>Confirm the current Azure scope, permissions, policy, runtime, region and pricing before starting. Record your own results; these instructions do not establish that your access or deployment works.</w:t>
      </w:r>
    </w:p>
    <w:bookmarkEnd w:id="24"/>
    <w:sectPr>
      <w:headerReference w:type="default" r:id="rId10"/>
      <w:footerReference w:type="default" r:id="rId11"/>
      <w:footnotePr>
        <w:numRestart w:val="eachSect"/>
      </w:footnotePr>
      <w:pgSz w:w="11909" w:h="16834"/>
      <w:pgMar w:left="1008" w:right="1008" w:top="1008" w:bottom="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Attendee handout v2 | Reviewed 26 October 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LBS | Azure beginner service lab</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color w:val="005A9E"/>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005A9E"/>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005A9E"/>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5A9E"/>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6"/>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2" Type="http://schemas.openxmlformats.org/officeDocument/2006/relationships/hyperlink" Target="https://learn.microsoft.com/azure/governance/policy/overview" TargetMode="External"/><Relationship Id="rId13" Type="http://schemas.openxmlformats.org/officeDocument/2006/relationships/hyperlink" Target="https://learn.microsoft.com/azure/role-based-access-control/overview" TargetMode="External"/><Relationship Id="rId21" Type="http://schemas.openxmlformats.org/officeDocument/2006/relationships/hyperlink" Target="https://learn.microsoft.com/azure/security/fundamentals/overview" TargetMode="External"/><Relationship Id="rId12" Type="http://schemas.openxmlformats.org/officeDocument/2006/relationships/hyperlink" Target="https://learn.microsoft.com/entra/fundamentals/what-is-entra" TargetMode="External"/><Relationship Id="rId10" Type="http://schemas.openxmlformats.org/officeDocument/2006/relationships/header" Target="header1.xml"/><Relationship Id="rId11" Type="http://schemas.openxmlformats.org/officeDocument/2006/relationships/footer" Target="footer1.xml"/></Relationships>
</file>

<file path=word/_rels/footnotes.xml.rels><?xml version='1.0' encoding='UTF-8' standalone='yes'?>
<Relationships xmlns="http://schemas.openxmlformats.org/package/2006/relationships"><Relationship Id="rId22" Type="http://schemas.openxmlformats.org/officeDocument/2006/relationships/hyperlink" Target="https://learn.microsoft.com/azure/governance/policy/overview" TargetMode="External"/><Relationship Id="rId13" Type="http://schemas.openxmlformats.org/officeDocument/2006/relationships/hyperlink" Target="https://learn.microsoft.com/azure/role-based-access-control/overview" TargetMode="External"/><Relationship Id="rId21" Type="http://schemas.openxmlformats.org/officeDocument/2006/relationships/hyperlink" Target="https://learn.microsoft.com/azure/security/fundamentals/overview" TargetMode="External"/><Relationship Id="rId12" Type="http://schemas.openxmlformats.org/officeDocument/2006/relationships/hyperlink" Target="https://learn.microsoft.com/entra/fundamentals/what-is-ent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Entra, RBAC, service principals and Key Vault</dc:title>
  <dc:creator>LBS | Attendee edition v2 | 26 October 2026</dc:creator>
  <cp:keywords/>
  <dcterms:created xsi:type="dcterms:W3CDTF">2026-10-26T12:58:45Z</dcterms:created>
  <dcterms:modified xsi:type="dcterms:W3CDTF">2026-10-26T12:58:45Z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Portal-first beginner hands-on lab</vt:lpwstr>
  </property>
</Properties>
</file>