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2 AI practical: Document Intelligence</w:t>
      </w:r>
    </w:p>
    <w:p>
      <w:r>
        <w:t>LBS | Student guide | Synthetic training documents only</w:t>
      </w:r>
    </w:p>
    <w:p>
      <w:r>
        <w:t>Scheduled: 14:30-16:00 (90 minutes). This is a separate AI exercise, not a feature of either document-tracker sample.</w:t>
      </w:r>
    </w:p>
    <w:p>
      <w:pPr>
        <w:pStyle w:val="Heading1"/>
      </w:pPr>
      <w:r>
        <w:t>Purpose</w:t>
      </w:r>
    </w:p>
    <w:p>
      <w:r>
        <w:t>Explore how Azure AI Document Intelligence extracts text and structure from a document, inspect confidence and page-level results, and discuss where a human must verify the output. Extraction is not proof that a document is genuine, complete, correct, or approved.</w:t>
      </w:r>
    </w:p>
    <w:p>
      <w:pPr>
        <w:pStyle w:val="Heading1"/>
      </w:pPr>
      <w:r>
        <w:t>Safety and access</w:t>
      </w:r>
    </w:p>
    <w:p>
      <w:pPr>
        <w:pStyle w:val="ListBullet"/>
      </w:pPr>
      <w:r>
        <w:t>Use only the synthetic sample supplied or selected by the instructor. Never upload a real customer, employee, financial, identity, medical or otherwise personal document.</w:t>
      </w:r>
    </w:p>
    <w:p>
      <w:pPr>
        <w:pStyle w:val="ListBullet"/>
      </w:pPr>
      <w:r>
        <w:t>Use the instructor-provided Document Intelligence resource and approved portal/Studio sign-in. Do not create a resource, change its network or pricing settings, or copy endpoint keys/tokens into notes or evidence.</w:t>
      </w:r>
    </w:p>
    <w:p>
      <w:pPr>
        <w:pStyle w:val="ListBullet"/>
      </w:pPr>
      <w:r>
        <w:t>If a resource, sample, permission or network route is unavailable, observe the instructor demonstration or complete the printed-result review. Record Blocked/Not run; do not bypass access controls.</w:t>
      </w:r>
    </w:p>
    <w:p>
      <w:pPr>
        <w:pStyle w:val="ListBullet"/>
      </w:pPr>
      <w:r>
        <w:t>Follow the instructor's retention and cleanup instructions for uploaded training files. Do not treat an upload as private or automatically deleted.</w:t>
      </w:r>
    </w:p>
    <w:p>
      <w:pPr>
        <w:pStyle w:val="Heading1"/>
      </w:pPr>
      <w:r>
        <w:t>Instructor-provided sample</w:t>
      </w:r>
    </w:p>
    <w:p>
      <w:r>
        <w:t xml:space="preserve">Synthetic input (relative to the attendee-pack root): </w:t>
      </w:r>
      <w:hyperlink r:id="rId9">
        <w:r>
          <w:rPr>
            <w:rStyle w:val="Hyperlink"/>
          </w:rPr>
          <w:t>Labs/AzureAiDemo/Samples/fictional-application.pdf</w:t>
        </w:r>
      </w:hyperlink>
    </w:p>
    <w:p>
      <w:r>
        <w:t>This one-page PDF is for the AI practical only. It contains reference LBS-DEMO-2001, applicant Training Person, type ApplicationSummary, and the training-purposes-only marker. It is not a tracker input: the local tracker accepts its own strict fictional .txt format. Do not assume its .txt samples are valid PDF inputs for Document Intelligence, or upload the PDF to the tracker.</w:t>
      </w:r>
    </w:p>
    <w:p>
      <w:pPr>
        <w:pStyle w:val="Heading1"/>
      </w:pPr>
      <w:r>
        <w:t>90-minute activity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Time</w:t>
            </w:r>
          </w:p>
        </w:tc>
        <w:tc>
          <w:tcPr>
            <w:tcW w:type="dxa" w:w="2880"/>
          </w:tcPr>
          <w:p>
            <w:r>
              <w:t>Activity</w:t>
            </w:r>
          </w:p>
        </w:tc>
        <w:tc>
          <w:tcPr>
            <w:tcW w:type="dxa" w:w="2880"/>
          </w:tcPr>
          <w:p>
            <w:r>
              <w:t>Checkpoint</w:t>
            </w:r>
          </w:p>
        </w:tc>
      </w:tr>
      <w:tr>
        <w:tc>
          <w:tcPr>
            <w:tcW w:type="dxa" w:w="2880"/>
          </w:tcPr>
          <w:p>
            <w:r>
              <w:t>14:30-14:40</w:t>
            </w:r>
          </w:p>
        </w:tc>
        <w:tc>
          <w:tcPr>
            <w:tcW w:type="dxa" w:w="2880"/>
          </w:tcPr>
          <w:p>
            <w:r>
              <w:t>Instructor explains the service, supported input and responsible-use boundary.</w:t>
            </w:r>
          </w:p>
        </w:tc>
        <w:tc>
          <w:tcPr>
            <w:tcW w:type="dxa" w:w="2880"/>
          </w:tcPr>
          <w:p>
            <w:r>
              <w:t>State what extraction does not establish.</w:t>
            </w:r>
          </w:p>
        </w:tc>
      </w:tr>
      <w:tr>
        <w:tc>
          <w:tcPr>
            <w:tcW w:type="dxa" w:w="2880"/>
          </w:tcPr>
          <w:p>
            <w:r>
              <w:t>14:40-14:50</w:t>
            </w:r>
          </w:p>
        </w:tc>
        <w:tc>
          <w:tcPr>
            <w:tcW w:type="dxa" w:w="2880"/>
          </w:tcPr>
          <w:p>
            <w:r>
              <w:t>Open the instructor-designated Document Intelligence Studio/resource; confirm the correct training target.</w:t>
            </w:r>
          </w:p>
        </w:tc>
        <w:tc>
          <w:tcPr>
            <w:tcW w:type="dxa" w:w="2880"/>
          </w:tcPr>
          <w:p>
            <w:r>
              <w:t>No resource creation or credential copying.</w:t>
            </w:r>
          </w:p>
        </w:tc>
      </w:tr>
      <w:tr>
        <w:tc>
          <w:tcPr>
            <w:tcW w:type="dxa" w:w="2880"/>
          </w:tcPr>
          <w:p>
            <w:r>
              <w:t>14:50-15:15</w:t>
            </w:r>
          </w:p>
        </w:tc>
        <w:tc>
          <w:tcPr>
            <w:tcW w:type="dxa" w:w="2880"/>
          </w:tcPr>
          <w:p>
            <w:r>
              <w:t>Analyze the synthetic PDF with the instructor-selected Read or Layout model.</w:t>
            </w:r>
          </w:p>
        </w:tc>
        <w:tc>
          <w:tcPr>
            <w:tcW w:type="dxa" w:w="2880"/>
          </w:tcPr>
          <w:p>
            <w:r>
              <w:t>Observe extracted text; Layout may also return page structure and tables.</w:t>
            </w:r>
          </w:p>
        </w:tc>
      </w:tr>
      <w:tr>
        <w:tc>
          <w:tcPr>
            <w:tcW w:type="dxa" w:w="2880"/>
          </w:tcPr>
          <w:p>
            <w:r>
              <w:t>15:15-15:35</w:t>
            </w:r>
          </w:p>
        </w:tc>
        <w:tc>
          <w:tcPr>
            <w:tcW w:type="dxa" w:w="2880"/>
          </w:tcPr>
          <w:p>
            <w:r>
              <w:t>Compare visible text with the extracted result; inspect regions/confidence when available.</w:t>
            </w:r>
          </w:p>
        </w:tc>
        <w:tc>
          <w:tcPr>
            <w:tcW w:type="dxa" w:w="2880"/>
          </w:tcPr>
          <w:p>
            <w:r>
              <w:t>Verify the sample reference, applicant and type as text; identify one uncertain item.</w:t>
            </w:r>
          </w:p>
        </w:tc>
      </w:tr>
      <w:tr>
        <w:tc>
          <w:tcPr>
            <w:tcW w:type="dxa" w:w="2880"/>
          </w:tcPr>
          <w:p>
            <w:r>
              <w:t>15:35-15:50</w:t>
            </w:r>
          </w:p>
        </w:tc>
        <w:tc>
          <w:tcPr>
            <w:tcW w:type="dxa" w:w="2880"/>
          </w:tcPr>
          <w:p>
            <w:r>
              <w:t>Discuss errors, accessibility, data minimisation and where human validation belongs.</w:t>
            </w:r>
          </w:p>
        </w:tc>
        <w:tc>
          <w:tcPr>
            <w:tcW w:type="dxa" w:w="2880"/>
          </w:tcPr>
          <w:p>
            <w:r>
              <w:t>Separate extraction from business decision/approval.</w:t>
            </w:r>
          </w:p>
        </w:tc>
      </w:tr>
      <w:tr>
        <w:tc>
          <w:tcPr>
            <w:tcW w:type="dxa" w:w="2880"/>
          </w:tcPr>
          <w:p>
            <w:r>
              <w:t>15:50-16:00</w:t>
            </w:r>
          </w:p>
        </w:tc>
        <w:tc>
          <w:tcPr>
            <w:tcW w:type="dxa" w:w="2880"/>
          </w:tcPr>
          <w:p>
            <w:r>
              <w:t>Record evidence and clean up according to instructor direction.</w:t>
            </w:r>
          </w:p>
        </w:tc>
        <w:tc>
          <w:tcPr>
            <w:tcW w:type="dxa" w:w="2880"/>
          </w:tcPr>
          <w:p>
            <w:r>
              <w:t>No document contents or personal data in screenshots.</w:t>
            </w:r>
          </w:p>
        </w:tc>
      </w:tr>
    </w:tbl>
    <w:p>
      <w:pPr>
        <w:pStyle w:val="Heading1"/>
      </w:pPr>
      <w:r>
        <w:t>Student steps</w:t>
      </w:r>
    </w:p>
    <w:p>
      <w:pPr>
        <w:pStyle w:val="ListNumber"/>
      </w:pPr>
      <w:r>
        <w:t>Confirm the instructor has provided a fictional PDF/image and the approved training resource. If either is missing, switch to observation rather than uploading another document.</w:t>
      </w:r>
    </w:p>
    <w:p>
      <w:pPr>
        <w:pStyle w:val="ListNumber"/>
      </w:pPr>
      <w:r>
        <w:t>Open the instructor-designated Studio page and select the assigned resource/model. Do not paste an endpoint, key or token into this guide, chat, shared notes or a screenshot.</w:t>
      </w:r>
    </w:p>
    <w:p>
      <w:pPr>
        <w:pStyle w:val="ListNumber"/>
      </w:pPr>
      <w:r>
        <w:t>Analyze the linked fictional-application.pdf once with the instructor-selected Read or Layout model. Wait for the result, then inspect the page preview alongside the extracted text/layout.</w:t>
      </w:r>
    </w:p>
    <w:p>
      <w:pPr>
        <w:pStyle w:val="ListNumber"/>
      </w:pPr>
      <w:r>
        <w:t>Choose two visible elements. For each, compare the source to the extracted value and note whether the result is clear, uncertain or incorrect. If confidence is shown, explain that confidence is not a correctness guarantee.</w:t>
      </w:r>
    </w:p>
    <w:p>
      <w:pPr>
        <w:pStyle w:val="ListNumber"/>
      </w:pPr>
      <w:r>
        <w:t>Read returns recognized text. Layout can return recognized text and structural elements, including tables when present. Do not claim that Read automatically extracts semantic key-value fields; validate any interpretation separately.</w:t>
      </w:r>
    </w:p>
    <w:p>
      <w:pPr>
        <w:pStyle w:val="ListNumber"/>
      </w:pPr>
      <w:r>
        <w:t>Discuss a safe application design: minimise the submitted data, validate required values, route uncertain cases to a person, protect stored outputs, and define retention before production use.</w:t>
      </w:r>
    </w:p>
    <w:p>
      <w:pPr>
        <w:pStyle w:val="ListNumber"/>
      </w:pPr>
      <w:r>
        <w:t>Record only the model/activity, pass/blocked/not-run outcome and a brief non-sensitive observation. Do not include document text, names, IDs, keys or endpoint details.</w:t>
      </w:r>
    </w:p>
    <w:p>
      <w:pPr>
        <w:pStyle w:val="Heading1"/>
      </w:pPr>
      <w:r>
        <w:t>Reflection</w:t>
      </w:r>
    </w:p>
    <w:p>
      <w:pPr>
        <w:pStyle w:val="ListBullet"/>
      </w:pPr>
      <w:r>
        <w:t>Which information was extracted reliably, and which item needed a person to check it?</w:t>
      </w:r>
    </w:p>
    <w:p>
      <w:pPr>
        <w:pStyle w:val="ListBullet"/>
      </w:pPr>
      <w:r>
        <w:t>What validation would be needed before an application could use this output?</w:t>
      </w:r>
    </w:p>
    <w:p>
      <w:pPr>
        <w:pStyle w:val="ListBullet"/>
      </w:pPr>
      <w:r>
        <w:t>What should happen when a field is missing, ambiguous or low confidence?</w:t>
      </w:r>
    </w:p>
    <w:p>
      <w:pPr>
        <w:pStyle w:val="ListBullet"/>
      </w:pPr>
      <w:r>
        <w:t>Why is Document Intelligence not the same as a credit decision or document approval?</w:t>
      </w:r>
    </w:p>
    <w:p>
      <w:pPr>
        <w:pStyle w:val="Heading1"/>
      </w:pPr>
      <w:r>
        <w:t>Evidence record</w:t>
      </w:r>
    </w:p>
    <w:tbl>
      <w:tblPr>
        <w:tblStyle w:val="LightShading-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Student note</w:t>
            </w:r>
          </w:p>
        </w:tc>
      </w:tr>
      <w:tr>
        <w:tc>
          <w:tcPr>
            <w:tcW w:type="dxa" w:w="4320"/>
          </w:tcPr>
          <w:p>
            <w:r>
              <w:t>Route (hands-on / observed / offline)</w:t>
            </w:r>
          </w:p>
        </w:tc>
        <w:tc>
          <w:tcPr>
            <w:tcW w:type="dxa" w:w="4320"/>
          </w:tcPr>
          <w:p>
            <w:r/>
          </w:p>
        </w:tc>
      </w:tr>
      <w:tr>
        <w:tc>
          <w:tcPr>
            <w:tcW w:type="dxa" w:w="4320"/>
          </w:tcPr>
          <w:p>
            <w:r>
              <w:t>Approved resource selected (name only)</w:t>
            </w:r>
          </w:p>
        </w:tc>
        <w:tc>
          <w:tcPr>
            <w:tcW w:type="dxa" w:w="4320"/>
          </w:tcPr>
          <w:p>
            <w:r/>
          </w:p>
        </w:tc>
      </w:tr>
      <w:tr>
        <w:tc>
          <w:tcPr>
            <w:tcW w:type="dxa" w:w="4320"/>
          </w:tcPr>
          <w:p>
            <w:r>
              <w:t>Outcome (Passed / Blocked / Not run)</w:t>
            </w:r>
          </w:p>
        </w:tc>
        <w:tc>
          <w:tcPr>
            <w:tcW w:type="dxa" w:w="4320"/>
          </w:tcPr>
          <w:p>
            <w:r/>
          </w:p>
        </w:tc>
      </w:tr>
      <w:tr>
        <w:tc>
          <w:tcPr>
            <w:tcW w:type="dxa" w:w="4320"/>
          </w:tcPr>
          <w:p>
            <w:r>
              <w:t>One extraction verified</w:t>
            </w:r>
          </w:p>
        </w:tc>
        <w:tc>
          <w:tcPr>
            <w:tcW w:type="dxa" w:w="4320"/>
          </w:tcPr>
          <w:p>
            <w:r/>
          </w:p>
        </w:tc>
      </w:tr>
      <w:tr>
        <w:tc>
          <w:tcPr>
            <w:tcW w:type="dxa" w:w="4320"/>
          </w:tcPr>
          <w:p>
            <w:r>
              <w:t>One limitation or human-review need</w:t>
            </w:r>
          </w:p>
        </w:tc>
        <w:tc>
          <w:tcPr>
            <w:tcW w:type="dxa" w:w="4320"/>
          </w:tcPr>
          <w:p>
            <w:r/>
          </w:p>
        </w:tc>
      </w:tr>
      <w:tr>
        <w:tc>
          <w:tcPr>
            <w:tcW w:type="dxa" w:w="4320"/>
          </w:tcPr>
          <w:p>
            <w:r>
              <w:t>Cleanup confirmed with instructor</w:t>
            </w:r>
          </w:p>
        </w:tc>
        <w:tc>
          <w:tcPr>
            <w:tcW w:type="dxa" w:w="4320"/>
          </w:tcPr>
          <w:p>
            <w:r/>
          </w:p>
        </w:tc>
      </w:tr>
    </w:tbl>
    <w:p>
      <w:r>
        <w:t>The service is an information-extraction tool. It does not make an eligibility decision, validate authenticity, or connect to either tracker.</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Labs/AzureAiDemo/Samples/fictional-applica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