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r>
        <w:rPr>
          <w:rFonts w:ascii="Times New Roman" w:hAnsi="Times New Roman" w:eastAsia="Times New Roman"/>
          <w:b/>
          <w:i w:val="0"/>
          <w:sz w:val="28"/>
        </w:rPr>
        <w:t>[Nombre de la institución educativa]</w:t>
      </w:r>
    </w:p>
    <w:p>
      <w:pPr>
        <w:spacing w:line="480" w:lineRule="auto" w:after="0"/>
        <w:jc w:val="center"/>
      </w:pPr>
    </w:p>
    <w:p>
      <w:pPr>
        <w:spacing w:line="480" w:lineRule="auto" w:after="0"/>
        <w:jc w:val="center"/>
      </w:pPr>
      <w:r>
        <w:rPr>
          <w:rFonts w:ascii="Times New Roman" w:hAnsi="Times New Roman" w:eastAsia="Times New Roman"/>
          <w:b w:val="0"/>
          <w:i w:val="0"/>
          <w:sz w:val="24"/>
        </w:rPr>
        <w:t>[Nombre de la licenciatura / programa académico]</w:t>
      </w: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r>
        <w:rPr>
          <w:rFonts w:ascii="Times New Roman" w:hAnsi="Times New Roman" w:eastAsia="Times New Roman"/>
          <w:b/>
          <w:i w:val="0"/>
          <w:sz w:val="32"/>
        </w:rPr>
        <w:t>CONCEPTOS FUNDAMENTALES DE LA PSICOLOGÍA EDUCATIVA</w:t>
      </w:r>
    </w:p>
    <w:p>
      <w:pPr>
        <w:spacing w:line="480" w:lineRule="auto" w:after="0"/>
        <w:jc w:val="center"/>
      </w:pPr>
      <w:r>
        <w:rPr>
          <w:rFonts w:ascii="Times New Roman" w:hAnsi="Times New Roman" w:eastAsia="Times New Roman"/>
          <w:b w:val="0"/>
          <w:i/>
          <w:sz w:val="26"/>
        </w:rPr>
        <w:t>Investigación documental</w:t>
      </w: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r>
        <w:rPr>
          <w:rFonts w:ascii="Times New Roman" w:hAnsi="Times New Roman" w:eastAsia="Times New Roman"/>
          <w:b w:val="0"/>
          <w:i w:val="0"/>
          <w:sz w:val="24"/>
        </w:rPr>
        <w:t>Asignatura: Psicología Educativa</w:t>
      </w:r>
    </w:p>
    <w:p>
      <w:pPr>
        <w:spacing w:line="480" w:lineRule="auto" w:after="0"/>
        <w:jc w:val="center"/>
      </w:pPr>
      <w:r>
        <w:rPr>
          <w:rFonts w:ascii="Times New Roman" w:hAnsi="Times New Roman" w:eastAsia="Times New Roman"/>
          <w:b w:val="0"/>
          <w:i w:val="0"/>
          <w:sz w:val="24"/>
        </w:rPr>
        <w:t>Alumno(a): [Nombre completo del estudiante]</w:t>
      </w:r>
    </w:p>
    <w:p>
      <w:pPr>
        <w:spacing w:line="480" w:lineRule="auto" w:after="0"/>
        <w:jc w:val="center"/>
      </w:pPr>
      <w:r>
        <w:rPr>
          <w:rFonts w:ascii="Times New Roman" w:hAnsi="Times New Roman" w:eastAsia="Times New Roman"/>
          <w:b w:val="0"/>
          <w:i w:val="0"/>
          <w:sz w:val="24"/>
        </w:rPr>
        <w:t>Docente: [Nombre del docente]</w:t>
      </w:r>
    </w:p>
    <w:p>
      <w:pPr>
        <w:spacing w:line="480" w:lineRule="auto" w:after="0"/>
        <w:jc w:val="center"/>
      </w:pPr>
      <w:r>
        <w:rPr>
          <w:rFonts w:ascii="Times New Roman" w:hAnsi="Times New Roman" w:eastAsia="Times New Roman"/>
          <w:b w:val="0"/>
          <w:i w:val="0"/>
          <w:sz w:val="24"/>
        </w:rPr>
        <w:t>Grupo / Semestre: [Grupo]</w:t>
      </w: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p>
    <w:p>
      <w:pPr>
        <w:spacing w:line="480" w:lineRule="auto" w:after="0"/>
        <w:jc w:val="center"/>
      </w:pPr>
      <w:r>
        <w:rPr>
          <w:rFonts w:ascii="Times New Roman" w:hAnsi="Times New Roman" w:eastAsia="Times New Roman"/>
          <w:b w:val="0"/>
          <w:i w:val="0"/>
          <w:sz w:val="24"/>
        </w:rPr>
        <w:t>Ciudad de México, 14 de agosto de 2026</w:t>
      </w:r>
    </w:p>
    <w:p>
      <w:r>
        <w:br w:type="page"/>
      </w:r>
    </w:p>
    <w:p>
      <w:pPr>
        <w:spacing w:line="480" w:lineRule="auto"/>
        <w:jc w:val="center"/>
      </w:pPr>
      <w:r>
        <w:rPr>
          <w:rFonts w:ascii="Times New Roman" w:hAnsi="Times New Roman" w:eastAsia="Times New Roman"/>
          <w:b/>
          <w:i w:val="0"/>
          <w:sz w:val="28"/>
        </w:rPr>
        <w:t>Conceptos Fundamentales de la Psicología Educativa</w:t>
      </w:r>
    </w:p>
    <w:p>
      <w:pPr>
        <w:spacing w:line="480" w:lineRule="auto"/>
      </w:pPr>
    </w:p>
    <w:p>
      <w:pPr>
        <w:spacing w:line="480" w:lineRule="auto" w:before="240" w:after="0"/>
        <w:jc w:val="center"/>
      </w:pPr>
      <w:r>
        <w:rPr>
          <w:rFonts w:ascii="Times New Roman" w:hAnsi="Times New Roman" w:eastAsia="Times New Roman"/>
          <w:b/>
          <w:i w:val="0"/>
          <w:sz w:val="24"/>
        </w:rPr>
        <w:t>Introducción</w:t>
      </w:r>
    </w:p>
    <w:p>
      <w:pPr>
        <w:spacing w:line="480" w:lineRule="auto" w:after="0"/>
        <w:ind w:firstLine="720"/>
        <w:jc w:val="both"/>
      </w:pPr>
      <w:r>
        <w:rPr>
          <w:rFonts w:ascii="Times New Roman" w:hAnsi="Times New Roman" w:eastAsia="Times New Roman"/>
          <w:b w:val="0"/>
          <w:i w:val="0"/>
          <w:sz w:val="24"/>
        </w:rPr>
        <w:t>La psicología educativa estudia cómo aprenden las personas y qué estrategias de enseñanza favorecen ese aprendizaje (Woolfolk, 2010). A continuación se desarrollan cinco conceptos fundamentales de esta disciplina: cada uno incluye una definición sustentada en una fuente académica, una explicación con palabras propias y un ejemplo de su aplicación en el aula.</w:t>
      </w:r>
    </w:p>
    <w:p>
      <w:pPr>
        <w:spacing w:line="480" w:lineRule="auto" w:before="240" w:after="0"/>
        <w:jc w:val="center"/>
      </w:pPr>
      <w:r>
        <w:rPr>
          <w:rFonts w:ascii="Times New Roman" w:hAnsi="Times New Roman" w:eastAsia="Times New Roman"/>
          <w:b/>
          <w:i w:val="0"/>
          <w:sz w:val="24"/>
        </w:rPr>
        <w:t>1. Aprendizaje significativo</w:t>
      </w:r>
    </w:p>
    <w:p>
      <w:pPr>
        <w:spacing w:line="480" w:lineRule="auto" w:after="0"/>
        <w:ind w:firstLine="720"/>
        <w:jc w:val="both"/>
      </w:pPr>
      <w:r>
        <w:rPr>
          <w:rFonts w:ascii="Times New Roman" w:hAnsi="Times New Roman" w:eastAsia="Times New Roman"/>
          <w:b w:val="0"/>
          <w:i w:val="0"/>
          <w:sz w:val="24"/>
        </w:rPr>
        <w:t>Ausubel (1976) lo definió como el proceso en que una nueva información se relaciona de manera sustantiva con los conocimientos que el alumno ya posee, de modo que el contenido adquiere significado propio para quien aprende. En otras palabras, nada se aprende de forma aislada: la información nueva se "engancha" a ideas previas, y esa conexión vuelve el aprendizaje más duradero y comprensible que la simple memorización. Por ejemplo, antes de explicar las fracciones un profesor pregunta a sus alumnos cómo reparten una pizza entre amigos; al partir de esa experiencia cotidiana, el concepto matemático se comprende y se recuerda mejor.</w:t>
      </w:r>
    </w:p>
    <w:p>
      <w:pPr>
        <w:spacing w:line="480" w:lineRule="auto" w:before="240" w:after="0"/>
        <w:jc w:val="center"/>
      </w:pPr>
      <w:r>
        <w:rPr>
          <w:rFonts w:ascii="Times New Roman" w:hAnsi="Times New Roman" w:eastAsia="Times New Roman"/>
          <w:b/>
          <w:i w:val="0"/>
          <w:sz w:val="24"/>
        </w:rPr>
        <w:t>2. Zona de desarrollo próximo</w:t>
      </w:r>
    </w:p>
    <w:p>
      <w:pPr>
        <w:spacing w:line="480" w:lineRule="auto" w:after="0"/>
        <w:ind w:firstLine="720"/>
        <w:jc w:val="both"/>
      </w:pPr>
      <w:r>
        <w:rPr>
          <w:rFonts w:ascii="Times New Roman" w:hAnsi="Times New Roman" w:eastAsia="Times New Roman"/>
          <w:b w:val="0"/>
          <w:i w:val="0"/>
          <w:sz w:val="24"/>
        </w:rPr>
        <w:t>Vygotsky (1978) la definió como la distancia entre lo que el estudiante puede resolver de manera independiente y lo que es capaz de lograr con la guía de un adulto o de un compañero más capaz. Es decir, existe una franja intermedia entre lo que el alumno ya domina y lo que aún no alcanza solo, y precisamente ahí ocurre el aprendizaje más productivo, porque el reto es alcanzable con apoyo. Por ejemplo, un estudiante que no resuelve solo una ecuación logra hacerlo cuando la maestra le hace preguntas guía como "¿qué operación harías primero?".</w:t>
      </w:r>
    </w:p>
    <w:p>
      <w:pPr>
        <w:spacing w:line="480" w:lineRule="auto" w:before="240" w:after="0"/>
        <w:jc w:val="center"/>
      </w:pPr>
      <w:r>
        <w:rPr>
          <w:rFonts w:ascii="Times New Roman" w:hAnsi="Times New Roman" w:eastAsia="Times New Roman"/>
          <w:b/>
          <w:i w:val="0"/>
          <w:sz w:val="24"/>
        </w:rPr>
        <w:t>3. Andamiaje educativo (scaffolding)</w:t>
      </w:r>
    </w:p>
    <w:p>
      <w:pPr>
        <w:spacing w:line="480" w:lineRule="auto" w:after="0"/>
        <w:ind w:firstLine="720"/>
        <w:jc w:val="both"/>
      </w:pPr>
      <w:r>
        <w:rPr>
          <w:rFonts w:ascii="Times New Roman" w:hAnsi="Times New Roman" w:eastAsia="Times New Roman"/>
          <w:b w:val="0"/>
          <w:i w:val="0"/>
          <w:sz w:val="24"/>
        </w:rPr>
        <w:t>Wood, Bruner y Ross (1976) lo definieron como el proceso mediante el cual un adulto o un par más competente ajusta los elementos de una tarea que exceden las capacidades del aprendiz, para que este pueda completarla con apoyo temporal. En otras palabras, es la manera práctica en que un docente guía al estudiante a través de su zona de desarrollo próximo, retirando la ayuda poco a poco conforme gana autonomía. Por ejemplo, al enseñar a redactar un ensayo el docente entrega primero una plantilla con los apartados a seguir y la retira gradualmente hasta que el alumno escribe sin apoyo.</w:t>
      </w:r>
    </w:p>
    <w:p>
      <w:pPr>
        <w:spacing w:line="480" w:lineRule="auto" w:before="240" w:after="0"/>
        <w:jc w:val="center"/>
      </w:pPr>
      <w:r>
        <w:rPr>
          <w:rFonts w:ascii="Times New Roman" w:hAnsi="Times New Roman" w:eastAsia="Times New Roman"/>
          <w:b/>
          <w:i w:val="0"/>
          <w:sz w:val="24"/>
        </w:rPr>
        <w:t>4. Autorregulación del aprendizaje</w:t>
      </w:r>
    </w:p>
    <w:p>
      <w:pPr>
        <w:spacing w:line="480" w:lineRule="auto" w:after="0"/>
        <w:ind w:firstLine="720"/>
        <w:jc w:val="both"/>
      </w:pPr>
      <w:r>
        <w:rPr>
          <w:rFonts w:ascii="Times New Roman" w:hAnsi="Times New Roman" w:eastAsia="Times New Roman"/>
          <w:b w:val="0"/>
          <w:i w:val="0"/>
          <w:sz w:val="24"/>
        </w:rPr>
        <w:t>Zimmerman (2002) la definió como el conjunto de pensamientos, sentimientos y acciones generados por el propio estudiante para alcanzar sus metas de aprendizaje, en tres fases: planeación, ejecución y autorreflexión. Esto significa que el estudiante se hace cargo de su proceso: fija metas, elige estrategias, vigila su avance y evalúa sus resultados para ajustar lo que hace la próxima vez, en vez de depender solo de la supervisión del profesor. Por ejemplo, un estudiante que planea un calendario de estudio antes de un examen, verifica su comprensión mientras estudia y, tras conocer su calificación, cambia de técnica para el siguiente parcial.</w:t>
      </w:r>
    </w:p>
    <w:p>
      <w:pPr>
        <w:spacing w:line="480" w:lineRule="auto" w:before="240" w:after="0"/>
        <w:jc w:val="center"/>
      </w:pPr>
      <w:r>
        <w:rPr>
          <w:rFonts w:ascii="Times New Roman" w:hAnsi="Times New Roman" w:eastAsia="Times New Roman"/>
          <w:b/>
          <w:i w:val="0"/>
          <w:sz w:val="24"/>
        </w:rPr>
        <w:t>5. Motivación académica: teoría de la autodeterminación</w:t>
      </w:r>
    </w:p>
    <w:p>
      <w:pPr>
        <w:spacing w:line="480" w:lineRule="auto" w:after="0"/>
        <w:ind w:firstLine="720"/>
        <w:jc w:val="both"/>
      </w:pPr>
      <w:r>
        <w:rPr>
          <w:rFonts w:ascii="Times New Roman" w:hAnsi="Times New Roman" w:eastAsia="Times New Roman"/>
          <w:b w:val="0"/>
          <w:i w:val="0"/>
          <w:sz w:val="24"/>
        </w:rPr>
        <w:t>Ryan y Deci (2000) explicaron la motivación como un continuo que va de la extrínseca, movida por recompensas o castigos externos, a la intrínseca, movida por el interés propio, la cual se fortalece cuando se satisfacen las necesidades de autonomía, competencia y relación con los demás. Aplicado al aula, esto explica por qué algunos estudiantes solo buscan la calificación mientras otros disfrutan aprender por interés genuino. Por ejemplo, cuando una profesora deja elegir entre varios proyectos, plantea retos alcanzables y fomenta el trabajo en equipo, los estudiantes se involucran más allá de la nota.</w:t>
      </w:r>
    </w:p>
    <w:p>
      <w:pPr>
        <w:spacing w:line="480" w:lineRule="auto" w:before="240" w:after="0"/>
        <w:jc w:val="center"/>
      </w:pPr>
      <w:r>
        <w:rPr>
          <w:rFonts w:ascii="Times New Roman" w:hAnsi="Times New Roman" w:eastAsia="Times New Roman"/>
          <w:b/>
          <w:i w:val="0"/>
          <w:sz w:val="24"/>
        </w:rPr>
        <w:t>Conclusión</w:t>
      </w:r>
    </w:p>
    <w:p>
      <w:pPr>
        <w:spacing w:line="480" w:lineRule="auto" w:after="0"/>
        <w:ind w:firstLine="720"/>
        <w:jc w:val="both"/>
      </w:pPr>
      <w:r>
        <w:rPr>
          <w:rFonts w:ascii="Times New Roman" w:hAnsi="Times New Roman" w:eastAsia="Times New Roman"/>
          <w:b w:val="0"/>
          <w:i w:val="0"/>
          <w:sz w:val="24"/>
        </w:rPr>
        <w:t>Estos cinco conceptos muestran que el aprendizaje escolar depende de los conocimientos previos del estudiante, del apoyo social que recibe, de su capacidad para dirigir su propio proceso y de su motivación personal, elementos que el docente puede aprovechar para diseñar una enseñanza más pertinente.</w:t>
      </w:r>
    </w:p>
    <w:p>
      <w:r>
        <w:br w:type="page"/>
      </w:r>
    </w:p>
    <w:p>
      <w:pPr>
        <w:spacing w:line="480" w:lineRule="auto" w:before="240" w:after="0"/>
        <w:jc w:val="center"/>
      </w:pPr>
      <w:r>
        <w:rPr>
          <w:rFonts w:ascii="Times New Roman" w:hAnsi="Times New Roman" w:eastAsia="Times New Roman"/>
          <w:b/>
          <w:i w:val="0"/>
          <w:sz w:val="24"/>
        </w:rPr>
        <w:t>Referencias</w:t>
      </w:r>
    </w:p>
    <w:p>
      <w:pPr>
        <w:spacing w:line="480" w:lineRule="auto" w:after="0"/>
        <w:ind w:left="720" w:hanging="720"/>
      </w:pPr>
      <w:r>
        <w:rPr>
          <w:rFonts w:ascii="Times New Roman" w:hAnsi="Times New Roman" w:eastAsia="Times New Roman"/>
          <w:b w:val="0"/>
          <w:i w:val="0"/>
          <w:sz w:val="24"/>
        </w:rPr>
        <w:t>Ausubel, D. P. (1976). Psicología educativa: Un punto de vista cognoscitivo. Trillas.</w:t>
      </w:r>
    </w:p>
    <w:p>
      <w:pPr>
        <w:spacing w:line="480" w:lineRule="auto" w:after="0"/>
        <w:ind w:left="720" w:hanging="720"/>
      </w:pPr>
      <w:r>
        <w:rPr>
          <w:rFonts w:ascii="Times New Roman" w:hAnsi="Times New Roman" w:eastAsia="Times New Roman"/>
          <w:b w:val="0"/>
          <w:i w:val="0"/>
          <w:sz w:val="24"/>
        </w:rPr>
        <w:t>Ryan, R. M., &amp; Deci, E. L. (2000). Self-determination theory and the facilitation of intrinsic motivation, social development, and well-being. American Psychologist, 55(1), 68–78. https://doi.org/10.1037/0003-066X.55.1.68</w:t>
      </w:r>
    </w:p>
    <w:p>
      <w:pPr>
        <w:spacing w:line="480" w:lineRule="auto" w:after="0"/>
        <w:ind w:left="720" w:hanging="720"/>
      </w:pPr>
      <w:r>
        <w:rPr>
          <w:rFonts w:ascii="Times New Roman" w:hAnsi="Times New Roman" w:eastAsia="Times New Roman"/>
          <w:b w:val="0"/>
          <w:i w:val="0"/>
          <w:sz w:val="24"/>
        </w:rPr>
        <w:t>Vygotsky, L. S. (1978). Mind in society: The development of higher psychological processes. Harvard University Press.</w:t>
      </w:r>
    </w:p>
    <w:p>
      <w:pPr>
        <w:spacing w:line="480" w:lineRule="auto" w:after="0"/>
        <w:ind w:left="720" w:hanging="720"/>
      </w:pPr>
      <w:r>
        <w:rPr>
          <w:rFonts w:ascii="Times New Roman" w:hAnsi="Times New Roman" w:eastAsia="Times New Roman"/>
          <w:b w:val="0"/>
          <w:i w:val="0"/>
          <w:sz w:val="24"/>
        </w:rPr>
        <w:t>Wood, D., Bruner, J. S., &amp; Ross, G. (1976). The role of tutoring in problem solving. Journal of Child Psychology and Psychiatry, 17(2), 89–100. https://doi.org/10.1111/j.1469-7610.1976.tb00381.x</w:t>
      </w:r>
    </w:p>
    <w:p>
      <w:pPr>
        <w:spacing w:line="480" w:lineRule="auto" w:after="0"/>
        <w:ind w:left="720" w:hanging="720"/>
      </w:pPr>
      <w:r>
        <w:rPr>
          <w:rFonts w:ascii="Times New Roman" w:hAnsi="Times New Roman" w:eastAsia="Times New Roman"/>
          <w:b w:val="0"/>
          <w:i w:val="0"/>
          <w:sz w:val="24"/>
        </w:rPr>
        <w:t>Woolfolk, A. (2010). Educational psychology (11th ed.). Pearson Education.</w:t>
      </w:r>
    </w:p>
    <w:p>
      <w:pPr>
        <w:spacing w:line="480" w:lineRule="auto" w:after="0"/>
        <w:ind w:left="720" w:hanging="720"/>
      </w:pPr>
      <w:r>
        <w:rPr>
          <w:rFonts w:ascii="Times New Roman" w:hAnsi="Times New Roman" w:eastAsia="Times New Roman"/>
          <w:b w:val="0"/>
          <w:i w:val="0"/>
          <w:sz w:val="24"/>
        </w:rPr>
        <w:t>Zimmerman, B. J. (2002). Becoming a self-regulated learner: An overview. Theory Into Practice, 41(2), 64–70. https://doi.org/10.1207/s15430421tip4102_2</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val="0"/>
        <w:i w:val="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