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r>
        <w:rPr>
          <w:rFonts w:ascii="Times New Roman" w:hAnsi="Times New Roman" w:eastAsia="Times New Roman"/>
          <w:b/>
          <w:i w:val="0"/>
          <w:sz w:val="28"/>
        </w:rPr>
        <w:t>[Nombre de la institución educativa]</w:t>
      </w:r>
    </w:p>
    <w:p>
      <w:pPr>
        <w:spacing w:line="480" w:lineRule="auto" w:after="0"/>
        <w:jc w:val="center"/>
      </w:pPr>
    </w:p>
    <w:p>
      <w:pPr>
        <w:spacing w:line="480" w:lineRule="auto" w:after="0"/>
        <w:jc w:val="center"/>
      </w:pPr>
      <w:r>
        <w:rPr>
          <w:rFonts w:ascii="Times New Roman" w:hAnsi="Times New Roman" w:eastAsia="Times New Roman"/>
          <w:b w:val="0"/>
          <w:i w:val="0"/>
          <w:sz w:val="24"/>
        </w:rPr>
        <w:t>[Nombre de la licenciatura / programa académico]</w:t>
      </w: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r>
        <w:rPr>
          <w:rFonts w:ascii="Times New Roman" w:hAnsi="Times New Roman" w:eastAsia="Times New Roman"/>
          <w:b/>
          <w:i w:val="0"/>
          <w:sz w:val="32"/>
        </w:rPr>
        <w:t>CONCEPTOS FUNDAMENTALES DE LA PSICOLOGÍA EDUCATIVA</w:t>
      </w:r>
    </w:p>
    <w:p>
      <w:pPr>
        <w:spacing w:line="480" w:lineRule="auto" w:after="0"/>
        <w:jc w:val="center"/>
      </w:pPr>
      <w:r>
        <w:rPr>
          <w:rFonts w:ascii="Times New Roman" w:hAnsi="Times New Roman" w:eastAsia="Times New Roman"/>
          <w:b w:val="0"/>
          <w:i/>
          <w:sz w:val="26"/>
        </w:rPr>
        <w:t>Investigación documental</w:t>
      </w: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r>
        <w:rPr>
          <w:rFonts w:ascii="Times New Roman" w:hAnsi="Times New Roman" w:eastAsia="Times New Roman"/>
          <w:b w:val="0"/>
          <w:i w:val="0"/>
          <w:sz w:val="24"/>
        </w:rPr>
        <w:t>Asignatura: Psicología Educativa</w:t>
      </w:r>
    </w:p>
    <w:p>
      <w:pPr>
        <w:spacing w:line="480" w:lineRule="auto" w:after="0"/>
        <w:jc w:val="center"/>
      </w:pPr>
      <w:r>
        <w:rPr>
          <w:rFonts w:ascii="Times New Roman" w:hAnsi="Times New Roman" w:eastAsia="Times New Roman"/>
          <w:b w:val="0"/>
          <w:i w:val="0"/>
          <w:sz w:val="24"/>
        </w:rPr>
        <w:t>Alumno(a): [Nombre completo del estudiante]</w:t>
      </w:r>
    </w:p>
    <w:p>
      <w:pPr>
        <w:spacing w:line="480" w:lineRule="auto" w:after="0"/>
        <w:jc w:val="center"/>
      </w:pPr>
      <w:r>
        <w:rPr>
          <w:rFonts w:ascii="Times New Roman" w:hAnsi="Times New Roman" w:eastAsia="Times New Roman"/>
          <w:b w:val="0"/>
          <w:i w:val="0"/>
          <w:sz w:val="24"/>
        </w:rPr>
        <w:t>Docente: [Nombre del docente]</w:t>
      </w:r>
    </w:p>
    <w:p>
      <w:pPr>
        <w:spacing w:line="480" w:lineRule="auto" w:after="0"/>
        <w:jc w:val="center"/>
      </w:pPr>
      <w:r>
        <w:rPr>
          <w:rFonts w:ascii="Times New Roman" w:hAnsi="Times New Roman" w:eastAsia="Times New Roman"/>
          <w:b w:val="0"/>
          <w:i w:val="0"/>
          <w:sz w:val="24"/>
        </w:rPr>
        <w:t>Grupo / Semestre: [Grupo]</w:t>
      </w: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p>
    <w:p>
      <w:pPr>
        <w:spacing w:line="480" w:lineRule="auto" w:after="0"/>
        <w:jc w:val="center"/>
      </w:pPr>
      <w:r>
        <w:rPr>
          <w:rFonts w:ascii="Times New Roman" w:hAnsi="Times New Roman" w:eastAsia="Times New Roman"/>
          <w:b w:val="0"/>
          <w:i w:val="0"/>
          <w:sz w:val="24"/>
        </w:rPr>
        <w:t>Ciudad de México, 14 de agosto de 2026</w:t>
      </w:r>
    </w:p>
    <w:p>
      <w:r>
        <w:br w:type="page"/>
      </w:r>
    </w:p>
    <w:p>
      <w:pPr>
        <w:spacing w:line="480" w:lineRule="auto"/>
        <w:jc w:val="center"/>
      </w:pPr>
      <w:r>
        <w:rPr>
          <w:rFonts w:ascii="Times New Roman" w:hAnsi="Times New Roman" w:eastAsia="Times New Roman"/>
          <w:b/>
          <w:i w:val="0"/>
          <w:sz w:val="28"/>
        </w:rPr>
        <w:t>Conceptos Fundamentales de la Psicología Educativa</w:t>
      </w:r>
    </w:p>
    <w:p>
      <w:pPr>
        <w:spacing w:line="480" w:lineRule="auto"/>
      </w:pPr>
    </w:p>
    <w:p>
      <w:pPr>
        <w:spacing w:line="480" w:lineRule="auto" w:before="240" w:after="0"/>
        <w:jc w:val="center"/>
      </w:pPr>
      <w:r>
        <w:rPr>
          <w:rFonts w:ascii="Times New Roman" w:hAnsi="Times New Roman" w:eastAsia="Times New Roman"/>
          <w:b/>
          <w:i w:val="0"/>
          <w:sz w:val="24"/>
        </w:rPr>
        <w:t>Introducción</w:t>
      </w:r>
    </w:p>
    <w:p>
      <w:pPr>
        <w:spacing w:line="480" w:lineRule="auto" w:after="0"/>
        <w:ind w:firstLine="720"/>
        <w:jc w:val="both"/>
      </w:pPr>
      <w:r>
        <w:rPr>
          <w:rFonts w:ascii="Times New Roman" w:hAnsi="Times New Roman" w:eastAsia="Times New Roman"/>
          <w:b w:val="0"/>
          <w:i w:val="0"/>
          <w:sz w:val="24"/>
        </w:rPr>
        <w:t>La psicología educativa es la rama de la psicología que se encarga de estudiar cómo aprenden las personas, qué procesos cognitivos, sociales y afectivos intervienen en el aprendizaje, y qué estrategias de enseñanza favorecen un aprendizaje más eficaz dentro y fuera del aula (Woolfolk, 2010). Se trata de una disciplina aplicada que retoma teorías del desarrollo, la cognición y la motivación humana para traducirlas en herramientas útiles para el trabajo docente. Conocer sus conceptos fundamentales permite a los futuros profesionales de la educación diseñar experiencias de enseñanza más pertinentes para las necesidades reales de sus estudiantes.</w:t>
      </w:r>
    </w:p>
    <w:p>
      <w:pPr>
        <w:spacing w:line="480" w:lineRule="auto" w:after="0"/>
        <w:ind w:firstLine="720"/>
        <w:jc w:val="both"/>
      </w:pPr>
      <w:r>
        <w:rPr>
          <w:rFonts w:ascii="Times New Roman" w:hAnsi="Times New Roman" w:eastAsia="Times New Roman"/>
          <w:b w:val="0"/>
          <w:i w:val="0"/>
          <w:sz w:val="24"/>
        </w:rPr>
        <w:t>El propósito de la presente investigación documental es identificar y desarrollar cinco conceptos centrales de la psicología educativa: el aprendizaje significativo, la zona de desarrollo próximo, el andamiaje educativo, la autorregulación del aprendizaje y la motivación académica desde la teoría de la autodeterminación. Para cada uno se presenta una definición sustentada en una fuente académica, una explicación con palabras propias y un ejemplo de su aplicación en un contexto escolar.</w:t>
      </w:r>
    </w:p>
    <w:p>
      <w:pPr>
        <w:spacing w:line="480" w:lineRule="auto" w:before="240" w:after="0"/>
        <w:jc w:val="center"/>
      </w:pPr>
      <w:r>
        <w:rPr>
          <w:rFonts w:ascii="Times New Roman" w:hAnsi="Times New Roman" w:eastAsia="Times New Roman"/>
          <w:b/>
          <w:i w:val="0"/>
          <w:sz w:val="24"/>
        </w:rPr>
        <w:t>1. Aprendizaje significativo</w:t>
      </w:r>
    </w:p>
    <w:p>
      <w:pPr>
        <w:spacing w:line="480" w:lineRule="auto" w:after="0"/>
        <w:ind w:firstLine="720"/>
        <w:jc w:val="both"/>
      </w:pPr>
      <w:r>
        <w:rPr>
          <w:rFonts w:ascii="Times New Roman" w:hAnsi="Times New Roman" w:eastAsia="Times New Roman"/>
          <w:b w:val="0"/>
          <w:i w:val="0"/>
          <w:sz w:val="24"/>
        </w:rPr>
        <w:t>David Ausubel definió el aprendizaje significativo como el proceso mediante el cual una nueva información se relaciona de manera sustantiva y no arbitraria con los conocimientos que el alumno ya posee en su estructura cognitiva, de modo que el nuevo contenido adquiere significado propio para quien aprende (Ausubel, 1976).</w:t>
      </w:r>
    </w:p>
    <w:p>
      <w:pPr>
        <w:spacing w:line="480" w:lineRule="auto" w:before="120" w:after="0"/>
        <w:jc w:val="left"/>
      </w:pPr>
      <w:r>
        <w:rPr>
          <w:rFonts w:ascii="Times New Roman" w:hAnsi="Times New Roman" w:eastAsia="Times New Roman"/>
          <w:b/>
          <w:i/>
          <w:sz w:val="24"/>
        </w:rPr>
        <w:t>Explicación</w:t>
      </w:r>
    </w:p>
    <w:p>
      <w:pPr>
        <w:spacing w:line="480" w:lineRule="auto" w:after="0"/>
        <w:ind w:firstLine="720"/>
        <w:jc w:val="both"/>
      </w:pPr>
      <w:r>
        <w:rPr>
          <w:rFonts w:ascii="Times New Roman" w:hAnsi="Times New Roman" w:eastAsia="Times New Roman"/>
          <w:b w:val="0"/>
          <w:i w:val="0"/>
          <w:sz w:val="24"/>
        </w:rPr>
        <w:t>En otras palabras, este concepto sostiene que no se aprende de forma aislada: cualquier información nueva se "engancha" a ideas que ya existen en la mente del estudiante, llamadas por Ausubel "subsumidores" o conocimientos previos. Cuando esa conexión ocurre, el aprendizaje deja de ser una simple memorización mecánica y se vuelve duradero y transferible a otras situaciones, porque el alumno comprende el porqué del contenido y no solo lo repite de memoria.</w:t>
      </w:r>
    </w:p>
    <w:p>
      <w:pPr>
        <w:spacing w:line="480" w:lineRule="auto" w:before="120" w:after="0"/>
        <w:jc w:val="left"/>
      </w:pPr>
      <w:r>
        <w:rPr>
          <w:rFonts w:ascii="Times New Roman" w:hAnsi="Times New Roman" w:eastAsia="Times New Roman"/>
          <w:b/>
          <w:i/>
          <w:sz w:val="24"/>
        </w:rPr>
        <w:t>Ejemplo en el aula</w:t>
      </w:r>
    </w:p>
    <w:p>
      <w:pPr>
        <w:spacing w:line="480" w:lineRule="auto" w:after="0"/>
        <w:ind w:firstLine="720"/>
        <w:jc w:val="both"/>
      </w:pPr>
      <w:r>
        <w:rPr>
          <w:rFonts w:ascii="Times New Roman" w:hAnsi="Times New Roman" w:eastAsia="Times New Roman"/>
          <w:b w:val="0"/>
          <w:i w:val="0"/>
          <w:sz w:val="24"/>
        </w:rPr>
        <w:t>Antes de explicar el concepto de fracciones, un profesor de primaria pregunta a sus alumnos cómo reparten una pizza entre varios amigos. A partir de esa experiencia cotidiana, introduce la noción de fracción como una parte de un todo. Como el nuevo contenido se conecta con algo que los estudiantes ya conocen y han vivido, comprenden con mayor facilidad el concepto matemático y lo recuerdan mejor que si se les hubiera presentado solo la definición y el algoritmo de forma abstracta.</w:t>
      </w:r>
    </w:p>
    <w:p>
      <w:pPr>
        <w:spacing w:line="480" w:lineRule="auto" w:before="240" w:after="0"/>
        <w:jc w:val="center"/>
      </w:pPr>
      <w:r>
        <w:rPr>
          <w:rFonts w:ascii="Times New Roman" w:hAnsi="Times New Roman" w:eastAsia="Times New Roman"/>
          <w:b/>
          <w:i w:val="0"/>
          <w:sz w:val="24"/>
        </w:rPr>
        <w:t>2. Zona de desarrollo próximo</w:t>
      </w:r>
    </w:p>
    <w:p>
      <w:pPr>
        <w:spacing w:line="480" w:lineRule="auto" w:after="0"/>
        <w:ind w:firstLine="720"/>
        <w:jc w:val="both"/>
      </w:pPr>
      <w:r>
        <w:rPr>
          <w:rFonts w:ascii="Times New Roman" w:hAnsi="Times New Roman" w:eastAsia="Times New Roman"/>
          <w:b w:val="0"/>
          <w:i w:val="0"/>
          <w:sz w:val="24"/>
        </w:rPr>
        <w:t>Lev Vygotsky definió la zona de desarrollo próximo como la distancia entre el nivel de desarrollo real del estudiante, determinado por su capacidad para resolver problemas de manera independiente, y su nivel de desarrollo potencial, determinado por lo que es capaz de resolver con la guía de un adulto o en colaboración con compañeros más capaces (Vygotsky, 1978).</w:t>
      </w:r>
    </w:p>
    <w:p>
      <w:pPr>
        <w:spacing w:line="480" w:lineRule="auto" w:before="120" w:after="0"/>
        <w:jc w:val="left"/>
      </w:pPr>
      <w:r>
        <w:rPr>
          <w:rFonts w:ascii="Times New Roman" w:hAnsi="Times New Roman" w:eastAsia="Times New Roman"/>
          <w:b/>
          <w:i/>
          <w:sz w:val="24"/>
        </w:rPr>
        <w:t>Explicación</w:t>
      </w:r>
    </w:p>
    <w:p>
      <w:pPr>
        <w:spacing w:line="480" w:lineRule="auto" w:after="0"/>
        <w:ind w:firstLine="720"/>
        <w:jc w:val="both"/>
      </w:pPr>
      <w:r>
        <w:rPr>
          <w:rFonts w:ascii="Times New Roman" w:hAnsi="Times New Roman" w:eastAsia="Times New Roman"/>
          <w:b w:val="0"/>
          <w:i w:val="0"/>
          <w:sz w:val="24"/>
        </w:rPr>
        <w:t>Este concepto plantea que existe una diferencia entre lo que un estudiante puede hacer completamente solo y lo que puede lograr cuando alguien más experimentado lo acompaña. Esa franja intermedia es precisamente donde ocurre el aprendizaje más productivo, porque el reto no es tan sencillo que resulte aburrido, ni tan difícil que resulte imposible; es un desafío alcanzable con apoyo. De ahí se desprende la importancia del papel del docente, de los compañeros y del entorno social como mediadores del desarrollo cognitivo.</w:t>
      </w:r>
    </w:p>
    <w:p>
      <w:pPr>
        <w:spacing w:line="480" w:lineRule="auto" w:before="120" w:after="0"/>
        <w:jc w:val="left"/>
      </w:pPr>
      <w:r>
        <w:rPr>
          <w:rFonts w:ascii="Times New Roman" w:hAnsi="Times New Roman" w:eastAsia="Times New Roman"/>
          <w:b/>
          <w:i/>
          <w:sz w:val="24"/>
        </w:rPr>
        <w:t>Ejemplo en el aula</w:t>
      </w:r>
    </w:p>
    <w:p>
      <w:pPr>
        <w:spacing w:line="480" w:lineRule="auto" w:after="0"/>
        <w:ind w:firstLine="720"/>
        <w:jc w:val="both"/>
      </w:pPr>
      <w:r>
        <w:rPr>
          <w:rFonts w:ascii="Times New Roman" w:hAnsi="Times New Roman" w:eastAsia="Times New Roman"/>
          <w:b w:val="0"/>
          <w:i w:val="0"/>
          <w:sz w:val="24"/>
        </w:rPr>
        <w:t>Un estudiante de secundaria no logra resolver por sí solo una ecuación de segundo grado, pero si la maestra le hace preguntas guía ("¿qué operación podrías hacer primero?", "¿qué pasa si factorizas?") consigue resolverla. Esa brecha entre lo que no podía hacer solo y lo que logra con ayuda es su zona de desarrollo próximo; con la práctica y el acompañamiento, esa habilidad terminará por formar parte de su desarrollo real, es decir, la podrá realizar de manera independiente.</w:t>
      </w:r>
    </w:p>
    <w:p>
      <w:pPr>
        <w:spacing w:line="480" w:lineRule="auto" w:before="240" w:after="0"/>
        <w:jc w:val="center"/>
      </w:pPr>
      <w:r>
        <w:rPr>
          <w:rFonts w:ascii="Times New Roman" w:hAnsi="Times New Roman" w:eastAsia="Times New Roman"/>
          <w:b/>
          <w:i w:val="0"/>
          <w:sz w:val="24"/>
        </w:rPr>
        <w:t>3. Andamiaje educativo (scaffolding)</w:t>
      </w:r>
    </w:p>
    <w:p>
      <w:pPr>
        <w:spacing w:line="480" w:lineRule="auto" w:after="0"/>
        <w:ind w:firstLine="720"/>
        <w:jc w:val="both"/>
      </w:pPr>
      <w:r>
        <w:rPr>
          <w:rFonts w:ascii="Times New Roman" w:hAnsi="Times New Roman" w:eastAsia="Times New Roman"/>
          <w:b w:val="0"/>
          <w:i w:val="0"/>
          <w:sz w:val="24"/>
        </w:rPr>
        <w:t>Wood, Bruner y Ross (1976) definieron el andamiaje como el proceso mediante el cual un adulto o un par más competente ajusta y controla los elementos de una tarea que inicialmente exceden las capacidades del aprendiz, de modo que este pueda concentrarse únicamente en los elementos que sí están a su alcance y completar así una tarea que, sin ese apoyo, le resultaría imposible.</w:t>
      </w:r>
    </w:p>
    <w:p>
      <w:pPr>
        <w:spacing w:line="480" w:lineRule="auto" w:before="120" w:after="0"/>
        <w:jc w:val="left"/>
      </w:pPr>
      <w:r>
        <w:rPr>
          <w:rFonts w:ascii="Times New Roman" w:hAnsi="Times New Roman" w:eastAsia="Times New Roman"/>
          <w:b/>
          <w:i/>
          <w:sz w:val="24"/>
        </w:rPr>
        <w:t>Explicación</w:t>
      </w:r>
    </w:p>
    <w:p>
      <w:pPr>
        <w:spacing w:line="480" w:lineRule="auto" w:after="0"/>
        <w:ind w:firstLine="720"/>
        <w:jc w:val="both"/>
      </w:pPr>
      <w:r>
        <w:rPr>
          <w:rFonts w:ascii="Times New Roman" w:hAnsi="Times New Roman" w:eastAsia="Times New Roman"/>
          <w:b w:val="0"/>
          <w:i w:val="0"/>
          <w:sz w:val="24"/>
        </w:rPr>
        <w:t>El andamiaje es, en esencia, la forma práctica en que un profesor lleva al estudiante a través de su zona de desarrollo próximo: ofrece apoyos temporales —pistas, preguntas, ejemplos resueltos, modelado de la tarea— que va retirando de manera progresiva conforme el alumno gana autonomía, tal como se retira el andamio de una construcción una vez que la estructura puede sostenerse por sí misma. Un buen andamiaje no resuelve el problema por el estudiante, sino que le ofrece la ayuda mínima necesaria para que él mismo llegue a la solución.</w:t>
      </w:r>
    </w:p>
    <w:p>
      <w:pPr>
        <w:spacing w:line="480" w:lineRule="auto" w:before="120" w:after="0"/>
        <w:jc w:val="left"/>
      </w:pPr>
      <w:r>
        <w:rPr>
          <w:rFonts w:ascii="Times New Roman" w:hAnsi="Times New Roman" w:eastAsia="Times New Roman"/>
          <w:b/>
          <w:i/>
          <w:sz w:val="24"/>
        </w:rPr>
        <w:t>Ejemplo en el aula</w:t>
      </w:r>
    </w:p>
    <w:p>
      <w:pPr>
        <w:spacing w:line="480" w:lineRule="auto" w:after="0"/>
        <w:ind w:firstLine="720"/>
        <w:jc w:val="both"/>
      </w:pPr>
      <w:r>
        <w:rPr>
          <w:rFonts w:ascii="Times New Roman" w:hAnsi="Times New Roman" w:eastAsia="Times New Roman"/>
          <w:b w:val="0"/>
          <w:i w:val="0"/>
          <w:sz w:val="24"/>
        </w:rPr>
        <w:t>Al enseñar a redactar un ensayo, el docente primero entrega una plantilla con los apartados que debe llevar el texto (introducción, desarrollo, conclusión) y revisa cada borrador con retroalimentación puntual. Con el paso de las semanas va retirando la plantilla y disminuye la frecuencia de la retroalimentación, hasta que los estudiantes son capaces de planear y redactar un ensayo completo sin apoyos externos.</w:t>
      </w:r>
    </w:p>
    <w:p>
      <w:pPr>
        <w:spacing w:line="480" w:lineRule="auto" w:before="240" w:after="0"/>
        <w:jc w:val="center"/>
      </w:pPr>
      <w:r>
        <w:rPr>
          <w:rFonts w:ascii="Times New Roman" w:hAnsi="Times New Roman" w:eastAsia="Times New Roman"/>
          <w:b/>
          <w:i w:val="0"/>
          <w:sz w:val="24"/>
        </w:rPr>
        <w:t>4. Autorregulación del aprendizaje</w:t>
      </w:r>
    </w:p>
    <w:p>
      <w:pPr>
        <w:spacing w:line="480" w:lineRule="auto" w:after="0"/>
        <w:ind w:firstLine="720"/>
        <w:jc w:val="both"/>
      </w:pPr>
      <w:r>
        <w:rPr>
          <w:rFonts w:ascii="Times New Roman" w:hAnsi="Times New Roman" w:eastAsia="Times New Roman"/>
          <w:b w:val="0"/>
          <w:i w:val="0"/>
          <w:sz w:val="24"/>
        </w:rPr>
        <w:t>Zimmerman (2002) definió la autorregulación del aprendizaje como el conjunto de pensamientos, sentimientos y acciones generados por el propio estudiante, que son planeados y ajustados de forma cíclica para alcanzar sus metas personales de aprendizaje, e identificó tres fases en este proceso: la planeación previa (forethought), la ejecución o control volitivo (performance) y la autorreflexión (self-reflection).</w:t>
      </w:r>
    </w:p>
    <w:p>
      <w:pPr>
        <w:spacing w:line="480" w:lineRule="auto" w:before="120" w:after="0"/>
        <w:jc w:val="left"/>
      </w:pPr>
      <w:r>
        <w:rPr>
          <w:rFonts w:ascii="Times New Roman" w:hAnsi="Times New Roman" w:eastAsia="Times New Roman"/>
          <w:b/>
          <w:i/>
          <w:sz w:val="24"/>
        </w:rPr>
        <w:t>Explicación</w:t>
      </w:r>
    </w:p>
    <w:p>
      <w:pPr>
        <w:spacing w:line="480" w:lineRule="auto" w:after="0"/>
        <w:ind w:firstLine="720"/>
        <w:jc w:val="both"/>
      </w:pPr>
      <w:r>
        <w:rPr>
          <w:rFonts w:ascii="Times New Roman" w:hAnsi="Times New Roman" w:eastAsia="Times New Roman"/>
          <w:b w:val="0"/>
          <w:i w:val="0"/>
          <w:sz w:val="24"/>
        </w:rPr>
        <w:t>Este concepto se refiere a la capacidad del estudiante para hacerse cargo de su propio proceso de aprendizaje, en lugar de depender únicamente de la supervisión externa del profesor. Implica establecer metas antes de estudiar, elegir estrategias adecuadas, monitorear el propio avance mientras se trabaja y, al final, evaluar los resultados obtenidos para ajustar la estrategia la próxima vez. Los estudiantes autorregulados no solo saben "qué" estudiar, sino "cómo" y "cuándo" hacerlo de la manera más eficiente para ellos mismos.</w:t>
      </w:r>
    </w:p>
    <w:p>
      <w:pPr>
        <w:spacing w:line="480" w:lineRule="auto" w:before="120" w:after="0"/>
        <w:jc w:val="left"/>
      </w:pPr>
      <w:r>
        <w:rPr>
          <w:rFonts w:ascii="Times New Roman" w:hAnsi="Times New Roman" w:eastAsia="Times New Roman"/>
          <w:b/>
          <w:i/>
          <w:sz w:val="24"/>
        </w:rPr>
        <w:t>Ejemplo en el aula</w:t>
      </w:r>
    </w:p>
    <w:p>
      <w:pPr>
        <w:spacing w:line="480" w:lineRule="auto" w:after="0"/>
        <w:ind w:firstLine="720"/>
        <w:jc w:val="both"/>
      </w:pPr>
      <w:r>
        <w:rPr>
          <w:rFonts w:ascii="Times New Roman" w:hAnsi="Times New Roman" w:eastAsia="Times New Roman"/>
          <w:b w:val="0"/>
          <w:i w:val="0"/>
          <w:sz w:val="24"/>
        </w:rPr>
        <w:t>Antes de un examen, un estudiante universitario elabora un calendario de estudio y se fija la meta de dominar tres temas por semana (planeación). Mientras estudia, se autoevalúa con cuestionarios para verificar si está comprendiendo el material y ajusta su ritmo si detecta que va atrasado (ejecución). Al recibir la calificación del examen, revisa en qué temas tuvo más errores y decide cambiar su técnica de estudio para el siguiente parcial (autorreflexión).</w:t>
      </w:r>
    </w:p>
    <w:p>
      <w:pPr>
        <w:spacing w:line="480" w:lineRule="auto" w:before="240" w:after="0"/>
        <w:jc w:val="center"/>
      </w:pPr>
      <w:r>
        <w:rPr>
          <w:rFonts w:ascii="Times New Roman" w:hAnsi="Times New Roman" w:eastAsia="Times New Roman"/>
          <w:b/>
          <w:i w:val="0"/>
          <w:sz w:val="24"/>
        </w:rPr>
        <w:t>5. Motivación académica: la teoría de la autodeterminación</w:t>
      </w:r>
    </w:p>
    <w:p>
      <w:pPr>
        <w:spacing w:line="480" w:lineRule="auto" w:after="0"/>
        <w:ind w:firstLine="720"/>
        <w:jc w:val="both"/>
      </w:pPr>
      <w:r>
        <w:rPr>
          <w:rFonts w:ascii="Times New Roman" w:hAnsi="Times New Roman" w:eastAsia="Times New Roman"/>
          <w:b w:val="0"/>
          <w:i w:val="0"/>
          <w:sz w:val="24"/>
        </w:rPr>
        <w:t>Ryan y Deci (2000) explicaron la motivación humana a partir de un continuo que va de la motivación extrínseca, en la que la persona actúa para obtener una recompensa externa o evitar un castigo, a la motivación intrínseca, en la que la persona realiza una actividad por el interés y la satisfacción inherentes a ella misma; según su teoría, la motivación intrínseca se fortalece cuando se satisfacen tres necesidades psicológicas básicas: autonomía, competencia y relación con los demás.</w:t>
      </w:r>
    </w:p>
    <w:p>
      <w:pPr>
        <w:spacing w:line="480" w:lineRule="auto" w:before="120" w:after="0"/>
        <w:jc w:val="left"/>
      </w:pPr>
      <w:r>
        <w:rPr>
          <w:rFonts w:ascii="Times New Roman" w:hAnsi="Times New Roman" w:eastAsia="Times New Roman"/>
          <w:b/>
          <w:i/>
          <w:sz w:val="24"/>
        </w:rPr>
        <w:t>Explicación</w:t>
      </w:r>
    </w:p>
    <w:p>
      <w:pPr>
        <w:spacing w:line="480" w:lineRule="auto" w:after="0"/>
        <w:ind w:firstLine="720"/>
        <w:jc w:val="both"/>
      </w:pPr>
      <w:r>
        <w:rPr>
          <w:rFonts w:ascii="Times New Roman" w:hAnsi="Times New Roman" w:eastAsia="Times New Roman"/>
          <w:b w:val="0"/>
          <w:i w:val="0"/>
          <w:sz w:val="24"/>
        </w:rPr>
        <w:t>Aplicado al contexto escolar, este concepto explica por qué algunos estudiantes se esfuerzan únicamente para obtener una buena calificación o evitar una sanción (motivación extrínseca), mientras que otros disfrutan genuinamente de aprender un tema porque les resulta interesante o significativo (motivación intrínseca). La teoría sugiere que los ambientes escolares que ofrecen a los estudiantes cierto grado de libertad de elección, retos alcanzables que les hacen sentirse competentes y relaciones de apoyo con docentes y compañeros, tienden a generar una motivación más estable y duradera que los ambientes basados solo en premios y castigos.</w:t>
      </w:r>
    </w:p>
    <w:p>
      <w:pPr>
        <w:spacing w:line="480" w:lineRule="auto" w:before="120" w:after="0"/>
        <w:jc w:val="left"/>
      </w:pPr>
      <w:r>
        <w:rPr>
          <w:rFonts w:ascii="Times New Roman" w:hAnsi="Times New Roman" w:eastAsia="Times New Roman"/>
          <w:b/>
          <w:i/>
          <w:sz w:val="24"/>
        </w:rPr>
        <w:t>Ejemplo en el aula</w:t>
      </w:r>
    </w:p>
    <w:p>
      <w:pPr>
        <w:spacing w:line="480" w:lineRule="auto" w:after="0"/>
        <w:ind w:firstLine="720"/>
        <w:jc w:val="both"/>
      </w:pPr>
      <w:r>
        <w:rPr>
          <w:rFonts w:ascii="Times New Roman" w:hAnsi="Times New Roman" w:eastAsia="Times New Roman"/>
          <w:b w:val="0"/>
          <w:i w:val="0"/>
          <w:sz w:val="24"/>
        </w:rPr>
        <w:t>En una clase de ciencias, en lugar de asignar el mismo experimento a todo el grupo, la profesora permite que cada equipo elija entre tres proyectos posibles relacionados con el mismo tema (autonomía), plantea retos graduales que los estudiantes sí pueden resolver con esfuerzo (competencia) y fomenta el trabajo colaborativo dentro de los equipos (relación). Como resultado, los estudiantes se involucran en el proyecto no solo por la calificación, sino por el interés genuino que les despierta el tema elegido.</w:t>
      </w:r>
    </w:p>
    <w:p>
      <w:pPr>
        <w:spacing w:line="480" w:lineRule="auto" w:before="240" w:after="0"/>
        <w:jc w:val="center"/>
      </w:pPr>
      <w:r>
        <w:rPr>
          <w:rFonts w:ascii="Times New Roman" w:hAnsi="Times New Roman" w:eastAsia="Times New Roman"/>
          <w:b/>
          <w:i w:val="0"/>
          <w:sz w:val="24"/>
        </w:rPr>
        <w:t>Conclusión</w:t>
      </w:r>
    </w:p>
    <w:p>
      <w:pPr>
        <w:spacing w:line="480" w:lineRule="auto" w:after="0"/>
        <w:ind w:firstLine="720"/>
        <w:jc w:val="both"/>
      </w:pPr>
      <w:r>
        <w:rPr>
          <w:rFonts w:ascii="Times New Roman" w:hAnsi="Times New Roman" w:eastAsia="Times New Roman"/>
          <w:b w:val="0"/>
          <w:i w:val="0"/>
          <w:sz w:val="24"/>
        </w:rPr>
        <w:t>Los cinco conceptos revisados —aprendizaje significativo, zona de desarrollo próximo, andamiaje educativo, autorregulación del aprendizaje y motivación académica— muestran que el aprendizaje escolar no depende de un solo factor, sino de la interacción entre los conocimientos previos del estudiante, el apoyo social que recibe, su capacidad para dirigir su propio proceso y su motivación personal. Comprender estos conceptos permite al docente diseñar estrategias de enseñanza más conscientes de cómo aprenden realmente sus estudiantes, en lugar de basarse únicamente en la transmisión de información.</w:t>
      </w:r>
    </w:p>
    <w:p>
      <w:r>
        <w:br w:type="page"/>
      </w:r>
    </w:p>
    <w:p>
      <w:pPr>
        <w:spacing w:line="480" w:lineRule="auto" w:before="240" w:after="0"/>
        <w:jc w:val="center"/>
      </w:pPr>
      <w:r>
        <w:rPr>
          <w:rFonts w:ascii="Times New Roman" w:hAnsi="Times New Roman" w:eastAsia="Times New Roman"/>
          <w:b/>
          <w:i w:val="0"/>
          <w:sz w:val="24"/>
        </w:rPr>
        <w:t>Referencias</w:t>
      </w:r>
    </w:p>
    <w:p>
      <w:pPr>
        <w:spacing w:line="480" w:lineRule="auto" w:after="0"/>
        <w:ind w:left="720" w:hanging="720"/>
      </w:pPr>
      <w:r>
        <w:rPr>
          <w:rFonts w:ascii="Times New Roman" w:hAnsi="Times New Roman" w:eastAsia="Times New Roman"/>
          <w:b w:val="0"/>
          <w:i w:val="0"/>
          <w:sz w:val="24"/>
        </w:rPr>
        <w:t>Ausubel, D. P. (1976). Psicología educativa: Un punto de vista cognoscitivo. Trillas.</w:t>
      </w:r>
    </w:p>
    <w:p>
      <w:pPr>
        <w:spacing w:line="480" w:lineRule="auto" w:after="0"/>
        <w:ind w:left="720" w:hanging="720"/>
      </w:pPr>
      <w:r>
        <w:rPr>
          <w:rFonts w:ascii="Times New Roman" w:hAnsi="Times New Roman" w:eastAsia="Times New Roman"/>
          <w:b w:val="0"/>
          <w:i w:val="0"/>
          <w:sz w:val="24"/>
        </w:rPr>
        <w:t>Ryan, R. M., &amp; Deci, E. L. (2000). Self-determination theory and the facilitation of intrinsic motivation, social development, and well-being. American Psychologist, 55(1), 68–78. https://doi.org/10.1037/0003-066X.55.1.68</w:t>
      </w:r>
    </w:p>
    <w:p>
      <w:pPr>
        <w:spacing w:line="480" w:lineRule="auto" w:after="0"/>
        <w:ind w:left="720" w:hanging="720"/>
      </w:pPr>
      <w:r>
        <w:rPr>
          <w:rFonts w:ascii="Times New Roman" w:hAnsi="Times New Roman" w:eastAsia="Times New Roman"/>
          <w:b w:val="0"/>
          <w:i w:val="0"/>
          <w:sz w:val="24"/>
        </w:rPr>
        <w:t>Vygotsky, L. S. (1978). Mind in society: The development of higher psychological processes. Harvard University Press.</w:t>
      </w:r>
    </w:p>
    <w:p>
      <w:pPr>
        <w:spacing w:line="480" w:lineRule="auto" w:after="0"/>
        <w:ind w:left="720" w:hanging="720"/>
      </w:pPr>
      <w:r>
        <w:rPr>
          <w:rFonts w:ascii="Times New Roman" w:hAnsi="Times New Roman" w:eastAsia="Times New Roman"/>
          <w:b w:val="0"/>
          <w:i w:val="0"/>
          <w:sz w:val="24"/>
        </w:rPr>
        <w:t>Wood, D., Bruner, J. S., &amp; Ross, G. (1976). The role of tutoring in problem solving. Journal of Child Psychology and Psychiatry, 17(2), 89–100. https://doi.org/10.1111/j.1469-7610.1976.tb00381.x</w:t>
      </w:r>
    </w:p>
    <w:p>
      <w:pPr>
        <w:spacing w:line="480" w:lineRule="auto" w:after="0"/>
        <w:ind w:left="720" w:hanging="720"/>
      </w:pPr>
      <w:r>
        <w:rPr>
          <w:rFonts w:ascii="Times New Roman" w:hAnsi="Times New Roman" w:eastAsia="Times New Roman"/>
          <w:b w:val="0"/>
          <w:i w:val="0"/>
          <w:sz w:val="24"/>
        </w:rPr>
        <w:t>Woolfolk, A. (2010). Educational psychology (11th ed.). Pearson Education.</w:t>
      </w:r>
    </w:p>
    <w:p>
      <w:pPr>
        <w:spacing w:line="480" w:lineRule="auto" w:after="0"/>
        <w:ind w:left="720" w:hanging="720"/>
      </w:pPr>
      <w:r>
        <w:rPr>
          <w:rFonts w:ascii="Times New Roman" w:hAnsi="Times New Roman" w:eastAsia="Times New Roman"/>
          <w:b w:val="0"/>
          <w:i w:val="0"/>
          <w:sz w:val="24"/>
        </w:rPr>
        <w:t>Zimmerman, B. J. (2002). Becoming a self-regulated learner: An overview. Theory Into Practice, 41(2), 64–70. https://doi.org/10.1207/s15430421tip4102_2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