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D4ED8"/>
          <w:sz w:val="60"/>
        </w:rPr>
        <w:t>SIKARA</w:t>
      </w:r>
    </w:p>
    <w:p>
      <w:r>
        <w:rPr>
          <w:rFonts w:ascii="Aptos Display" w:hAnsi="Aptos Display"/>
          <w:b/>
          <w:color w:val="0F172A"/>
          <w:sz w:val="28"/>
        </w:rPr>
        <w:t>Sistem Informasi Kendali Anggaran dan Realisasi</w:t>
      </w:r>
    </w:p>
    <w:p>
      <w:r>
        <w:rPr>
          <w:rFonts w:ascii="Aptos" w:hAnsi="Aptos"/>
          <w:color w:val="475569"/>
          <w:sz w:val="21"/>
        </w:rPr>
        <w:t>Fakultas Teknik Universitas Jenderal Soedirman</w:t>
      </w:r>
    </w:p>
    <w:p/>
    <w:p>
      <w:r>
        <w:rPr>
          <w:rFonts w:ascii="Aptos Display" w:hAnsi="Aptos Display"/>
          <w:b/>
          <w:color w:val="0F172A"/>
          <w:sz w:val="44"/>
        </w:rPr>
        <w:t>Product Requirements Document (PRD)</w:t>
      </w:r>
    </w:p>
    <w:p>
      <w:r>
        <w:rPr>
          <w:rFonts w:ascii="Aptos" w:hAnsi="Aptos"/>
          <w:color w:val="475569"/>
          <w:sz w:val="21"/>
        </w:rPr>
        <w:t>SIKARA FT UNSOED — Product baseline setelah validasi stakeholder dan observasi SISTRAN</w:t>
      </w:r>
    </w:p>
    <w:p>
      <w:r>
        <w:rPr>
          <w:rFonts w:ascii="Aptos" w:hAnsi="Aptos"/>
          <w:b/>
          <w:color w:val="1D4ED8"/>
          <w:sz w:val="18"/>
        </w:rPr>
        <w:t>PRD v3.0 • Draft untuk bimbingan dan implementasi</w:t>
      </w:r>
    </w:p>
    <w:p/>
    <w:tbl>
      <w:tblPr>
        <w:tblW w:type="auto" w:w="0"/>
        <w:jc w:val="center"/>
        <w:tblLayout w:type="autofit"/>
        <w:tblLook w:firstColumn="1" w:firstRow="1" w:lastColumn="0" w:lastRow="0" w:noHBand="0" w:noVBand="1" w:val="04A0"/>
      </w:tblPr>
      <w:tblGrid>
        <w:gridCol w:w="9638"/>
      </w:tblGrid>
      <w:tr>
        <w:tc>
          <w:tcPr>
            <w:tcW w:type="dxa" w:w="9638"/>
            <w:shd w:fill="EFF6FF"/>
            <w:tcBorders>
              <w:top w:val="single" w:sz="1" w:color="EFF6FF"/>
              <w:left w:val="single" w:sz="1" w:color="EFF6FF"/>
              <w:bottom w:val="single" w:sz="1" w:color="EFF6FF"/>
              <w:right w:val="single" w:sz="1" w:color="EFF6FF"/>
              <w:insideH w:val="single" w:sz="1" w:color="EFF6FF"/>
              <w:insideV w:val="single" w:sz="1" w:color="EFF6FF"/>
            </w:tcBorders>
          </w:tcPr>
          <w:p>
            <w:pPr>
              <w:spacing w:after="0"/>
            </w:pPr>
            <w:r>
              <w:rPr>
                <w:rFonts w:ascii="Aptos" w:hAnsi="Aptos"/>
                <w:b/>
                <w:color w:val="0F172A"/>
                <w:sz w:val="18"/>
              </w:rPr>
              <w:t>TUJUAN DOKUMEN</w:t>
              <w:br/>
            </w:r>
            <w:r>
              <w:rPr>
                <w:rFonts w:ascii="Aptos" w:hAnsi="Aptos"/>
                <w:color w:val="0F172A"/>
                <w:sz w:val="18"/>
              </w:rPr>
              <w:t>Dokumen ini sengaja memisahkan fakta lapangan, keputusan desain, dan hal yang masih perlu validasi agar requirement tidak tercampur dan arah skripsi tetap stabil.</w:t>
            </w:r>
          </w:p>
        </w:tc>
      </w:tr>
    </w:tbl>
    <w:p>
      <w:pPr>
        <w:spacing w:after="0"/>
      </w:pPr>
    </w:p>
    <w:p>
      <w:r>
        <w:br w:type="page"/>
      </w:r>
    </w:p>
    <w:p>
      <w:pPr>
        <w:pStyle w:val="Heading1"/>
      </w:pPr>
      <w:r>
        <w:t>1. Product Overview</w:t>
      </w:r>
    </w:p>
    <w:tbl>
      <w:tblPr>
        <w:tblW w:type="auto" w:w="0"/>
        <w:jc w:val="center"/>
        <w:tblLayout w:type="autofit"/>
        <w:tblLook w:firstColumn="1" w:firstRow="1" w:lastColumn="0" w:lastRow="0" w:noHBand="0" w:noVBand="1" w:val="04A0"/>
      </w:tblPr>
      <w:tblGrid>
        <w:gridCol w:w="4819"/>
        <w:gridCol w:w="4819"/>
      </w:tblGrid>
      <w:tr>
        <w:tc>
          <w:tcPr>
            <w:tcW w:type="dxa" w:w="4819"/>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5"/>
              </w:rPr>
              <w:t>Item</w:t>
            </w:r>
          </w:p>
        </w:tc>
        <w:tc>
          <w:tcPr>
            <w:tcW w:type="dxa" w:w="4819"/>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5"/>
              </w:rPr>
              <w:t>Keputusan</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Nama</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SIKARA — Sistem Informasi Kendali Anggaran dan Realisasi</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Problem domain</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Monitoring dan pengendalian realisasi anggaran internal Fakultas Teknik sampai tingkat jurusan.</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MVP source</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Rupiah Murni (RM).</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Core method</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Rule-Based Budget Control (deterministic business rules).</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Supporting control</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Rule-Based Early Warning System.</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Existing solution baseline</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SISTRAN Pak Arwan + spreadsheet + sistem resmi SAKTI/ELFINA.</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Positioning</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Internal control &amp; monitoring layer; bukan pengganti SAKTI/ELFINA.</w:t>
            </w:r>
          </w:p>
        </w:tc>
      </w:tr>
    </w:tbl>
    <w:p>
      <w:pPr>
        <w:spacing w:after="0"/>
      </w:pPr>
    </w:p>
    <w:p>
      <w:pPr>
        <w:pStyle w:val="Heading1"/>
      </w:pPr>
      <w:r>
        <w:t>2. Problem Statement</w:t>
      </w:r>
    </w:p>
    <w:p>
      <w:r>
        <w:rPr>
          <w:rFonts w:ascii="Aptos" w:hAnsi="Aptos"/>
          <w:i w:val="0"/>
        </w:rPr>
        <w:t>Fakultas telah memiliki alat bantu pencatatan/realisasi, tetapi kebutuhan monitoring dan pengendalian anggaran per jurusan masih menjadi isu. Pagu jurusan dapat bercampur pada level fakultas sehingga dibutuhkan kontrol internal untuk mencegah penggunaan melebihi saldo unit. Di sisi lain, PTK tidak menginginkan pencatatan berulang dan existing solution sudah menunjukkan bahwa Nomor Urut RBA dapat menjadi referensi input yang sederhana. SIKARA harus mempertahankan kesederhanaan input sambil menambah control, versioning, scope, EWS, audit, dan reporting.</w:t>
      </w:r>
    </w:p>
    <w:p>
      <w:pPr>
        <w:pStyle w:val="Heading1"/>
      </w:pPr>
      <w:r>
        <w:t>3. Goals dan Non-Goals</w:t>
      </w:r>
    </w:p>
    <w:tbl>
      <w:tblPr>
        <w:tblW w:type="auto" w:w="0"/>
        <w:jc w:val="center"/>
        <w:tblLayout w:type="autofit"/>
        <w:tblLook w:firstColumn="1" w:firstRow="1" w:lastColumn="0" w:lastRow="0" w:noHBand="0" w:noVBand="1" w:val="04A0"/>
      </w:tblPr>
      <w:tblGrid>
        <w:gridCol w:w="4819"/>
        <w:gridCol w:w="4819"/>
      </w:tblGrid>
      <w:tr>
        <w:tc>
          <w:tcPr>
            <w:tcW w:type="dxa" w:w="4819"/>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5"/>
              </w:rPr>
              <w:t>Goals</w:t>
            </w:r>
          </w:p>
        </w:tc>
        <w:tc>
          <w:tcPr>
            <w:tcW w:type="dxa" w:w="4819"/>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5"/>
              </w:rPr>
              <w:t>Non-Goals MVP</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Menyediakan pagu RM terversi per jurusan</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Tidak menentukan alokasi/ranking jurusan</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Meminimalkan input PTK dengan No RBA</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Tidak menggantikan SAKTI/ELFINA</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Mencegah overbudget pada control bucket</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Tidak melakukan pencairan resmi</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Memisahkan komitmen dan realisasi internal</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Tidak wajib integrasi API</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Menyediakan monitoring sesuai scope</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Tidak membuat workflow approval panjang</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Memberi EWS explainable</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Tidak melakukan AI/ML forecasting</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Menyediakan audit dan laporan</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5"/>
              </w:rPr>
              <w:t>Tidak mengotomasi semua dokumen SPJ pada MVP</w:t>
            </w:r>
          </w:p>
        </w:tc>
      </w:tr>
    </w:tbl>
    <w:p>
      <w:pPr>
        <w:spacing w:after="0"/>
      </w:pPr>
    </w:p>
    <w:p>
      <w:pPr>
        <w:pStyle w:val="Heading1"/>
      </w:pPr>
      <w:r>
        <w:t>4. User Roles</w:t>
      </w:r>
    </w:p>
    <w:tbl>
      <w:tblPr>
        <w:tblW w:type="auto" w:w="0"/>
        <w:jc w:val="center"/>
        <w:tblLayout w:type="autofit"/>
        <w:tblLook w:firstColumn="1" w:firstRow="1" w:lastColumn="0" w:lastRow="0" w:noHBand="0" w:noVBand="1" w:val="04A0"/>
      </w:tblPr>
      <w:tblGrid>
        <w:gridCol w:w="2409"/>
        <w:gridCol w:w="2409"/>
        <w:gridCol w:w="2409"/>
        <w:gridCol w:w="2409"/>
      </w:tblGrid>
      <w:tr>
        <w:tc>
          <w:tcPr>
            <w:tcW w:type="dxa" w:w="2409"/>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Role</w:t>
            </w:r>
          </w:p>
        </w:tc>
        <w:tc>
          <w:tcPr>
            <w:tcW w:type="dxa" w:w="2409"/>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Scope</w:t>
            </w:r>
          </w:p>
        </w:tc>
        <w:tc>
          <w:tcPr>
            <w:tcW w:type="dxa" w:w="2409"/>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Primary Need</w:t>
            </w:r>
          </w:p>
        </w:tc>
        <w:tc>
          <w:tcPr>
            <w:tcW w:type="dxa" w:w="2409"/>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MVP Action</w:t>
            </w:r>
          </w:p>
        </w:tc>
      </w:tr>
      <w:tr>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PTK</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Department</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Catat transaksi cepat dan tahu saldo/status</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Create/Edit Draft, Ajukan, Resubmit, Cancel sesuai rule, Print</w:t>
            </w:r>
          </w:p>
        </w:tc>
      </w:tr>
      <w:tr>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KAJUR</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Department</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Pantau kondisi jurusan</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View only</w:t>
            </w:r>
          </w:p>
        </w:tc>
      </w:tr>
      <w:tr>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KAPRODI</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Study Program</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Pantau transaksi terkait prodi</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View only</w:t>
            </w:r>
          </w:p>
        </w:tc>
      </w:tr>
      <w:tr>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PTU</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Faculty</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Pemeriksaan transaksi/dokumen</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View, Return, Reject, Complete sesuai permission</w:t>
            </w:r>
          </w:p>
        </w:tc>
      </w:tr>
      <w:tr>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BENDAHARA</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Faculty</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Operasional bendahara</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Permission terpisah; dapat digabung pada user PTU</w:t>
            </w:r>
          </w:p>
        </w:tc>
      </w:tr>
      <w:tr>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KETUA_PTK</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Faculty</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Koordinasi PTK</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Monitoring workload/status</w:t>
            </w:r>
          </w:p>
        </w:tc>
      </w:tr>
      <w:tr>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KABAG</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Faculty</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Kontrol operasional fakultas</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View, report, warning</w:t>
            </w:r>
          </w:p>
        </w:tc>
      </w:tr>
      <w:tr>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WAKIL_DEKAN</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Faculty</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Monitoring strategis</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Executive view</w:t>
            </w:r>
          </w:p>
        </w:tc>
      </w:tr>
      <w:tr>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DEKAN</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Faculty</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Executive monitoring</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Executive view</w:t>
            </w:r>
          </w:p>
        </w:tc>
      </w:tr>
      <w:tr>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ADMIN</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System</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Konfigurasi sistem</w:t>
            </w:r>
          </w:p>
        </w:tc>
        <w:tc>
          <w:tcPr>
            <w:tcW w:type="dxa" w:w="240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Manage master, users, rule, audit, template</w:t>
            </w:r>
          </w:p>
        </w:tc>
      </w:tr>
    </w:tbl>
    <w:p>
      <w:pPr>
        <w:spacing w:after="0"/>
      </w:pPr>
    </w:p>
    <w:p>
      <w:pPr>
        <w:pStyle w:val="Heading1"/>
      </w:pPr>
      <w:r>
        <w:t>5. Core Product Flow</w:t>
      </w:r>
    </w:p>
    <w:p>
      <w:pPr>
        <w:pStyle w:val="ListNumber"/>
        <w:spacing w:after="40"/>
      </w:pPr>
      <w:r>
        <w:rPr>
          <w:rFonts w:ascii="Aptos" w:hAnsi="Aptos"/>
        </w:rPr>
        <w:t>Import Budget Version → validate/mapping → activate.</w:t>
      </w:r>
    </w:p>
    <w:p>
      <w:pPr>
        <w:pStyle w:val="ListNumber"/>
        <w:spacing w:after="40"/>
      </w:pPr>
      <w:r>
        <w:rPr>
          <w:rFonts w:ascii="Aptos" w:hAnsi="Aptos"/>
        </w:rPr>
        <w:t>PTK selects No RBA/Budget Line within department scope.</w:t>
      </w:r>
    </w:p>
    <w:p>
      <w:pPr>
        <w:pStyle w:val="ListNumber"/>
        <w:spacing w:after="40"/>
      </w:pPr>
      <w:r>
        <w:rPr>
          <w:rFonts w:ascii="Aptos" w:hAnsi="Aptos"/>
        </w:rPr>
        <w:t>System resolves hierarchy and control bucket automatically.</w:t>
      </w:r>
    </w:p>
    <w:p>
      <w:pPr>
        <w:pStyle w:val="ListNumber"/>
        <w:spacing w:after="40"/>
      </w:pPr>
      <w:r>
        <w:rPr>
          <w:rFonts w:ascii="Aptos" w:hAnsi="Aptos"/>
        </w:rPr>
        <w:t>PTK enters date, No FRA/evidence, description, amount, optional study program/attachment.</w:t>
      </w:r>
    </w:p>
    <w:p>
      <w:pPr>
        <w:pStyle w:val="ListNumber"/>
        <w:spacing w:after="40"/>
      </w:pPr>
      <w:r>
        <w:rPr>
          <w:rFonts w:ascii="Aptos" w:hAnsi="Aptos"/>
        </w:rPr>
        <w:t>Draft save does not affect available balance.</w:t>
      </w:r>
    </w:p>
    <w:p>
      <w:pPr>
        <w:pStyle w:val="ListNumber"/>
        <w:spacing w:after="40"/>
      </w:pPr>
      <w:r>
        <w:rPr>
          <w:rFonts w:ascii="Aptos" w:hAnsi="Aptos"/>
        </w:rPr>
        <w:t>Ajukan runs atomic RBC check; pass → commitment created by status DIAJUKAN.</w:t>
      </w:r>
    </w:p>
    <w:p>
      <w:pPr>
        <w:pStyle w:val="ListNumber"/>
        <w:spacing w:after="40"/>
      </w:pPr>
      <w:r>
        <w:rPr>
          <w:rFonts w:ascii="Aptos" w:hAnsi="Aptos"/>
        </w:rPr>
        <w:t>PTU/Bendahara processes: Return / Reject / Selesai.</w:t>
      </w:r>
    </w:p>
    <w:p>
      <w:pPr>
        <w:pStyle w:val="ListNumber"/>
        <w:spacing w:after="40"/>
      </w:pPr>
      <w:r>
        <w:rPr>
          <w:rFonts w:ascii="Aptos" w:hAnsi="Aptos"/>
        </w:rPr>
        <w:t>Selesai converts commitment to internal realization without changing available again.</w:t>
      </w:r>
    </w:p>
    <w:p>
      <w:pPr>
        <w:pStyle w:val="ListNumber"/>
        <w:spacing w:after="40"/>
      </w:pPr>
      <w:r>
        <w:rPr>
          <w:rFonts w:ascii="Aptos" w:hAnsi="Aptos"/>
        </w:rPr>
        <w:t>Dashboards/EWS/reports refresh from the same data source.</w:t>
      </w:r>
    </w:p>
    <w:p>
      <w:pPr>
        <w:pStyle w:val="Heading1"/>
      </w:pPr>
      <w:r>
        <w:t>6. Functional Requirements</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3"/>
              </w:rPr>
              <w:t>ID</w:t>
            </w:r>
          </w:p>
        </w:tc>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3"/>
              </w:rPr>
              <w:t>Requirement</w:t>
            </w:r>
          </w:p>
        </w:tc>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3"/>
              </w:rPr>
              <w:t>Description</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FR-001</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Authentication &amp; Scope</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System authenticates users and enforces role + organizational scope server-side.</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FR-002</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Budget Import</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Admin imports RM budget data into staging and commits only validated rows.</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FR-003</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Budget Versioning</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System keeps DRAFT/ACTIVE/ARCHIVED versions; old revisions are not overwritten.</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FR-004</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Master Structure</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System stores/uses Program, Kegiatan, KRO, RO, Komponen, Subkomponen, Akun/Subakun references.</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FR-005</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Budget Line / No RBA</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Each transaction references a budget line with rba_sequence_no and full budget context.</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FR-006</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Control Bucket</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Each budget line maps to a control bucket used for balance control.</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FR-007</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Quick Entry PTK</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PTK searches No RBA/description/account and enters minimal transaction fields.</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FR-008</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Draft</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Draft does not reduce available budget.</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FR-009</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Submit/Ajukan</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Ajukan locks available balance as internal commitment after RBC passes.</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FR-010</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Overbudget Block</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Amount &gt; available must be blocked on backend.</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FR-011</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Return/Reject/Cancel</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Commitment is released according to status baseline.</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FR-012</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Complete</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Selesai converts commitment to internal realization atomically.</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FR-013</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Transaction History</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Every status/action is recorded with actor and timestamp.</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FR-014</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PTU Workbench</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Faculty queue supports search/filter and examination of budget/document context.</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FR-015</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Role Dashboards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Each role sees information appropriate to its scope and job.</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FR-016</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EWS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System evaluates configurable warning rules and explains trigger values.</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FR-017</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Reports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Reports reconcile with dashboard for the same filter context.</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FR-018</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Print</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PTK can print transaction detail using configurable FT letterhead.</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FR-019</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Audit</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Critical financial/configuration actions are immutable from normal UI.</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FR-020</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Demo Mode</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3"/>
              </w:rPr>
              <w:t>Demo account switch exists only in demo/local environment.</w:t>
            </w:r>
          </w:p>
        </w:tc>
      </w:tr>
    </w:tbl>
    <w:p>
      <w:pPr>
        <w:spacing w:after="0"/>
      </w:pPr>
    </w:p>
    <w:p>
      <w:pPr>
        <w:pStyle w:val="Heading1"/>
      </w:pPr>
      <w:r>
        <w:t>7. Data Requirements</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Entity</w:t>
            </w:r>
          </w:p>
        </w:tc>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Minimum Content</w:t>
            </w:r>
          </w:p>
        </w:tc>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Notes</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FiscalYear</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year, status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Active context</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FundSource</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code, name, enabled</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RM active MVP</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BudgetVersion</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year, source, revision, status, effective_at</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One active per year/source</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Department</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code, name</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5 departments + faculty root</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StudyProgram</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department_id, name</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Optional transaction mapping</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Budget Masters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code, name, parent/context, effective year</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Import-first, not hardcoded</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BudgetLine</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version, department, No RBA, hierarchy refs, description, amount</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Transaction reference</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ControlBucket</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version, department, subcomponent/account context, budget amount</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RBC target</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Transaction</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budget_line, bucket, PTK, No FRA/bukti, date, desc, amount, status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Operational record</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History</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transaction, from/to status, actor, reason, timestamp</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Traceability</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Warning</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rule, object, severity, state, values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Explainable EWS</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AuditLog</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actor, action, entity, before/after, time</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System audit</w:t>
            </w:r>
          </w:p>
        </w:tc>
      </w:tr>
    </w:tbl>
    <w:p>
      <w:pPr>
        <w:spacing w:after="0"/>
      </w:pPr>
    </w:p>
    <w:p>
      <w:pPr>
        <w:pStyle w:val="Heading1"/>
      </w:pPr>
      <w:r>
        <w:t>8. Business Rules</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Rule</w:t>
            </w:r>
          </w:p>
        </w:tc>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Name</w:t>
            </w:r>
          </w:p>
        </w:tc>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Logic</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RBC-001</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Overbudget</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IF amount &gt; available THEN block Ajukan.</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RBC-002</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Commit on Ajukan</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DIAJUKAN counts as active commitment.</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RBC-003</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Release</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DIKEMBALIKAN/DITOLAK/DIBATALKAN release commitment on MVP baseline.</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RBC-004</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Complete</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SELESAI moves amount commitment → internal realization without double count.</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RBC-005</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Scope</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PTK cannot select/open budget line outside own department.</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RBC-006</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Duplicate</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Duplicate No FRA/evidence fingerprint triggers block/warning.</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RBC-007</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Revision Guard</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Activation of reduced budget version must detect uncovered commitment/realization.</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RBC-008</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Data Integrity</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amount &gt; 0, valid master refs, mapped department required.</w:t>
            </w:r>
          </w:p>
        </w:tc>
      </w:tr>
    </w:tbl>
    <w:p>
      <w:pPr>
        <w:spacing w:after="0"/>
      </w:pPr>
    </w:p>
    <w:p>
      <w:pPr>
        <w:pStyle w:val="Heading1"/>
      </w:pPr>
      <w:r>
        <w:t>9. Early Warning — MVP</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Rule</w:t>
            </w:r>
          </w:p>
        </w:tc>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Trigger</w:t>
            </w:r>
          </w:p>
        </w:tc>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Output</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EWS-001</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Available ratio &lt;= configured threshold</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Saldo kritis</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EWS-002</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Utilization &gt;= configured threshold</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Pemakaian sangat tinggi</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EWS-003</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DIAJUKAN tidak berubah &gt; configured days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Transaksi tertahan</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EWS-004</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New revision &lt; committed + completed</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Konflik revisi</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EWS-005</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Budget/import row belum mapping valid</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Data belum terpetakan</w:t>
            </w:r>
          </w:p>
        </w:tc>
      </w:tr>
    </w:tbl>
    <w:p>
      <w:pPr>
        <w:spacing w:after="0"/>
      </w:pPr>
    </w:p>
    <w:p>
      <w:r>
        <w:rPr>
          <w:rFonts w:ascii="Aptos" w:hAnsi="Aptos"/>
          <w:i w:val="0"/>
        </w:rPr>
        <w:t>Semua threshold disimpan di konfigurasi. Angka pada prototype saat ini tidak dianggap kebijakan resmi sebelum disepakati stakeholder.</w:t>
      </w:r>
    </w:p>
    <w:p>
      <w:pPr>
        <w:pStyle w:val="Heading1"/>
      </w:pPr>
      <w:r>
        <w:t>10. Dashboard Requirements</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Role</w:t>
            </w:r>
          </w:p>
        </w:tc>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KPI Utama</w:t>
            </w:r>
          </w:p>
        </w:tc>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Fokus</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PTK</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Pagu, Diajukan, Selesai, Saldo</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Transaksi saya &amp; action</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Kajur</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Pagu jurusan, Diajukan, Selesai, Saldo, warning</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Monitoring jurusan</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Kaprodi</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Transaksi/realisasi terkait prodi</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Monitoring prodi</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PTU/Bendahara</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Menunggu pemeriksaan, returned, issue, aging</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Queue</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Ketua PTK</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Pengajuan aktif, returned, aging per jurusan</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Koordinasi PTK</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Kabag</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Pagu fakultas, commitment, realisasi internal, saldo, warning</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Operational control</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WD/Dekan</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Pagu, realisasi internal, saldo, critical warning</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Strategic/executive</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Admin</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Active budget version, import/mapping health, users/rules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System health</w:t>
            </w:r>
          </w:p>
        </w:tc>
      </w:tr>
    </w:tbl>
    <w:p>
      <w:pPr>
        <w:spacing w:after="0"/>
      </w:pPr>
    </w:p>
    <w:p>
      <w:pPr>
        <w:pStyle w:val="Heading1"/>
      </w:pPr>
      <w:r>
        <w:t>11. Non-Functional Requirements</w:t>
      </w:r>
    </w:p>
    <w:p>
      <w:pPr>
        <w:pStyle w:val="ListBullet"/>
        <w:spacing w:after="40"/>
      </w:pPr>
      <w:r>
        <w:rPr>
          <w:rFonts w:ascii="Aptos" w:hAnsi="Aptos"/>
        </w:rPr>
        <w:t>Authorization server-side; tidak cukup hanya menyembunyikan menu frontend.</w:t>
      </w:r>
    </w:p>
    <w:p>
      <w:pPr>
        <w:pStyle w:val="ListBullet"/>
        <w:spacing w:after="40"/>
      </w:pPr>
      <w:r>
        <w:rPr>
          <w:rFonts w:ascii="Aptos" w:hAnsi="Aptos"/>
        </w:rPr>
        <w:t>Financial check dan status transition bersifat atomic database transaction.</w:t>
      </w:r>
    </w:p>
    <w:p>
      <w:pPr>
        <w:pStyle w:val="ListBullet"/>
        <w:spacing w:after="40"/>
      </w:pPr>
      <w:r>
        <w:rPr>
          <w:rFonts w:ascii="Aptos" w:hAnsi="Aptos"/>
        </w:rPr>
        <w:t>Audit critical action tidak dapat diedit user normal.</w:t>
      </w:r>
    </w:p>
    <w:p>
      <w:pPr>
        <w:pStyle w:val="ListBullet"/>
        <w:spacing w:after="40"/>
      </w:pPr>
      <w:r>
        <w:rPr>
          <w:rFonts w:ascii="Aptos" w:hAnsi="Aptos"/>
        </w:rPr>
        <w:t>Nominal menggunakan integer/decimal aman untuk Rupiah, bukan floating point.</w:t>
      </w:r>
    </w:p>
    <w:p>
      <w:pPr>
        <w:pStyle w:val="ListBullet"/>
        <w:spacing w:after="40"/>
      </w:pPr>
      <w:r>
        <w:rPr>
          <w:rFonts w:ascii="Aptos" w:hAnsi="Aptos"/>
        </w:rPr>
        <w:t>Import menggunakan staging dan error report; tidak langsung menulis budget aktif.</w:t>
      </w:r>
    </w:p>
    <w:p>
      <w:pPr>
        <w:pStyle w:val="ListBullet"/>
        <w:spacing w:after="40"/>
      </w:pPr>
      <w:r>
        <w:rPr>
          <w:rFonts w:ascii="Aptos" w:hAnsi="Aptos"/>
        </w:rPr>
        <w:t>Responsive desktop-first; PTK flow harus pendek dan mudah dipahami.</w:t>
      </w:r>
    </w:p>
    <w:p>
      <w:pPr>
        <w:pStyle w:val="ListBullet"/>
        <w:spacing w:after="40"/>
      </w:pPr>
      <w:r>
        <w:rPr>
          <w:rFonts w:ascii="Aptos" w:hAnsi="Aptos"/>
        </w:rPr>
        <w:t>Private document storage dan whitelist file types.</w:t>
      </w:r>
    </w:p>
    <w:p>
      <w:pPr>
        <w:pStyle w:val="ListBullet"/>
        <w:spacing w:after="40"/>
      </w:pPr>
      <w:r>
        <w:rPr>
          <w:rFonts w:ascii="Aptos" w:hAnsi="Aptos"/>
        </w:rPr>
        <w:t>Print A4, letterhead configurable, no hardcoded signatory.</w:t>
      </w:r>
    </w:p>
    <w:p>
      <w:pPr>
        <w:pStyle w:val="ListBullet"/>
        <w:spacing w:after="40"/>
      </w:pPr>
      <w:r>
        <w:rPr>
          <w:rFonts w:ascii="Aptos" w:hAnsi="Aptos"/>
        </w:rPr>
        <w:t>No public claim of real-time SAKTI/ELFINA integration.</w:t>
      </w:r>
    </w:p>
    <w:p>
      <w:pPr>
        <w:pStyle w:val="Heading1"/>
      </w:pPr>
      <w:r>
        <w:t>12. Acceptance Criteria — Core Scenario</w:t>
      </w:r>
    </w:p>
    <w:tbl>
      <w:tblPr>
        <w:tblW w:type="auto" w:w="0"/>
        <w:jc w:val="center"/>
        <w:tblLayout w:type="autofit"/>
        <w:tblLook w:firstColumn="1" w:firstRow="1" w:lastColumn="0" w:lastRow="0" w:noHBand="0" w:noVBand="1" w:val="04A0"/>
      </w:tblPr>
      <w:tblGrid>
        <w:gridCol w:w="4819"/>
        <w:gridCol w:w="4819"/>
      </w:tblGrid>
      <w:tr>
        <w:tc>
          <w:tcPr>
            <w:tcW w:type="dxa" w:w="4819"/>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ID</w:t>
            </w:r>
          </w:p>
        </w:tc>
        <w:tc>
          <w:tcPr>
            <w:tcW w:type="dxa" w:w="4819"/>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Acceptance Criterion</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AC-01</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Admin activates RM TA 2026 Rev 02 with JTIF control bucket Rp10.000.000.</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AC-02</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PTK JTIF can select its No RBA but cannot access JTS budget line.</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AC-03</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Draft Rp3.000.000 leaves available Rp10.000.000.</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AC-04</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Ajukan Rp3.000.000 passes and available becomes Rp7.000.000.</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AC-05</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Another Ajukan Rp8.000.000 is blocked by RBC-001.</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AC-06</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First transaction becomes SELESAI: commitment decreases Rp3.000.000, internal realization increases Rp3.000.000, available stays Rp7.000.000.</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AC-07</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Returned/Rejected transaction releases commitment.</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AC-08</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Kajur sees JTIF condition but cannot create/approve.</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AC-09</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PTU/Bendahara sees faculty queue and full budget context.</w:t>
            </w:r>
          </w:p>
        </w:tc>
      </w:tr>
      <w:tr>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AC-10</w:t>
            </w:r>
          </w:p>
        </w:tc>
        <w:tc>
          <w:tcPr>
            <w:tcW w:type="dxa" w:w="4819"/>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Dashboard/report values reconcile for same filters.</w:t>
            </w:r>
          </w:p>
        </w:tc>
      </w:tr>
    </w:tbl>
    <w:p>
      <w:pPr>
        <w:spacing w:after="0"/>
      </w:pPr>
    </w:p>
    <w:p>
      <w:pPr>
        <w:pStyle w:val="Heading1"/>
      </w:pPr>
      <w:r>
        <w:t>13. Migration from Current Prototype</w:t>
      </w:r>
    </w:p>
    <w:tbl>
      <w:tblPr>
        <w:tblW w:type="auto" w:w="0"/>
        <w:jc w:val="center"/>
        <w:tblLayout w:type="autofit"/>
        <w:tblLook w:firstColumn="1" w:firstRow="1" w:lastColumn="0" w:lastRow="0" w:noHBand="0" w:noVBand="1" w:val="04A0"/>
      </w:tblPr>
      <w:tblGrid>
        <w:gridCol w:w="3213"/>
        <w:gridCol w:w="3213"/>
        <w:gridCol w:w="3213"/>
      </w:tblGrid>
      <w:tr>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KEEP</w:t>
            </w:r>
          </w:p>
        </w:tc>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REVISE</w:t>
            </w:r>
          </w:p>
        </w:tc>
        <w:tc>
          <w:tcPr>
            <w:tcW w:type="dxa" w:w="3213"/>
            <w:shd w:fill="1D4ED8"/>
            <w:tcBorders>
              <w:top w:val="single" w:sz="4" w:color="CBD5E1"/>
              <w:left w:val="single" w:sz="4" w:color="CBD5E1"/>
              <w:bottom w:val="single" w:sz="4" w:color="CBD5E1"/>
              <w:right w:val="single" w:sz="4" w:color="CBD5E1"/>
              <w:insideH w:val="single" w:sz="4" w:color="CBD5E1"/>
              <w:insideV w:val="single" w:sz="4" w:color="CBD5E1"/>
            </w:tcBorders>
            <w:vAlign w:val="center"/>
          </w:tcPr>
          <w:p>
            <w:r>
              <w:rPr>
                <w:rFonts w:ascii="Aptos" w:hAnsi="Aptos"/>
                <w:b/>
                <w:color w:val="FFFFFF"/>
                <w:sz w:val="14"/>
              </w:rPr>
              <w:t>DEPRECATE/POSTPONE</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UI design, login/demo, pagu/revision/import, master, reports/audit</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Role semantics, No RBA input, statuses, control bucket, PTU naming, dashboards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Complex approval chain, hardcoded EWS thresholds, non-RM full workflow</w:t>
            </w:r>
          </w:p>
        </w:tc>
      </w:tr>
      <w:tr>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Transaction list/detail scaffolding</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Print template/signatory, prodi semantics, source filters</w:t>
            </w:r>
          </w:p>
        </w:tc>
        <w:tc>
          <w:tcPr>
            <w:tcW w:type="dxa" w:w="3213"/>
            <w:tcBorders>
              <w:top w:val="single" w:sz="4" w:color="CBD5E1"/>
              <w:left w:val="single" w:sz="4" w:color="CBD5E1"/>
              <w:bottom w:val="single" w:sz="4" w:color="CBD5E1"/>
              <w:right w:val="single" w:sz="4" w:color="CBD5E1"/>
              <w:insideH w:val="single" w:sz="4" w:color="CBD5E1"/>
              <w:insideV w:val="single" w:sz="4" w:color="CBD5E1"/>
            </w:tcBorders>
            <w:vAlign w:val="top"/>
          </w:tcPr>
          <w:p>
            <w:r>
              <w:rPr>
                <w:rFonts w:ascii="Aptos" w:hAnsi="Aptos"/>
                <w:color w:val="0F172A"/>
                <w:sz w:val="14"/>
              </w:rPr>
              <w:t>SAW/AI, external API dependency, advanced document generation</w:t>
            </w:r>
          </w:p>
        </w:tc>
      </w:tr>
    </w:tbl>
    <w:p>
      <w:pPr>
        <w:spacing w:after="0"/>
      </w:pPr>
    </w:p>
    <w:sectPr w:rsidR="00FC693F" w:rsidRPr="0006063C" w:rsidSect="00034616">
      <w:headerReference w:type="default" r:id="rId9"/>
      <w:footerReference w:type="default" r:id="rId10"/>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75569"/>
        <w:sz w:val="15"/>
      </w:rPr>
      <w:t>Dokumen kerja skripsi • SIKARA — Sistem Informasi Kendali Anggaran dan Realisasi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D4ED8"/>
        <w:sz w:val="16"/>
      </w:rPr>
      <w:t>SIKARA FT UNSOED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D4ED8"/>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F172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