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D4ED8"/>
          <w:sz w:val="60"/>
        </w:rPr>
        <w:t>SIKARA</w:t>
      </w:r>
    </w:p>
    <w:p>
      <w:r>
        <w:rPr>
          <w:rFonts w:ascii="Aptos Display" w:hAnsi="Aptos Display"/>
          <w:b/>
          <w:color w:val="0F172A"/>
          <w:sz w:val="28"/>
        </w:rPr>
        <w:t>Sistem Informasi Kendali Anggaran dan Realisasi</w:t>
      </w:r>
    </w:p>
    <w:p>
      <w:r>
        <w:rPr>
          <w:rFonts w:ascii="Aptos" w:hAnsi="Aptos"/>
          <w:color w:val="475569"/>
          <w:sz w:val="21"/>
        </w:rPr>
        <w:t>Fakultas Teknik Universitas Jenderal Soedirman</w:t>
      </w:r>
    </w:p>
    <w:p/>
    <w:p>
      <w:r>
        <w:rPr>
          <w:rFonts w:ascii="Aptos Display" w:hAnsi="Aptos Display"/>
          <w:b/>
          <w:color w:val="0F172A"/>
          <w:sz w:val="44"/>
        </w:rPr>
        <w:t>Technical Requirements Document (TRD)</w:t>
      </w:r>
    </w:p>
    <w:p>
      <w:r>
        <w:rPr>
          <w:rFonts w:ascii="Aptos" w:hAnsi="Aptos"/>
          <w:color w:val="475569"/>
          <w:sz w:val="21"/>
        </w:rPr>
        <w:t>Arsitektur teknis sederhana untuk codebase SIKARA existing</w:t>
      </w:r>
    </w:p>
    <w:p>
      <w:r>
        <w:rPr>
          <w:rFonts w:ascii="Aptos" w:hAnsi="Aptos"/>
          <w:b/>
          <w:color w:val="1D4ED8"/>
          <w:sz w:val="18"/>
        </w:rPr>
        <w:t>TRD v1.0 • Laravel/Vue/MySQL baseline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6FF"/>
            <w:tcBorders>
              <w:top w:val="single" w:sz="1" w:color="EFF6FF"/>
              <w:left w:val="single" w:sz="1" w:color="EFF6FF"/>
              <w:bottom w:val="single" w:sz="1" w:color="EFF6FF"/>
              <w:right w:val="single" w:sz="1" w:color="EFF6FF"/>
              <w:insideH w:val="single" w:sz="1" w:color="EFF6FF"/>
              <w:insideV w:val="single" w:sz="1" w:color="EFF6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TUJUAN DOKUMEN</w:t>
              <w:br/>
            </w:r>
            <w:r>
              <w:rPr>
                <w:rFonts w:ascii="Aptos" w:hAnsi="Aptos"/>
                <w:color w:val="0F172A"/>
                <w:sz w:val="18"/>
              </w:rPr>
              <w:t>Dokumen ini sengaja memisahkan fakta lapangan, keputusan desain, dan hal yang masih perlu validasi agar requirement tidak tercampur dan arah skripsi tetap stabil.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Technical Objective</w:t>
      </w:r>
    </w:p>
    <w:p>
      <w:r>
        <w:rPr>
          <w:rFonts w:ascii="Aptos" w:hAnsi="Aptos"/>
          <w:i w:val="0"/>
        </w:rPr>
        <w:t>TRD ini tidak meminta rewrite total. Targetnya adalah refactor incremental terhadap codebase existing sehingga master pagu, No RBA, transaction state, Rule-Based Budget Control, dashboard dan report memakai model data yang konsisten.</w:t>
      </w:r>
    </w:p>
    <w:p>
      <w:pPr>
        <w:pStyle w:val="Heading1"/>
      </w:pPr>
      <w:r>
        <w:t>2. Architecture Style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Frontend (Vue/existing)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UI, filter, search No RBA, form, dashboard, print preview. Tidak menjadi source of truth finansial.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Backend (Laravel/existing)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Authentication, authorization, business rules, aggregation, status transition, import, report.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Database (MySQL)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Master, versioned budget, budget line, control bucket, transaction, history, warnings, audit.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File Storage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Private attachments, import files, generated documents.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6FF"/>
            <w:tcBorders>
              <w:top w:val="single" w:sz="1" w:color="EFF6FF"/>
              <w:left w:val="single" w:sz="1" w:color="EFF6FF"/>
              <w:bottom w:val="single" w:sz="1" w:color="EFF6FF"/>
              <w:right w:val="single" w:sz="1" w:color="EFF6FF"/>
              <w:insideH w:val="single" w:sz="1" w:color="EFF6FF"/>
              <w:insideV w:val="single" w:sz="1" w:color="EFF6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ARCHITECTURE PRINCIPLE</w:t>
              <w:br/>
            </w:r>
            <w:r>
              <w:rPr>
                <w:rFonts w:ascii="Aptos" w:hAnsi="Aptos"/>
                <w:color w:val="0F172A"/>
                <w:sz w:val="18"/>
              </w:rPr>
              <w:t>Satu monolith modular sudah cukup untuk skripsi. Tidak perlu microservices.</w:t>
            </w:r>
          </w:p>
        </w:tc>
      </w:tr>
    </w:tbl>
    <w:p>
      <w:pPr>
        <w:spacing w:after="0"/>
      </w:pPr>
    </w:p>
    <w:p>
      <w:pPr>
        <w:pStyle w:val="Heading1"/>
      </w:pPr>
      <w:r>
        <w:t>3. Core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Table/Entity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users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id, name, email, status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Account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roles / user_roles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role code, user-role pivot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Multi-role; PTU + BENDAHARA possible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user_scopes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user, scope_type, scope_id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Faculty/Department/Study Program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departments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code, name, parent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JTIF/JTS/JTE/JTG/JTI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study_programs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department_id, code, name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Optional mapping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fiscal_years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year, status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TA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fund_sources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code, name, enabled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RM active MVP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budget_versions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year, fund, revision, status, source batch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Versioning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 master tables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program/activity/kro/ro/component/subcomponent/account/subaccount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Nomenclature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budget_lines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version, department, rba_sequence_no, hierarchy FKs, description, volume, unit_price, amount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Detail/reference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budget_control_buckets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version, department, subcomponent_id, account_id, amount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RBC control level baseline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transactions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budget_line, bucket, creator, prodi?, fra/evidence, date, description, amount, status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Operational record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transaction_status_histories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transaction, from, to, actor, reason, time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Timeline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warnings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rule, scope/object, severity, state, values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EWS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rule_configs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code, threshold/config, active, version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Config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audit_logs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actor, action, entity, before, after, time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Traceability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budget_import_batches/staging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file, row, validation status, mapping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3"/>
              </w:rPr>
              <w:t>Safe import</w:t>
            </w:r>
          </w:p>
        </w:tc>
      </w:tr>
    </w:tbl>
    <w:p>
      <w:pPr>
        <w:spacing w:after="0"/>
      </w:pPr>
    </w:p>
    <w:p>
      <w:pPr>
        <w:pStyle w:val="Heading1"/>
      </w:pPr>
      <w:r>
        <w:t>4. Key Constraints</w:t>
      </w:r>
    </w:p>
    <w:p>
      <w:pPr>
        <w:pStyle w:val="ListBullet"/>
        <w:spacing w:after="40"/>
      </w:pPr>
      <w:r>
        <w:rPr>
          <w:rFonts w:ascii="Aptos" w:hAnsi="Aptos"/>
        </w:rPr>
        <w:t>budget_versions: unique active per (fiscal_year_id, fund_source_id).</w:t>
      </w:r>
    </w:p>
    <w:p>
      <w:pPr>
        <w:pStyle w:val="ListBullet"/>
        <w:spacing w:after="40"/>
      </w:pPr>
      <w:r>
        <w:rPr>
          <w:rFonts w:ascii="Aptos" w:hAnsi="Aptos"/>
        </w:rPr>
        <w:t>budget_lines: rba_sequence_no is unique within defined version/department context, not assumed globally unique.</w:t>
      </w:r>
    </w:p>
    <w:p>
      <w:pPr>
        <w:pStyle w:val="ListBullet"/>
        <w:spacing w:after="40"/>
      </w:pPr>
      <w:r>
        <w:rPr>
          <w:rFonts w:ascii="Aptos" w:hAnsi="Aptos"/>
        </w:rPr>
        <w:t>transactions.amount &gt; 0.</w:t>
      </w:r>
    </w:p>
    <w:p>
      <w:pPr>
        <w:pStyle w:val="ListBullet"/>
        <w:spacing w:after="40"/>
      </w:pPr>
      <w:r>
        <w:rPr>
          <w:rFonts w:ascii="Aptos" w:hAnsi="Aptos"/>
        </w:rPr>
        <w:t>transactions.department is resolved from budget line/scope; do not trust free-text input.</w:t>
      </w:r>
    </w:p>
    <w:p>
      <w:pPr>
        <w:pStyle w:val="ListBullet"/>
        <w:spacing w:after="40"/>
      </w:pPr>
      <w:r>
        <w:rPr>
          <w:rFonts w:ascii="Aptos" w:hAnsi="Aptos"/>
        </w:rPr>
        <w:t>Master codes referenced by FK; names displayed from master/source snapshot.</w:t>
      </w:r>
    </w:p>
    <w:p>
      <w:pPr>
        <w:pStyle w:val="ListBullet"/>
        <w:spacing w:after="40"/>
      </w:pPr>
      <w:r>
        <w:rPr>
          <w:rFonts w:ascii="Aptos" w:hAnsi="Aptos"/>
        </w:rPr>
        <w:t>No hard delete for referenced master, budget version, user, or transaction.</w:t>
      </w:r>
    </w:p>
    <w:p>
      <w:pPr>
        <w:pStyle w:val="Heading1"/>
      </w:pPr>
      <w:r>
        <w:t>5. Control Bucket Model</w:t>
      </w:r>
    </w:p>
    <w:p>
      <w:r>
        <w:rPr>
          <w:rFonts w:ascii="Aptos" w:hAnsi="Aptos"/>
          <w:i w:val="0"/>
        </w:rPr>
        <w:t>Baseline group key: budget_version_id + department_id + subcomponent_id + account_id. Semua budget lines dalam key tersebut berkontribusi pada current_budget bucket. Jika pembimbing memilih level Jurusan + Akun, hanya grouping config yang berubah; transaction tetap menunjuk budget_line dan bucket.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FCE7"/>
            <w:tcBorders>
              <w:top w:val="single" w:sz="1" w:color="DCFCE7"/>
              <w:left w:val="single" w:sz="1" w:color="DCFCE7"/>
              <w:bottom w:val="single" w:sz="1" w:color="DCFCE7"/>
              <w:right w:val="single" w:sz="1" w:color="DCFCE7"/>
              <w:insideH w:val="single" w:sz="1" w:color="DCFCE7"/>
              <w:insideV w:val="single" w:sz="1" w:color="DCFCE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WHY</w:t>
              <w:br/>
            </w:r>
            <w:r>
              <w:rPr>
                <w:rFonts w:ascii="Aptos" w:hAnsi="Aptos"/>
                <w:color w:val="0F172A"/>
                <w:sz w:val="18"/>
              </w:rPr>
              <w:t>No RBA mempertahankan traceability detail, sedangkan bucket mencegah kontrol menjadi terlalu kaku per baris.</w:t>
            </w:r>
          </w:p>
        </w:tc>
      </w:tr>
    </w:tbl>
    <w:p>
      <w:pPr>
        <w:spacing w:after="0"/>
      </w:pPr>
    </w:p>
    <w:p>
      <w:pPr>
        <w:pStyle w:val="Heading1"/>
      </w:pPr>
      <w:r>
        <w:t>6. Financial Calculation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Formula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Current Budget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budget_control_bucket.amount pada active budget version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Active Commitment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SUM(transactions.amount WHERE status = DIAJUKAN)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Internal Realization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SUM(transactions.amount WHERE status = SELESAI)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Available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Current Budget − Active Commitment − Internal Realization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Serapan Internal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Internal Realization / Current Budget × 100%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Utilization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(Commitment + Internal Realization) / Current Budget × 100%</w:t>
            </w:r>
          </w:p>
        </w:tc>
      </w:tr>
    </w:tbl>
    <w:p>
      <w:pPr>
        <w:spacing w:after="0"/>
      </w:pPr>
    </w:p>
    <w:p>
      <w:pPr>
        <w:pStyle w:val="Heading1"/>
      </w:pPr>
      <w:r>
        <w:t>7. Status State Machine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To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Financial Effect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—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Create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DRAFT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None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DRAFT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Create commitment / reduce available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Return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DIKEMBALIKAN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commitment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DIKEMBALIKAN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Resubmit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Recheck and create commitment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Reject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DITOLAK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commitment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Complete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SELESAI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Commitment → internal realization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DRAFT/DIAJUKAN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Cancel if allowed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DIBATALKAN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Release if committed</w:t>
            </w:r>
          </w:p>
        </w:tc>
      </w:tr>
    </w:tbl>
    <w:p>
      <w:pPr>
        <w:spacing w:after="0"/>
      </w:pPr>
    </w:p>
    <w:p>
      <w:pPr>
        <w:pStyle w:val="Heading1"/>
      </w:pPr>
      <w:r>
        <w:t>8. Atomic Submit Algorithm</w:t>
      </w:r>
    </w:p>
    <w:p>
      <w:r>
        <w:rPr>
          <w:rFonts w:ascii="Aptos" w:hAnsi="Aptos"/>
          <w:i w:val="0"/>
        </w:rPr>
        <w:t>Pseudo-flow untuk Ajukan:</w:t>
      </w:r>
    </w:p>
    <w:p>
      <w:pPr>
        <w:spacing w:after="40"/>
        <w:ind w:left="259" w:hanging="259"/>
      </w:pPr>
      <w:r>
        <w:rPr>
          <w:rFonts w:ascii="Aptos" w:hAnsi="Aptos"/>
        </w:rPr>
        <w:t>1.  BEGIN DATABASE TRANSACTION.</w:t>
      </w:r>
    </w:p>
    <w:p>
      <w:pPr>
        <w:spacing w:after="40"/>
        <w:ind w:left="259" w:hanging="259"/>
      </w:pPr>
      <w:r>
        <w:rPr>
          <w:rFonts w:ascii="Aptos" w:hAnsi="Aptos"/>
        </w:rPr>
        <w:t>2.  Lock target control bucket row (SELECT ... FOR UPDATE or Laravel equivalent).</w:t>
      </w:r>
    </w:p>
    <w:p>
      <w:pPr>
        <w:spacing w:after="40"/>
        <w:ind w:left="259" w:hanging="259"/>
      </w:pPr>
      <w:r>
        <w:rPr>
          <w:rFonts w:ascii="Aptos" w:hAnsi="Aptos"/>
        </w:rPr>
        <w:t>3.  Recalculate current budget, active commitments and internal realization from DB.</w:t>
      </w:r>
    </w:p>
    <w:p>
      <w:pPr>
        <w:spacing w:after="40"/>
        <w:ind w:left="259" w:hanging="259"/>
      </w:pPr>
      <w:r>
        <w:rPr>
          <w:rFonts w:ascii="Aptos" w:hAnsi="Aptos"/>
        </w:rPr>
        <w:t>4.  Compute available.</w:t>
      </w:r>
    </w:p>
    <w:p>
      <w:pPr>
        <w:spacing w:after="40"/>
        <w:ind w:left="259" w:hanging="259"/>
      </w:pPr>
      <w:r>
        <w:rPr>
          <w:rFonts w:ascii="Aptos" w:hAnsi="Aptos"/>
        </w:rPr>
        <w:t>5.  IF amount &gt; available → rollback and return RBC-001 error.</w:t>
      </w:r>
    </w:p>
    <w:p>
      <w:pPr>
        <w:spacing w:after="40"/>
        <w:ind w:left="259" w:hanging="259"/>
      </w:pPr>
      <w:r>
        <w:rPr>
          <w:rFonts w:ascii="Aptos" w:hAnsi="Aptos"/>
        </w:rPr>
        <w:t>6.  Validate scope, status, duplicate and master mapping.</w:t>
      </w:r>
    </w:p>
    <w:p>
      <w:pPr>
        <w:spacing w:after="40"/>
        <w:ind w:left="259" w:hanging="259"/>
      </w:pPr>
      <w:r>
        <w:rPr>
          <w:rFonts w:ascii="Aptos" w:hAnsi="Aptos"/>
        </w:rPr>
        <w:t>7.  Update transaction status to DIAJUKAN + write history + audit.</w:t>
      </w:r>
    </w:p>
    <w:p>
      <w:pPr>
        <w:spacing w:after="40"/>
        <w:ind w:left="259" w:hanging="259"/>
      </w:pPr>
      <w:r>
        <w:rPr>
          <w:rFonts w:ascii="Aptos" w:hAnsi="Aptos"/>
        </w:rPr>
        <w:t>8.  COMMIT.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E2E2"/>
            <w:tcBorders>
              <w:top w:val="single" w:sz="1" w:color="FEE2E2"/>
              <w:left w:val="single" w:sz="1" w:color="FEE2E2"/>
              <w:bottom w:val="single" w:sz="1" w:color="FEE2E2"/>
              <w:right w:val="single" w:sz="1" w:color="FEE2E2"/>
              <w:insideH w:val="single" w:sz="1" w:color="FEE2E2"/>
              <w:insideV w:val="single" w:sz="1" w:color="FEE2E2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IMPORTANT</w:t>
              <w:br/>
            </w:r>
            <w:r>
              <w:rPr>
                <w:rFonts w:ascii="Aptos" w:hAnsi="Aptos"/>
                <w:color w:val="0F172A"/>
                <w:sz w:val="18"/>
              </w:rPr>
              <w:t>Frontend live calculation is only preview. Backend calculation inside transaction is authoritative.</w:t>
            </w:r>
          </w:p>
        </w:tc>
      </w:tr>
    </w:tbl>
    <w:p>
      <w:pPr>
        <w:spacing w:after="0"/>
      </w:pPr>
    </w:p>
    <w:p>
      <w:pPr>
        <w:pStyle w:val="Heading1"/>
      </w:pPr>
      <w:r>
        <w:t>9. Atomic Complete Algorithm</w:t>
      </w:r>
    </w:p>
    <w:p>
      <w:pPr>
        <w:spacing w:after="40"/>
        <w:ind w:left="259" w:hanging="259"/>
      </w:pPr>
      <w:r>
        <w:rPr>
          <w:rFonts w:ascii="Aptos" w:hAnsi="Aptos"/>
        </w:rPr>
        <w:t>1.  Lock transaction and bucket.</w:t>
      </w:r>
    </w:p>
    <w:p>
      <w:pPr>
        <w:spacing w:after="40"/>
        <w:ind w:left="259" w:hanging="259"/>
      </w:pPr>
      <w:r>
        <w:rPr>
          <w:rFonts w:ascii="Aptos" w:hAnsi="Aptos"/>
        </w:rPr>
        <w:t>2.  Require current status DIAJUKAN and proper permission.</w:t>
      </w:r>
    </w:p>
    <w:p>
      <w:pPr>
        <w:spacing w:after="40"/>
        <w:ind w:left="259" w:hanging="259"/>
      </w:pPr>
      <w:r>
        <w:rPr>
          <w:rFonts w:ascii="Aptos" w:hAnsi="Aptos"/>
        </w:rPr>
        <w:t>3.  Change status to SELESAI; do not create an additional amount that causes double count.</w:t>
      </w:r>
    </w:p>
    <w:p>
      <w:pPr>
        <w:spacing w:after="40"/>
        <w:ind w:left="259" w:hanging="259"/>
      </w:pPr>
      <w:r>
        <w:rPr>
          <w:rFonts w:ascii="Aptos" w:hAnsi="Aptos"/>
        </w:rPr>
        <w:t>4.  Write status history and audit.</w:t>
      </w:r>
    </w:p>
    <w:p>
      <w:pPr>
        <w:spacing w:after="40"/>
        <w:ind w:left="259" w:hanging="259"/>
      </w:pPr>
      <w:r>
        <w:rPr>
          <w:rFonts w:ascii="Aptos" w:hAnsi="Aptos"/>
        </w:rPr>
        <w:t>5.  Commit, then re-evaluate warnings asynchronously/synchronously as appropriate.</w:t>
      </w:r>
    </w:p>
    <w:p>
      <w:pPr>
        <w:pStyle w:val="Heading1"/>
      </w:pPr>
      <w:r>
        <w:t>10. Import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Technical Requirement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Upload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Whitelist xlsx/xls/csv/ods, size limit, save batch metadata.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Parse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Read rows into staging; never directly activate.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Schema Validation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Required columns, type, amount, year/revision.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Master Match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EXISTING / NEW / UNMAPPED for codes.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Department Mapping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Must map to unique department code.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 Line Build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Create No RBA/source lines and hierarchy refs.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Bucket Build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Group lines into control bucket.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Preview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Totals, errors, duplicates, unmapped.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Commit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All-or-controlled batch transaction; create budget version.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Activate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Separate authorized action.</w:t>
            </w:r>
          </w:p>
        </w:tc>
      </w:tr>
    </w:tbl>
    <w:p>
      <w:pPr>
        <w:spacing w:after="0"/>
      </w:pPr>
    </w:p>
    <w:p>
      <w:pPr>
        <w:pStyle w:val="Heading1"/>
      </w:pPr>
      <w:r>
        <w:t>11. Authorization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Server-side Rule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budget/transaction department_id must equal authorized department scope.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Kajur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read department only; no transaction create/financial state action.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Kaprodi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read transactions where study_program_id is authorized; no invented prodi-wide budget.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PTU/Bendahara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faculty read/review according to permissions.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Kabag/WD/Dekan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faculty monitoring/report; actions only if separately granted.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Admin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system config; not automatic financial approver.</w:t>
            </w:r>
          </w:p>
        </w:tc>
      </w:tr>
    </w:tbl>
    <w:p>
      <w:pPr>
        <w:spacing w:after="0"/>
      </w:pPr>
    </w:p>
    <w:p>
      <w:pPr>
        <w:pStyle w:val="Heading1"/>
      </w:pPr>
      <w:r>
        <w:t>12. API/Service Boundaries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Service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BudgetImportService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Parse/stage/map/commit budget import.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BudgetQueryService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Resolve active version, budget lines, bucket summaries.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TransactionService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Create/edit draft, submit, return, reject, complete, cancel.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BudgetControlService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Authoritative RBC calculation and lock.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WarningService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Evaluate EWS rules and lifecycle.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DashboardService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Aggregations by role/scope/filter.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ReportService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Shared report calculations and exports.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AuditService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Append audit records.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DocumentService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Print/PDF template, letterhead, attachments.</w:t>
            </w:r>
          </w:p>
        </w:tc>
      </w:tr>
    </w:tbl>
    <w:p>
      <w:pPr>
        <w:spacing w:after="0"/>
      </w:pPr>
    </w:p>
    <w:p>
      <w:pPr>
        <w:pStyle w:val="Heading1"/>
      </w:pPr>
      <w:r>
        <w:t>13. Suggested Routes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Route Example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Auth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/login, /logout, /demo-login (demo only)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/budgets, /budgets/{id}, /budget-versions, /budgets-import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Transactions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/transactions, /transactions/create, /transactions/{id}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PTU Queue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/reviews or existing /approvals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Warnings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/warnings, /warnings/{id}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Reports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/reports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Admin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/master/departments, /master/budget-structure, /master/fiscal-years, /users, /audit-logs, /settings</w:t>
            </w:r>
          </w:p>
        </w:tc>
      </w:tr>
    </w:tbl>
    <w:p>
      <w:pPr>
        <w:spacing w:after="0"/>
      </w:pPr>
    </w:p>
    <w:p>
      <w:r>
        <w:rPr>
          <w:rFonts w:ascii="Aptos" w:hAnsi="Aptos"/>
          <w:i w:val="0"/>
        </w:rPr>
        <w:t>Route lama /submissions dapat dipertahankan untuk compatibility; rename harus dilakukan incremental setelah domain terminology stabil.</w:t>
      </w:r>
    </w:p>
    <w:p>
      <w:pPr>
        <w:pStyle w:val="Heading1"/>
      </w:pPr>
      <w:r>
        <w:t>14. Printing &amp; Documents</w:t>
      </w:r>
    </w:p>
    <w:p>
      <w:pPr>
        <w:pStyle w:val="ListBullet"/>
        <w:spacing w:after="40"/>
      </w:pPr>
      <w:r>
        <w:rPr>
          <w:rFonts w:ascii="Aptos" w:hAnsi="Aptos"/>
        </w:rPr>
        <w:t>A4 print CSS; hide navigation/UI controls.</w:t>
      </w:r>
    </w:p>
    <w:p>
      <w:pPr>
        <w:pStyle w:val="ListBullet"/>
        <w:spacing w:after="40"/>
      </w:pPr>
      <w:r>
        <w:rPr>
          <w:rFonts w:ascii="Aptos" w:hAnsi="Aptos"/>
        </w:rPr>
        <w:t>Letterhead data from system settings (logo, university, faculty, address, contacts).</w:t>
      </w:r>
    </w:p>
    <w:p>
      <w:pPr>
        <w:pStyle w:val="ListBullet"/>
        <w:spacing w:after="40"/>
      </w:pPr>
      <w:r>
        <w:rPr>
          <w:rFonts w:ascii="Aptos" w:hAnsi="Aptos"/>
        </w:rPr>
        <w:t>Transaction print includes budget context and No RBA/No FRA/bukti.</w:t>
      </w:r>
    </w:p>
    <w:p>
      <w:pPr>
        <w:pStyle w:val="ListBullet"/>
        <w:spacing w:after="40"/>
      </w:pPr>
      <w:r>
        <w:rPr>
          <w:rFonts w:ascii="Aptos" w:hAnsi="Aptos"/>
        </w:rPr>
        <w:t>Do not hardcode signature roles until stakeholder validates official document format.</w:t>
      </w:r>
    </w:p>
    <w:p>
      <w:pPr>
        <w:pStyle w:val="ListBullet"/>
        <w:spacing w:after="40"/>
      </w:pPr>
      <w:r>
        <w:rPr>
          <w:rFonts w:ascii="Aptos" w:hAnsi="Aptos"/>
        </w:rPr>
        <w:t>Store template version/reference for final documents when feasible.</w:t>
      </w:r>
    </w:p>
    <w:p>
      <w:pPr>
        <w:pStyle w:val="Heading1"/>
      </w:pPr>
      <w:r>
        <w:t>15. EWS Technical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Data Source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Config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Saldo Kritis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bucket.available / bucket.current_budget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ratio threshold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High Utilization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(commitment + realized)/budget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ratio threshold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Stale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transaction.status + updated_at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days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Revision Conflict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new bucket amount vs active commitments/reality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 free threshold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Unmapped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staging/master relation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 threshold</w:t>
            </w:r>
          </w:p>
        </w:tc>
      </w:tr>
    </w:tbl>
    <w:p>
      <w:pPr>
        <w:spacing w:after="0"/>
      </w:pPr>
    </w:p>
    <w:p>
      <w:pPr>
        <w:pStyle w:val="Heading1"/>
      </w:pPr>
      <w:r>
        <w:t>16. Security &amp; Data Integrity</w:t>
      </w:r>
    </w:p>
    <w:p>
      <w:pPr>
        <w:pStyle w:val="ListBullet"/>
        <w:spacing w:after="40"/>
      </w:pPr>
      <w:r>
        <w:rPr>
          <w:rFonts w:ascii="Aptos" w:hAnsi="Aptos"/>
        </w:rPr>
        <w:t>CSRF/session protection, password hashing, rate limit login.</w:t>
      </w:r>
    </w:p>
    <w:p>
      <w:pPr>
        <w:pStyle w:val="ListBullet"/>
        <w:spacing w:after="40"/>
      </w:pPr>
      <w:r>
        <w:rPr>
          <w:rFonts w:ascii="Aptos" w:hAnsi="Aptos"/>
        </w:rPr>
        <w:t>Private file storage; MIME/extension/size validation.</w:t>
      </w:r>
    </w:p>
    <w:p>
      <w:pPr>
        <w:pStyle w:val="ListBullet"/>
        <w:spacing w:after="40"/>
      </w:pPr>
      <w:r>
        <w:rPr>
          <w:rFonts w:ascii="Aptos" w:hAnsi="Aptos"/>
        </w:rPr>
        <w:t>No client-supplied scope trusted without backend verification.</w:t>
      </w:r>
    </w:p>
    <w:p>
      <w:pPr>
        <w:pStyle w:val="ListBullet"/>
        <w:spacing w:after="40"/>
      </w:pPr>
      <w:r>
        <w:rPr>
          <w:rFonts w:ascii="Aptos" w:hAnsi="Aptos"/>
        </w:rPr>
        <w:t>No float for money; use DECIMAL or integer Rupiah.</w:t>
      </w:r>
    </w:p>
    <w:p>
      <w:pPr>
        <w:pStyle w:val="ListBullet"/>
        <w:spacing w:after="40"/>
      </w:pPr>
      <w:r>
        <w:rPr>
          <w:rFonts w:ascii="Aptos" w:hAnsi="Aptos"/>
        </w:rPr>
        <w:t>Audit sensitive changes; do not log passwords/tokens.</w:t>
      </w:r>
    </w:p>
    <w:p>
      <w:pPr>
        <w:pStyle w:val="ListBullet"/>
        <w:spacing w:after="40"/>
      </w:pPr>
      <w:r>
        <w:rPr>
          <w:rFonts w:ascii="Aptos" w:hAnsi="Aptos"/>
        </w:rPr>
        <w:t>Demo endpoint disabled in production.</w:t>
      </w:r>
    </w:p>
    <w:p>
      <w:pPr>
        <w:pStyle w:val="Heading1"/>
      </w:pPr>
      <w:r>
        <w:t>17. Testing Requirements</w:t>
      </w:r>
    </w:p>
    <w:p>
      <w:pPr>
        <w:pStyle w:val="ListBullet"/>
        <w:spacing w:after="40"/>
      </w:pPr>
      <w:r>
        <w:rPr>
          <w:rFonts w:ascii="Aptos" w:hAnsi="Aptos"/>
        </w:rPr>
        <w:t>T-01 — PTK JTIF cannot read/write JTS.</w:t>
      </w:r>
    </w:p>
    <w:p>
      <w:pPr>
        <w:pStyle w:val="ListBullet"/>
        <w:spacing w:after="40"/>
      </w:pPr>
      <w:r>
        <w:rPr>
          <w:rFonts w:ascii="Aptos" w:hAnsi="Aptos"/>
        </w:rPr>
        <w:t>T-02 — Draft does not change available.</w:t>
      </w:r>
    </w:p>
    <w:p>
      <w:pPr>
        <w:pStyle w:val="ListBullet"/>
        <w:spacing w:after="40"/>
      </w:pPr>
      <w:r>
        <w:rPr>
          <w:rFonts w:ascii="Aptos" w:hAnsi="Aptos"/>
        </w:rPr>
        <w:t>T-03 — Ajukan below available succeeds.</w:t>
      </w:r>
    </w:p>
    <w:p>
      <w:pPr>
        <w:pStyle w:val="ListBullet"/>
        <w:spacing w:after="40"/>
      </w:pPr>
      <w:r>
        <w:rPr>
          <w:rFonts w:ascii="Aptos" w:hAnsi="Aptos"/>
        </w:rPr>
        <w:t>T-04 — Ajukan above available fails RBC-001.</w:t>
      </w:r>
    </w:p>
    <w:p>
      <w:pPr>
        <w:pStyle w:val="ListBullet"/>
        <w:spacing w:after="40"/>
      </w:pPr>
      <w:r>
        <w:rPr>
          <w:rFonts w:ascii="Aptos" w:hAnsi="Aptos"/>
        </w:rPr>
        <w:t>T-05 — Concurrent submissions cannot make available negative.</w:t>
      </w:r>
    </w:p>
    <w:p>
      <w:pPr>
        <w:pStyle w:val="ListBullet"/>
        <w:spacing w:after="40"/>
      </w:pPr>
      <w:r>
        <w:rPr>
          <w:rFonts w:ascii="Aptos" w:hAnsi="Aptos"/>
        </w:rPr>
        <w:t>T-06 — Returned/rejected/cancelled release commitment.</w:t>
      </w:r>
    </w:p>
    <w:p>
      <w:pPr>
        <w:pStyle w:val="ListBullet"/>
        <w:spacing w:after="40"/>
      </w:pPr>
      <w:r>
        <w:rPr>
          <w:rFonts w:ascii="Aptos" w:hAnsi="Aptos"/>
        </w:rPr>
        <w:t>T-07 — Selesai does not double count.</w:t>
      </w:r>
    </w:p>
    <w:p>
      <w:pPr>
        <w:pStyle w:val="ListBullet"/>
        <w:spacing w:after="40"/>
      </w:pPr>
      <w:r>
        <w:rPr>
          <w:rFonts w:ascii="Aptos" w:hAnsi="Aptos"/>
        </w:rPr>
        <w:t>T-08 — Budget revision history preserved.</w:t>
      </w:r>
    </w:p>
    <w:p>
      <w:pPr>
        <w:pStyle w:val="ListBullet"/>
        <w:spacing w:after="40"/>
      </w:pPr>
      <w:r>
        <w:rPr>
          <w:rFonts w:ascii="Aptos" w:hAnsi="Aptos"/>
        </w:rPr>
        <w:t>T-09 — Invalid import never activates.</w:t>
      </w:r>
    </w:p>
    <w:p>
      <w:pPr>
        <w:pStyle w:val="ListBullet"/>
        <w:spacing w:after="40"/>
      </w:pPr>
      <w:r>
        <w:rPr>
          <w:rFonts w:ascii="Aptos" w:hAnsi="Aptos"/>
        </w:rPr>
        <w:t>T-10 — Dashboard/report totals reconcile.</w:t>
      </w:r>
    </w:p>
    <w:p>
      <w:pPr>
        <w:pStyle w:val="ListBullet"/>
        <w:spacing w:after="40"/>
      </w:pPr>
      <w:r>
        <w:rPr>
          <w:rFonts w:ascii="Aptos" w:hAnsi="Aptos"/>
        </w:rPr>
        <w:t>T-11 — Kaprodi scope is correct.</w:t>
      </w:r>
    </w:p>
    <w:p>
      <w:pPr>
        <w:pStyle w:val="ListBullet"/>
        <w:spacing w:after="40"/>
      </w:pPr>
      <w:r>
        <w:rPr>
          <w:rFonts w:ascii="Aptos" w:hAnsi="Aptos"/>
        </w:rPr>
        <w:t>T-12 — Print uses configured letterhead and does not expose UI chrome.</w:t>
      </w:r>
    </w:p>
    <w:p>
      <w:pPr>
        <w:pStyle w:val="Heading1"/>
      </w:pPr>
      <w:r>
        <w:t>18. Migration Strategy</w:t>
      </w:r>
    </w:p>
    <w:p>
      <w:pPr>
        <w:spacing w:after="40"/>
        <w:ind w:left="259" w:hanging="259"/>
      </w:pPr>
      <w:r>
        <w:rPr>
          <w:rFonts w:ascii="Aptos" w:hAnsi="Aptos"/>
        </w:rPr>
        <w:t>1.  Audit existing schema/routes/services first.</w:t>
      </w:r>
    </w:p>
    <w:p>
      <w:pPr>
        <w:spacing w:after="40"/>
        <w:ind w:left="259" w:hanging="259"/>
      </w:pPr>
      <w:r>
        <w:rPr>
          <w:rFonts w:ascii="Aptos" w:hAnsi="Aptos"/>
        </w:rPr>
        <w:t>2.  Do not drop tables or reset production data.</w:t>
      </w:r>
    </w:p>
    <w:p>
      <w:pPr>
        <w:spacing w:after="40"/>
        <w:ind w:left="259" w:hanging="259"/>
      </w:pPr>
      <w:r>
        <w:rPr>
          <w:rFonts w:ascii="Aptos" w:hAnsi="Aptos"/>
        </w:rPr>
        <w:t>3.  Add budget_line / No RBA and control_bucket structures incrementally.</w:t>
      </w:r>
    </w:p>
    <w:p>
      <w:pPr>
        <w:spacing w:after="40"/>
        <w:ind w:left="259" w:hanging="259"/>
      </w:pPr>
      <w:r>
        <w:rPr>
          <w:rFonts w:ascii="Aptos" w:hAnsi="Aptos"/>
        </w:rPr>
        <w:t>4.  Map existing submissions to new status semantics via compatibility layer where possible.</w:t>
      </w:r>
    </w:p>
    <w:p>
      <w:pPr>
        <w:spacing w:after="40"/>
        <w:ind w:left="259" w:hanging="259"/>
      </w:pPr>
      <w:r>
        <w:rPr>
          <w:rFonts w:ascii="Aptos" w:hAnsi="Aptos"/>
        </w:rPr>
        <w:t>5.  Keep existing UI components and refactor their data source/labels.</w:t>
      </w:r>
    </w:p>
    <w:p>
      <w:pPr>
        <w:spacing w:after="40"/>
        <w:ind w:left="259" w:hanging="259"/>
      </w:pPr>
      <w:r>
        <w:rPr>
          <w:rFonts w:ascii="Aptos" w:hAnsi="Aptos"/>
        </w:rPr>
        <w:t>6.  Feature-flag new transaction flow until core tests pass.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75569"/>
        <w:sz w:val="15"/>
      </w:rPr>
      <w:t>Dokumen kerja skripsi • SIKARA — Sistem Informasi Kendali Anggaran dan Realisasi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D4ED8"/>
        <w:sz w:val="16"/>
      </w:rPr>
      <w:t>SIKARA FT UNSOED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