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59A3" w14:textId="77777777" w:rsidR="003F0E9D" w:rsidRPr="003F0E9D" w:rsidRDefault="003F0E9D" w:rsidP="003F0E9D">
      <w:pPr>
        <w:rPr>
          <w:sz w:val="28"/>
          <w:szCs w:val="28"/>
        </w:rPr>
      </w:pPr>
    </w:p>
    <w:p w14:paraId="583E7AC9" w14:textId="77777777" w:rsidR="003F0E9D" w:rsidRPr="003F0E9D" w:rsidRDefault="003F0E9D" w:rsidP="003F0E9D">
      <w:pPr>
        <w:rPr>
          <w:b/>
          <w:bCs/>
          <w:sz w:val="28"/>
          <w:szCs w:val="28"/>
        </w:rPr>
      </w:pPr>
      <w:r w:rsidRPr="003F0E9D">
        <w:rPr>
          <w:b/>
          <w:bCs/>
          <w:sz w:val="28"/>
          <w:szCs w:val="28"/>
        </w:rPr>
        <w:t>Modern Minimalistic</w:t>
      </w:r>
    </w:p>
    <w:p w14:paraId="6FF9502D" w14:textId="77777777" w:rsidR="003F0E9D" w:rsidRPr="003F0E9D" w:rsidRDefault="003F0E9D" w:rsidP="003F0E9D">
      <w:pPr>
        <w:rPr>
          <w:sz w:val="28"/>
          <w:szCs w:val="28"/>
        </w:rPr>
      </w:pPr>
      <w:r w:rsidRPr="003F0E9D">
        <w:rPr>
          <w:sz w:val="28"/>
          <w:szCs w:val="28"/>
        </w:rPr>
        <w:t>Year of completion- 2025</w:t>
      </w:r>
    </w:p>
    <w:p w14:paraId="4A85C269" w14:textId="77777777" w:rsidR="003F0E9D" w:rsidRPr="003F0E9D" w:rsidRDefault="003F0E9D" w:rsidP="003F0E9D">
      <w:pPr>
        <w:rPr>
          <w:sz w:val="28"/>
          <w:szCs w:val="28"/>
        </w:rPr>
      </w:pPr>
      <w:r w:rsidRPr="003F0E9D">
        <w:rPr>
          <w:sz w:val="28"/>
          <w:szCs w:val="28"/>
        </w:rPr>
        <w:t xml:space="preserve">Location: </w:t>
      </w:r>
      <w:proofErr w:type="spellStart"/>
      <w:r w:rsidRPr="003F0E9D">
        <w:rPr>
          <w:sz w:val="28"/>
          <w:szCs w:val="28"/>
        </w:rPr>
        <w:t>Trimbak</w:t>
      </w:r>
      <w:proofErr w:type="spellEnd"/>
      <w:r w:rsidRPr="003F0E9D">
        <w:rPr>
          <w:sz w:val="28"/>
          <w:szCs w:val="28"/>
        </w:rPr>
        <w:t xml:space="preserve"> Sadan, Vile Parle, Mumbai, India</w:t>
      </w:r>
    </w:p>
    <w:p w14:paraId="08801DED" w14:textId="21EDEAC7" w:rsidR="003F0E9D" w:rsidRPr="003F0E9D" w:rsidRDefault="003F0E9D" w:rsidP="003F0E9D">
      <w:pPr>
        <w:rPr>
          <w:sz w:val="28"/>
          <w:szCs w:val="28"/>
        </w:rPr>
      </w:pPr>
      <w:r w:rsidRPr="003F0E9D">
        <w:rPr>
          <w:sz w:val="28"/>
          <w:szCs w:val="28"/>
        </w:rPr>
        <w:t>This residence</w:t>
      </w:r>
      <w:r w:rsidRPr="003F0E9D">
        <w:rPr>
          <w:sz w:val="28"/>
          <w:szCs w:val="28"/>
        </w:rPr>
        <w:t xml:space="preserve"> for Mr. Bhagwat,</w:t>
      </w:r>
      <w:r w:rsidRPr="003F0E9D">
        <w:rPr>
          <w:sz w:val="28"/>
          <w:szCs w:val="28"/>
        </w:rPr>
        <w:t xml:space="preserve"> is the best example of “less is more”. By prioritizing clean geometric forms softened by a palette of rich woods, natural textiles, and artisanal finishes—evident from the tailored living and to the integrated details in the kitchen, the design is profoundly tactile. </w:t>
      </w:r>
    </w:p>
    <w:p w14:paraId="0DB20528" w14:textId="7EEEBACB" w:rsidR="009E7BA0" w:rsidRPr="00D712A8" w:rsidRDefault="009E7BA0">
      <w:pPr>
        <w:rPr>
          <w:sz w:val="28"/>
          <w:szCs w:val="28"/>
        </w:rPr>
      </w:pPr>
    </w:p>
    <w:sectPr w:rsidR="009E7BA0" w:rsidRPr="00D71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3F0E9D"/>
    <w:rsid w:val="005D4C51"/>
    <w:rsid w:val="00822F6F"/>
    <w:rsid w:val="009E7BA0"/>
    <w:rsid w:val="00A8413D"/>
    <w:rsid w:val="00BC331D"/>
    <w:rsid w:val="00D7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E9D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4</cp:revision>
  <dcterms:created xsi:type="dcterms:W3CDTF">2026-06-15T13:02:00Z</dcterms:created>
  <dcterms:modified xsi:type="dcterms:W3CDTF">2026-06-15T13:39:00Z</dcterms:modified>
</cp:coreProperties>
</file>