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-571500</wp:posOffset>
                </wp:positionH>
                <wp:positionV relativeFrom="paragraph">
                  <wp:posOffset>-447675</wp:posOffset>
                </wp:positionV>
                <wp:extent cx="7068820" cy="1296670"/>
                <wp:effectExtent l="0" t="0" r="76200" b="76200"/>
                <wp:wrapNone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8240" cy="12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dir="2700000" dist="106914">
                            <a:srgbClr val="808080"/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Gothic-Bold" w:hAnsi="CenturyGothic-Bold" w:cs="CenturyGothic-Bold"/>
                                <w:b/>
                                <w:b/>
                                <w:bCs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rFonts w:cs="CenturyGothic-Bold" w:ascii="CenturyGothic-Bold" w:hAnsi="CenturyGothic-Bold"/>
                                <w:b/>
                                <w:bCs/>
                                <w:szCs w:val="22"/>
                                <w:u w:val="single"/>
                              </w:rPr>
                              <w:t>Data Visualization  Lab(L13+L14)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enturyGothic-Bold" w:hAnsi="CenturyGothic-Bold" w:cs="CenturyGothic-Bold"/>
                                <w:b/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rFonts w:cs="CenturyGothic-Bold" w:ascii="CenturyGothic-Bold" w:hAnsi="CenturyGothic-Bold"/>
                                <w:b/>
                                <w:bCs/>
                                <w:szCs w:val="22"/>
                              </w:rPr>
                              <w:t>Name: Alpanshu Kataria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enturyGothic-Bold" w:hAnsi="CenturyGothic-Bold" w:cs="CenturyGothic-Bold"/>
                                <w:b/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rFonts w:cs="CenturyGothic-Bold" w:ascii="CenturyGothic-Bold" w:hAnsi="CenturyGothic-Bold"/>
                                <w:b/>
                                <w:bCs/>
                                <w:szCs w:val="22"/>
                              </w:rPr>
                              <w:t>Reg. No.: 18BCE1267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enturyGothic-Bold" w:hAnsi="CenturyGothic-Bold" w:cs="CenturyGothic-Bold"/>
                                <w:b/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rFonts w:cs="CenturyGothic-Bold" w:ascii="CenturyGothic-Bold" w:hAnsi="CenturyGothic-Bold"/>
                                <w:b/>
                                <w:bCs/>
                                <w:szCs w:val="22"/>
                              </w:rPr>
                              <w:t xml:space="preserve">Faculty: </w:t>
                            </w:r>
                            <w:r>
                              <w:fldChar w:fldCharType="begin"/>
                            </w:r>
                            <w:r>
                              <w:rPr>
                                <w:sz w:val="23"/>
                                <w:b/>
                                <w:bCs/>
                                <w:rFonts w:eastAsia="Times New Roman" w:cs="Segoe UI" w:ascii="Segoe UI" w:hAnsi="Segoe UI"/>
                                <w:color w:val="000000"/>
                              </w:rPr>
                              <w:instrText> HYPERLINK "https://lms.vit.ac.in/course/view.php?id=815" \l "section-3"</w:instrText>
                            </w:r>
                            <w:r>
                              <w:rPr>
                                <w:sz w:val="23"/>
                                <w:b/>
                                <w:bCs/>
                                <w:rFonts w:eastAsia="Times New Roman" w:cs="Segoe UI" w:ascii="Segoe UI" w:hAnsi="Segoe UI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rFonts w:eastAsia="Times New Roman" w:cs="Segoe UI" w:ascii="Segoe UI" w:hAnsi="Segoe UI"/>
                                <w:b/>
                                <w:bCs/>
                                <w:color w:val="000000" w:themeColor="text1"/>
                                <w:sz w:val="23"/>
                              </w:rPr>
                              <w:t>Dr.Parvathi.R.</w:t>
                            </w:r>
                            <w:r>
                              <w:rPr>
                                <w:sz w:val="23"/>
                                <w:b/>
                                <w:bCs/>
                                <w:rFonts w:eastAsia="Times New Roman" w:cs="Segoe UI" w:ascii="Segoe UI" w:hAnsi="Segoe UI"/>
                                <w:color w:val="000000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FrameContents"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lineRule="auto" w:line="240" w:beforeAutospacing="1" w:afterAutospacing="1"/>
                              <w:rPr>
                                <w:rFonts w:ascii="Segoe UI" w:hAnsi="Segoe UI" w:eastAsia="Times New Roman" w:cs="Segoe UI"/>
                                <w:color w:val="343A4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eastAsia="Times New Roman" w:cs="Segoe UI" w:ascii="Segoe UI" w:hAnsi="Segoe UI"/>
                                <w:color w:val="343A40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enturyGothic-Bold" w:hAnsi="CenturyGothic-Bold" w:cs="CenturyGothic-Bold"/>
                                <w:b/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rFonts w:cs="CenturyGothic-Bold" w:ascii="CenturyGothic-Bold" w:hAnsi="CenturyGothic-Bold"/>
                                <w:b/>
                                <w:bCs/>
                                <w:szCs w:val="22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enturyGothic-Bold" w:hAnsi="CenturyGothic-Bold" w:cs="CenturyGothic-Bold"/>
                                <w:b/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rFonts w:cs="CenturyGothic-Bold" w:ascii="CenturyGothic-Bold" w:hAnsi="CenturyGothic-Bold"/>
                                <w:b/>
                                <w:bCs/>
                                <w:szCs w:val="22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" path="m0,0l-2147483645,0l-2147483645,-2147483646l0,-2147483646xe" fillcolor="white" stroked="t" style="position:absolute;margin-left:-45pt;margin-top:-35.25pt;width:556.5pt;height:102pt;mso-wrap-style:square;v-text-anchor:top">
                <v:fill o:detectmouseclick="t" type="solid" color2="black"/>
                <v:stroke color="black" weight="720" joinstyle="round" endcap="flat"/>
                <v:shadow on="t" obscured="f" color="gray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Gothic-Bold" w:hAnsi="CenturyGothic-Bold" w:cs="CenturyGothic-Bold"/>
                          <w:b/>
                          <w:b/>
                          <w:bCs/>
                          <w:szCs w:val="22"/>
                          <w:u w:val="single"/>
                        </w:rPr>
                      </w:pPr>
                      <w:r>
                        <w:rPr>
                          <w:rFonts w:cs="CenturyGothic-Bold" w:ascii="CenturyGothic-Bold" w:hAnsi="CenturyGothic-Bold"/>
                          <w:b/>
                          <w:bCs/>
                          <w:szCs w:val="22"/>
                          <w:u w:val="single"/>
                        </w:rPr>
                        <w:t>Data Visualization  Lab(L13+L14)</w:t>
                      </w:r>
                    </w:p>
                    <w:p>
                      <w:pPr>
                        <w:pStyle w:val="FrameContents"/>
                        <w:rPr>
                          <w:rFonts w:ascii="CenturyGothic-Bold" w:hAnsi="CenturyGothic-Bold" w:cs="CenturyGothic-Bold"/>
                          <w:b/>
                          <w:b/>
                          <w:bCs/>
                          <w:szCs w:val="22"/>
                        </w:rPr>
                      </w:pPr>
                      <w:r>
                        <w:rPr>
                          <w:rFonts w:cs="CenturyGothic-Bold" w:ascii="CenturyGothic-Bold" w:hAnsi="CenturyGothic-Bold"/>
                          <w:b/>
                          <w:bCs/>
                          <w:szCs w:val="22"/>
                        </w:rPr>
                        <w:t>Name: Alpanshu Kataria</w:t>
                      </w:r>
                    </w:p>
                    <w:p>
                      <w:pPr>
                        <w:pStyle w:val="FrameContents"/>
                        <w:rPr>
                          <w:rFonts w:ascii="CenturyGothic-Bold" w:hAnsi="CenturyGothic-Bold" w:cs="CenturyGothic-Bold"/>
                          <w:b/>
                          <w:b/>
                          <w:bCs/>
                          <w:szCs w:val="22"/>
                        </w:rPr>
                      </w:pPr>
                      <w:r>
                        <w:rPr>
                          <w:rFonts w:cs="CenturyGothic-Bold" w:ascii="CenturyGothic-Bold" w:hAnsi="CenturyGothic-Bold"/>
                          <w:b/>
                          <w:bCs/>
                          <w:szCs w:val="22"/>
                        </w:rPr>
                        <w:t>Reg. No.: 18BCE1267</w:t>
                      </w:r>
                    </w:p>
                    <w:p>
                      <w:pPr>
                        <w:pStyle w:val="FrameContents"/>
                        <w:rPr>
                          <w:rFonts w:ascii="CenturyGothic-Bold" w:hAnsi="CenturyGothic-Bold" w:cs="CenturyGothic-Bold"/>
                          <w:b/>
                          <w:b/>
                          <w:bCs/>
                          <w:szCs w:val="22"/>
                        </w:rPr>
                      </w:pPr>
                      <w:r>
                        <w:rPr>
                          <w:rFonts w:cs="CenturyGothic-Bold" w:ascii="CenturyGothic-Bold" w:hAnsi="CenturyGothic-Bold"/>
                          <w:b/>
                          <w:bCs/>
                          <w:szCs w:val="22"/>
                        </w:rPr>
                        <w:t xml:space="preserve">Faculty: </w:t>
                      </w:r>
                      <w:r>
                        <w:fldChar w:fldCharType="begin"/>
                      </w:r>
                      <w:r>
                        <w:rPr>
                          <w:sz w:val="23"/>
                          <w:b/>
                          <w:bCs/>
                          <w:rFonts w:eastAsia="Times New Roman" w:cs="Segoe UI" w:ascii="Segoe UI" w:hAnsi="Segoe UI"/>
                          <w:color w:val="000000"/>
                        </w:rPr>
                        <w:instrText> HYPERLINK "https://lms.vit.ac.in/course/view.php?id=815" \l "section-3"</w:instrText>
                      </w:r>
                      <w:r>
                        <w:rPr>
                          <w:sz w:val="23"/>
                          <w:b/>
                          <w:bCs/>
                          <w:rFonts w:eastAsia="Times New Roman" w:cs="Segoe UI" w:ascii="Segoe UI" w:hAnsi="Segoe UI"/>
                          <w:color w:val="000000"/>
                        </w:rPr>
                        <w:fldChar w:fldCharType="separate"/>
                      </w:r>
                      <w:r>
                        <w:rPr>
                          <w:rFonts w:eastAsia="Times New Roman" w:cs="Segoe UI" w:ascii="Segoe UI" w:hAnsi="Segoe UI"/>
                          <w:b/>
                          <w:bCs/>
                          <w:color w:val="000000" w:themeColor="text1"/>
                          <w:sz w:val="23"/>
                        </w:rPr>
                        <w:t>Dr.Parvathi.R.</w:t>
                      </w:r>
                      <w:r>
                        <w:rPr>
                          <w:sz w:val="23"/>
                          <w:b/>
                          <w:bCs/>
                          <w:rFonts w:eastAsia="Times New Roman" w:cs="Segoe UI" w:ascii="Segoe UI" w:hAnsi="Segoe UI"/>
                          <w:color w:val="000000"/>
                        </w:rPr>
                        <w:fldChar w:fldCharType="end"/>
                      </w:r>
                    </w:p>
                    <w:p>
                      <w:pPr>
                        <w:pStyle w:val="FrameContents"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lineRule="auto" w:line="240" w:beforeAutospacing="1" w:afterAutospacing="1"/>
                        <w:rPr>
                          <w:rFonts w:ascii="Segoe UI" w:hAnsi="Segoe UI" w:eastAsia="Times New Roman" w:cs="Segoe UI"/>
                          <w:color w:val="343A40"/>
                          <w:sz w:val="23"/>
                          <w:szCs w:val="23"/>
                        </w:rPr>
                      </w:pPr>
                      <w:r>
                        <w:rPr>
                          <w:rFonts w:eastAsia="Times New Roman" w:cs="Segoe UI" w:ascii="Segoe UI" w:hAnsi="Segoe UI"/>
                          <w:color w:val="343A40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FrameContents"/>
                        <w:rPr>
                          <w:rFonts w:ascii="CenturyGothic-Bold" w:hAnsi="CenturyGothic-Bold" w:cs="CenturyGothic-Bold"/>
                          <w:b/>
                          <w:b/>
                          <w:bCs/>
                          <w:szCs w:val="22"/>
                        </w:rPr>
                      </w:pPr>
                      <w:r>
                        <w:rPr>
                          <w:rFonts w:cs="CenturyGothic-Bold" w:ascii="CenturyGothic-Bold" w:hAnsi="CenturyGothic-Bold"/>
                          <w:b/>
                          <w:bCs/>
                          <w:szCs w:val="22"/>
                        </w:rPr>
                      </w:r>
                    </w:p>
                    <w:p>
                      <w:pPr>
                        <w:pStyle w:val="FrameContents"/>
                        <w:rPr>
                          <w:rFonts w:ascii="CenturyGothic-Bold" w:hAnsi="CenturyGothic-Bold" w:cs="CenturyGothic-Bold"/>
                          <w:b/>
                          <w:b/>
                          <w:bCs/>
                          <w:szCs w:val="22"/>
                        </w:rPr>
                      </w:pPr>
                      <w:r>
                        <w:rPr>
                          <w:rFonts w:cs="CenturyGothic-Bold" w:ascii="CenturyGothic-Bold" w:hAnsi="CenturyGothic-Bold"/>
                          <w:b/>
                          <w:bCs/>
                          <w:szCs w:val="22"/>
                        </w:rPr>
                      </w:r>
                    </w:p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jc w:val="center"/>
        <w:rPr/>
      </w:pPr>
      <w:r>
        <w:rPr/>
        <w:t xml:space="preserve">Lab 4 </w:t>
      </w:r>
    </w:p>
    <w:p>
      <w:pPr>
        <w:pStyle w:val="Normal"/>
        <w:rPr>
          <w:b/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Task: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</w:rPr>
      </w:pPr>
      <w:r>
        <w:rPr>
          <w:color w:val="3465A4"/>
          <w:sz w:val="30"/>
          <w:szCs w:val="20"/>
        </w:rPr>
        <w:t>Take a dataset and apply association rule learning.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30"/>
          <w:szCs w:val="20"/>
        </w:rPr>
      </w:pPr>
      <w:r>
        <w:rPr>
          <w:sz w:val="30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single"/>
        </w:rPr>
      </w:pPr>
      <w:r>
        <w:rPr>
          <w:b/>
          <w:bCs/>
          <w:sz w:val="30"/>
          <w:szCs w:val="20"/>
          <w:u w:val="single"/>
        </w:rPr>
        <w:t>Solution: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26"/>
          <w:szCs w:val="20"/>
          <w:u w:val="single"/>
        </w:rPr>
      </w:pPr>
      <w:r>
        <w:rPr>
          <w:b/>
          <w:bCs/>
          <w:sz w:val="26"/>
          <w:szCs w:val="20"/>
          <w:u w:val="single"/>
        </w:rPr>
        <w:t>Dataset: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single"/>
        </w:rPr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465A4"/>
          <w:spacing w:val="0"/>
          <w:sz w:val="25"/>
          <w:szCs w:val="20"/>
          <w:u w:val="none"/>
        </w:rPr>
        <w:t xml:space="preserve">To demonstrate the 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465A4"/>
          <w:spacing w:val="0"/>
          <w:sz w:val="26"/>
          <w:szCs w:val="20"/>
          <w:u w:val="none"/>
        </w:rPr>
        <w:t>association rule learning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465A4"/>
          <w:spacing w:val="0"/>
          <w:sz w:val="21"/>
          <w:szCs w:val="20"/>
          <w:u w:val="none"/>
        </w:rPr>
        <w:t xml:space="preserve"> 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465A4"/>
          <w:spacing w:val="0"/>
          <w:sz w:val="25"/>
          <w:szCs w:val="20"/>
          <w:u w:val="none"/>
        </w:rPr>
        <w:t xml:space="preserve">in a real biomedical case-study, </w:t>
      </w:r>
      <w:r>
        <w:rPr>
          <w:rFonts w:eastAsia="" w:cs="Mangal" w:ascii="Times New Roman" w:hAnsi="Times New Roman" w:cstheme="minorBidi" w:eastAsiaTheme="minorEastAsia"/>
          <w:b w:val="false"/>
          <w:bCs/>
          <w:i w:val="false"/>
          <w:caps w:val="false"/>
          <w:smallCaps w:val="false"/>
          <w:color w:val="3465A4"/>
          <w:spacing w:val="0"/>
          <w:kern w:val="0"/>
          <w:sz w:val="25"/>
          <w:szCs w:val="20"/>
          <w:u w:val="none"/>
          <w:lang w:val="en-US" w:eastAsia="en-US" w:bidi="hi-IN"/>
        </w:rPr>
        <w:t>I’ve used</w:t>
      </w: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465A4"/>
          <w:spacing w:val="0"/>
          <w:sz w:val="25"/>
          <w:szCs w:val="20"/>
          <w:u w:val="none"/>
        </w:rPr>
        <w:t xml:space="preserve"> a transactional healthcare data representing </w:t>
      </w:r>
      <w:hyperlink r:id="rId2">
        <w:r>
          <w:rPr>
            <w:rStyle w:val="InternetLink"/>
            <w:rFonts w:ascii="Times New Roman" w:hAnsi="Times New Roman"/>
            <w:b w:val="false"/>
            <w:bCs/>
            <w:i w:val="false"/>
            <w:caps w:val="false"/>
            <w:smallCaps w:val="false"/>
            <w:strike w:val="false"/>
            <w:dstrike w:val="false"/>
            <w:color w:val="3465A4"/>
            <w:spacing w:val="0"/>
            <w:sz w:val="25"/>
            <w:szCs w:val="20"/>
            <w:u w:val="none"/>
            <w:effect w:val="none"/>
            <w:shd w:fill="FFFFFF" w:val="clear"/>
          </w:rPr>
          <w:t>a subset of the Head and Neck Cancer Medication data</w:t>
        </w:r>
      </w:hyperlink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3465A4"/>
          <w:spacing w:val="0"/>
          <w:sz w:val="25"/>
          <w:szCs w:val="20"/>
          <w:u w:val="none"/>
        </w:rPr>
        <w:t>,.It consists of inpatient medications for head and neck cancer patients.</w:t>
      </w:r>
      <w:r>
        <w:rPr>
          <w:rFonts w:ascii="Times New Roman" w:hAnsi="Times New Roman"/>
          <w:b/>
          <w:bCs/>
          <w:color w:val="111111"/>
          <w:sz w:val="34"/>
          <w:szCs w:val="20"/>
          <w:u w:val="none"/>
        </w:rPr>
        <w:t xml:space="preserve"> 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rFonts w:ascii="Times New Roman" w:hAnsi="Times New Roman"/>
          <w:color w:val="111111"/>
          <w:sz w:val="34"/>
          <w:u w:val="none"/>
        </w:rPr>
      </w:pPr>
      <w:r>
        <w:rPr>
          <w:rFonts w:ascii="Times New Roman" w:hAnsi="Times New Roman"/>
          <w:color w:val="111111"/>
          <w:sz w:val="34"/>
          <w:u w:val="non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/>
      </w:pPr>
      <w:r>
        <w:rPr>
          <w:rFonts w:ascii="Times New Roman" w:hAnsi="Times New Roman"/>
          <w:b/>
          <w:bCs/>
          <w:color w:val="111111"/>
          <w:sz w:val="26"/>
          <w:szCs w:val="20"/>
          <w:u w:val="none"/>
        </w:rPr>
        <w:t xml:space="preserve">Link:  </w:t>
      </w:r>
      <w:r>
        <w:fldChar w:fldCharType="begin"/>
      </w:r>
      <w:r>
        <w:rPr>
          <w:rStyle w:val="InternetLink"/>
          <w:sz w:val="26"/>
          <w:u w:val="none"/>
          <w:b w:val="false"/>
          <w:szCs w:val="20"/>
          <w:bCs w:val="false"/>
          <w:rFonts w:ascii="Times New Roman" w:hAnsi="Times New Roman"/>
          <w:color w:val="3465A4"/>
        </w:rPr>
        <w:instrText> HYPERLINK "http://www.socr.umich.edu/people/dinov/courses/DSPA_notes/11_Apriory_AssocRuleLearning.html" \l "72_Step_2_-_exploring_and_preparing_the_data"</w:instrText>
      </w:r>
      <w:r>
        <w:rPr>
          <w:rStyle w:val="InternetLink"/>
          <w:sz w:val="26"/>
          <w:u w:val="none"/>
          <w:b w:val="false"/>
          <w:szCs w:val="20"/>
          <w:bCs w:val="false"/>
          <w:rFonts w:ascii="Times New Roman" w:hAnsi="Times New Roman"/>
          <w:color w:val="3465A4"/>
        </w:rPr>
        <w:fldChar w:fldCharType="separate"/>
      </w:r>
      <w:r>
        <w:rPr>
          <w:rStyle w:val="InternetLink"/>
          <w:rFonts w:ascii="Times New Roman" w:hAnsi="Times New Roman"/>
          <w:b w:val="false"/>
          <w:bCs w:val="false"/>
          <w:color w:val="3465A4"/>
          <w:sz w:val="26"/>
          <w:szCs w:val="20"/>
          <w:u w:val="none"/>
        </w:rPr>
        <w:t>http://www.socr.umich.edu/people/dinov/courses/DSPA_notes/11_Apriory_AssocRuleLearning.html#72_Step_2_-_exploring_and_preparing_the_data</w:t>
      </w:r>
      <w:r>
        <w:rPr>
          <w:rStyle w:val="InternetLink"/>
          <w:sz w:val="26"/>
          <w:u w:val="none"/>
          <w:b w:val="false"/>
          <w:szCs w:val="20"/>
          <w:bCs w:val="false"/>
          <w:rFonts w:ascii="Times New Roman" w:hAnsi="Times New Roman"/>
          <w:color w:val="3465A4"/>
        </w:rPr>
        <w:fldChar w:fldCharType="end"/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rFonts w:ascii="Times New Roman" w:hAnsi="Times New Roman"/>
          <w:b w:val="false"/>
          <w:b w:val="false"/>
          <w:bCs w:val="false"/>
          <w:color w:val="111111"/>
          <w:u w:val="none"/>
        </w:rPr>
      </w:pPr>
      <w:r>
        <w:rPr>
          <w:rFonts w:ascii="Times New Roman" w:hAnsi="Times New Roman"/>
          <w:b w:val="false"/>
          <w:bCs w:val="false"/>
          <w:color w:val="111111"/>
          <w:u w:val="non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 w:val="false"/>
          <w:b w:val="false"/>
          <w:bCs w:val="false"/>
          <w:sz w:val="30"/>
          <w:szCs w:val="20"/>
          <w:u w:val="none"/>
        </w:rPr>
      </w:pPr>
      <w:r>
        <w:rPr>
          <w:b w:val="false"/>
          <w:bCs w:val="false"/>
          <w:sz w:val="30"/>
          <w:szCs w:val="20"/>
          <w:u w:val="non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 w:val="false"/>
          <w:b w:val="false"/>
          <w:bCs w:val="false"/>
          <w:sz w:val="30"/>
          <w:szCs w:val="20"/>
          <w:u w:val="none"/>
        </w:rPr>
      </w:pPr>
      <w:r>
        <w:rPr>
          <w:b w:val="false"/>
          <w:bCs w:val="false"/>
          <w:sz w:val="30"/>
          <w:szCs w:val="20"/>
          <w:u w:val="non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 w:val="false"/>
          <w:b w:val="false"/>
          <w:bCs w:val="false"/>
          <w:sz w:val="30"/>
          <w:szCs w:val="20"/>
          <w:u w:val="none"/>
        </w:rPr>
      </w:pPr>
      <w:r>
        <w:rPr>
          <w:b w:val="false"/>
          <w:bCs w:val="false"/>
          <w:sz w:val="30"/>
          <w:szCs w:val="20"/>
          <w:u w:val="non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none"/>
        </w:rPr>
      </w:pPr>
      <w:r>
        <w:rPr>
          <w:b/>
          <w:bCs/>
          <w:sz w:val="30"/>
          <w:szCs w:val="20"/>
          <w:u w:val="none"/>
        </w:rPr>
        <w:t>Dataset sample: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30"/>
          <w:szCs w:val="20"/>
        </w:rPr>
      </w:pPr>
      <w:r>
        <w:rPr>
          <w:sz w:val="3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29865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</w:rPr>
      </w:pPr>
      <w:r>
        <w:rPr>
          <w:b/>
          <w:bCs/>
          <w:sz w:val="30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</w:rPr>
      </w:pPr>
      <w:r>
        <w:rPr>
          <w:b/>
          <w:bCs/>
          <w:sz w:val="30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</w:rPr>
      </w:pPr>
      <w:r>
        <w:rPr>
          <w:b/>
          <w:bCs/>
          <w:sz w:val="30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</w:rPr>
      </w:pPr>
      <w:r>
        <w:rPr>
          <w:rFonts w:eastAsia="" w:cs="Mangal" w:cstheme="minorBidi" w:eastAsiaTheme="minorEastAsia"/>
          <w:b/>
          <w:bCs/>
          <w:color w:val="auto"/>
          <w:kern w:val="0"/>
          <w:sz w:val="30"/>
          <w:szCs w:val="20"/>
          <w:lang w:val="en-US" w:eastAsia="en-US" w:bidi="hi-IN"/>
        </w:rPr>
        <w:t>Key Points</w:t>
      </w:r>
      <w:r>
        <w:rPr>
          <w:b/>
          <w:bCs/>
          <w:sz w:val="30"/>
          <w:szCs w:val="20"/>
        </w:rPr>
        <w:t>: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jc w:val="both"/>
        <w:rPr>
          <w:color w:val="3465A4"/>
          <w:sz w:val="26"/>
          <w:szCs w:val="20"/>
        </w:rPr>
      </w:pPr>
      <w:r>
        <w:rPr>
          <w:color w:val="3465A4"/>
          <w:sz w:val="26"/>
          <w:szCs w:val="20"/>
        </w:rPr>
        <w:t xml:space="preserve">We apply an iterative approach or level-wise search where k-frequent itemsets are used to find itemsets. To improve the efficiency of level-wise generation of frequent itemsets, an important property is used called Apriori property which helps by reducing the search space. Apriori Property – All non-empty subset of frequent itemset must be frequent. The key concept of Apriori algorithm is its anti-monotonicity of support measure. Parameters 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jc w:val="both"/>
        <w:rPr>
          <w:color w:val="3465A4"/>
          <w:sz w:val="26"/>
          <w:szCs w:val="20"/>
        </w:rPr>
      </w:pPr>
      <w:r>
        <w:rPr>
          <w:color w:val="3465A4"/>
          <w:sz w:val="26"/>
          <w:szCs w:val="20"/>
        </w:rPr>
        <w:t xml:space="preserve">1. </w:t>
      </w:r>
      <w:r>
        <w:rPr>
          <w:b/>
          <w:bCs/>
          <w:color w:val="3465A4"/>
          <w:sz w:val="26"/>
          <w:szCs w:val="20"/>
        </w:rPr>
        <w:t>Support:</w:t>
      </w:r>
      <w:r>
        <w:rPr>
          <w:color w:val="3465A4"/>
          <w:sz w:val="26"/>
          <w:szCs w:val="20"/>
        </w:rPr>
        <w:t xml:space="preserve">  This measure gives an idea of how frequent an itemset is in all the transactions.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jc w:val="both"/>
        <w:rPr>
          <w:color w:val="3465A4"/>
          <w:sz w:val="26"/>
          <w:szCs w:val="20"/>
        </w:rPr>
      </w:pPr>
      <w:r>
        <w:rPr>
          <w:color w:val="3465A4"/>
          <w:sz w:val="26"/>
          <w:szCs w:val="20"/>
        </w:rPr>
        <w:t xml:space="preserve">2. </w:t>
      </w:r>
      <w:r>
        <w:rPr>
          <w:b/>
          <w:bCs/>
          <w:color w:val="3465A4"/>
          <w:sz w:val="26"/>
          <w:szCs w:val="20"/>
        </w:rPr>
        <w:t>Confidence:</w:t>
      </w:r>
      <w:r>
        <w:rPr>
          <w:color w:val="3465A4"/>
          <w:sz w:val="26"/>
          <w:szCs w:val="20"/>
        </w:rPr>
        <w:t xml:space="preserve"> This measure defines the likeliness of occurrence of consequent on the cart given that the cart already has the antecedents.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jc w:val="both"/>
        <w:rPr>
          <w:color w:val="3465A4"/>
          <w:sz w:val="26"/>
          <w:szCs w:val="20"/>
        </w:rPr>
      </w:pPr>
      <w:r>
        <w:rPr>
          <w:color w:val="3465A4"/>
          <w:sz w:val="26"/>
          <w:szCs w:val="20"/>
        </w:rPr>
        <w:t xml:space="preserve">3. </w:t>
      </w:r>
      <w:r>
        <w:rPr>
          <w:b/>
          <w:bCs/>
          <w:color w:val="3465A4"/>
          <w:sz w:val="26"/>
          <w:szCs w:val="20"/>
        </w:rPr>
        <w:t>Lift:</w:t>
      </w:r>
      <w:r>
        <w:rPr>
          <w:color w:val="3465A4"/>
          <w:sz w:val="26"/>
          <w:szCs w:val="20"/>
        </w:rPr>
        <w:t xml:space="preserve"> Lift controls for the support (frequency) of consequent while calculating the conditional probability of occurrence of {Y} given {X}.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single"/>
        </w:rPr>
      </w:pPr>
      <w:r>
        <w:rPr>
          <w:b/>
          <w:bCs/>
          <w:sz w:val="30"/>
          <w:szCs w:val="20"/>
          <w:u w:val="singl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single"/>
        </w:rPr>
      </w:pPr>
      <w:r>
        <w:rPr>
          <w:b/>
          <w:bCs/>
          <w:sz w:val="30"/>
          <w:szCs w:val="20"/>
          <w:u w:val="singl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single"/>
        </w:rPr>
      </w:pPr>
      <w:r>
        <w:rPr>
          <w:b/>
          <w:bCs/>
          <w:sz w:val="30"/>
          <w:szCs w:val="20"/>
          <w:u w:val="singl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single"/>
        </w:rPr>
      </w:pPr>
      <w:r>
        <w:rPr>
          <w:b/>
          <w:bCs/>
          <w:sz w:val="30"/>
          <w:szCs w:val="20"/>
          <w:u w:val="singl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single"/>
        </w:rPr>
      </w:pPr>
      <w:r>
        <w:rPr>
          <w:b/>
          <w:bCs/>
          <w:sz w:val="30"/>
          <w:szCs w:val="20"/>
          <w:u w:val="single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b/>
          <w:b/>
          <w:bCs/>
          <w:sz w:val="30"/>
          <w:szCs w:val="20"/>
          <w:u w:val="single"/>
        </w:rPr>
      </w:pPr>
      <w:r>
        <w:rPr>
          <w:b/>
          <w:bCs/>
          <w:sz w:val="30"/>
          <w:szCs w:val="20"/>
          <w:u w:val="single"/>
        </w:rPr>
        <w:t>Code: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30"/>
          <w:szCs w:val="20"/>
        </w:rPr>
      </w:pPr>
      <w:r>
        <w:rPr>
          <w:sz w:val="30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20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2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5115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Mangal" w:cstheme="minorBidi" w:eastAsiaTheme="minorEastAsia"/>
          <w:color w:val="3465A4"/>
          <w:kern w:val="0"/>
          <w:sz w:val="30"/>
          <w:szCs w:val="20"/>
          <w:lang w:val="en-US" w:eastAsia="en-US" w:bidi="hi-IN"/>
        </w:rPr>
        <w:t xml:space="preserve">We’ve loaded our dataset now we’ll </w:t>
      </w:r>
      <w:r>
        <w:rPr>
          <w:color w:val="3465A4"/>
          <w:sz w:val="30"/>
          <w:szCs w:val="20"/>
        </w:rPr>
        <w:t xml:space="preserve"> apply apriori algorithm with support as 0.005 and confidence as 0.05 the data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30"/>
          <w:szCs w:val="20"/>
        </w:rPr>
      </w:pPr>
      <w:r>
        <w:rPr>
          <w:sz w:val="30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775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972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The values of support and confidence are user defined and based on these values rules are generated.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2636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769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In our case 113 rules are generated.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Now we’ll plot them.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0174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 xml:space="preserve">Above scatter plot shows the 113 rules generated by the apriori algorithm for </w:t>
      </w:r>
      <w:r>
        <w:rPr>
          <w:rFonts w:eastAsia="" w:cs="Mangal" w:cstheme="minorBidi" w:eastAsiaTheme="minorEastAsia"/>
          <w:color w:val="3465A4"/>
          <w:kern w:val="0"/>
          <w:sz w:val="30"/>
          <w:szCs w:val="30"/>
          <w:lang w:val="en-US" w:eastAsia="en-US" w:bidi="hi-IN"/>
        </w:rPr>
        <w:t xml:space="preserve">our </w:t>
      </w:r>
      <w:r>
        <w:rPr>
          <w:color w:val="3465A4"/>
          <w:sz w:val="30"/>
          <w:szCs w:val="30"/>
        </w:rPr>
        <w:t>dataset with support=0.005, confidence=0.05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Now we’ll group the rules based on order.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4142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This visualization method draws a two dimensional scatterplot with different measures of interestingness (support and confidence) on the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axes and a third measure (parameter “shading”) is represented by the points color. There is a special value for shading called “order”. With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this value the color of the points represents the length (order) of the rule. This is used for two-key plots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 xml:space="preserve">2D matrix with shading. 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The following techniques work better with fewer rules for better visualization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5501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rPr>
          <w:sz w:val="26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7091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sz w:val="26"/>
          <w:szCs w:val="20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0007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0"/>
        </w:rPr>
        <w:t>I</w:t>
      </w:r>
      <w:r>
        <w:rPr>
          <w:color w:val="3465A4"/>
          <w:sz w:val="30"/>
          <w:szCs w:val="30"/>
        </w:rPr>
        <w:t>t arranges the association rules as a matrix with the itemsets in the antecedents on one axis and the itemsets in the consequent on the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other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:3D Matrix visulization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4617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8767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65A4"/>
          <w:sz w:val="30"/>
          <w:szCs w:val="30"/>
        </w:rPr>
        <w:t>Matrix3D Arranges the association rules as a matrix with the itemsets in the antecedents on one axis, the itemsets in the consequent on the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other and lift in the third dimension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:grouped matrix plot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665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4012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Grouped matrix-based visualization Antecedents (columns) in the matrix are grouped using clustering. Groups are represented by the most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interesting item (highest ratio of support in the group to support in all rules) in the group. Balloons in the matrix are used to represent with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what consequent the antecedents are connected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:Visualization of rules using Graphs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0616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1889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5694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7604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It represents the rules (or itemsets) as a graph with items as labeled vertices, and rules (or itemsets) represented as vertices connected to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items using arrows. For rules, the LHS items are connected with arrows pointing to the vertex representing the rule and the RHS has an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arrow pointing to the item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 Visualization of rules using parallel coordinates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7378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21075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77590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It represents the rules as a parallel coordinate plot.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:Visualization of one rule using doubledecker plot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89075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41040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65A4"/>
          <w:sz w:val="30"/>
          <w:szCs w:val="30"/>
        </w:rPr>
        <w:t>It represents a single rule as a doubledecker or mosaic plot. Parameter data has to be specified to compute the needed contingency table.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:Itemset Visualization as Graph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93745"/>
            <wp:effectExtent l="0" t="0" r="0" b="0"/>
            <wp:wrapTopAndBottom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65A4"/>
          <w:sz w:val="30"/>
          <w:szCs w:val="30"/>
        </w:rPr>
        <w:br/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44595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49955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The eclat() takes in a transactions object and gives the most frequent items in the data based the support argument. The maxlen defines the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maximum number of items in each itemset of frequent items.This plot used to represent the most frequent items in the dataset as graph with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support value as 0.03 and length as 2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67990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47745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8465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4614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65A4"/>
          <w:sz w:val="30"/>
          <w:szCs w:val="30"/>
        </w:rPr>
        <w:t>The eclat() takes in a transactions object and gives the most frequent items in the data based the support argument. The maxlen defines the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maximum number of items in each itemset of frequent items.This plot used to represent the most frequent items in the dataset as graph with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support value as 0.03,0.04 respectively and length as 2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:Itemset visualization using parallel coordinates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6630"/>
            <wp:effectExtent l="0" t="0" r="0" b="0"/>
            <wp:wrapSquare wrapText="largest"/>
            <wp:docPr id="35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It represents the itemset as a parallel coordinate plot.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:Add more quality measures to the scatterplot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87170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28975"/>
            <wp:effectExtent l="0" t="0" r="0" b="0"/>
            <wp:wrapSquare wrapText="largest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It represents the itemsets with various support and confidence values and with rainbow color using the lift parameter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/>
      </w:pPr>
      <w:r>
        <w:rPr>
          <w:color w:val="3465A4"/>
          <w:sz w:val="30"/>
          <w:szCs w:val="30"/>
        </w:rPr>
        <w:t xml:space="preserve">:Visulization of rules with Left hand side value as 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DD1144"/>
          <w:spacing w:val="0"/>
          <w:sz w:val="20"/>
          <w:shd w:fill="auto" w:val="clear"/>
        </w:rPr>
        <w:t>heparin injection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63090"/>
            <wp:effectExtent l="0" t="0" r="0" b="0"/>
            <wp:wrapSquare wrapText="largest"/>
            <wp:docPr id="38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51200"/>
            <wp:effectExtent l="0" t="0" r="0" b="0"/>
            <wp:wrapSquare wrapText="largest"/>
            <wp:docPr id="39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It is used find out the Customers who bought ‘Whole Milk’ also bought other item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/>
      </w:pPr>
      <w:r>
        <w:rPr>
          <w:color w:val="3465A4"/>
          <w:sz w:val="30"/>
          <w:szCs w:val="30"/>
        </w:rPr>
        <w:t xml:space="preserve">:Visualization of rules with Right Hand Side value as 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DD1144"/>
          <w:spacing w:val="0"/>
          <w:sz w:val="20"/>
          <w:shd w:fill="auto" w:val="clear"/>
        </w:rPr>
        <w:t>cefazolin ivpb uh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65070"/>
            <wp:effectExtent l="0" t="0" r="0" b="0"/>
            <wp:wrapSquare wrapText="largest"/>
            <wp:docPr id="40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3890"/>
            <wp:effectExtent l="0" t="0" r="0" b="0"/>
            <wp:wrapSquare wrapText="largest"/>
            <wp:docPr id="41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It represents the what customers had purchased before buying  ‘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DD1144"/>
          <w:spacing w:val="0"/>
          <w:sz w:val="20"/>
          <w:szCs w:val="30"/>
          <w:shd w:fill="auto" w:val="clear"/>
        </w:rPr>
        <w:t>cefazolin ivpb uh</w:t>
      </w:r>
      <w:r>
        <w:rPr>
          <w:color w:val="3465A4"/>
          <w:sz w:val="30"/>
          <w:szCs w:val="30"/>
        </w:rPr>
        <w:t>’. This will help you understand the patterns that led to the purchase of ‘</w:t>
      </w:r>
      <w:r>
        <w:rPr>
          <w:rStyle w:val="SourceText"/>
          <w:rFonts w:ascii="monospace" w:hAnsi="monospace"/>
          <w:b w:val="false"/>
          <w:i w:val="false"/>
          <w:caps w:val="false"/>
          <w:smallCaps w:val="false"/>
          <w:color w:val="DD1144"/>
          <w:spacing w:val="0"/>
          <w:sz w:val="20"/>
          <w:szCs w:val="30"/>
          <w:shd w:fill="auto" w:val="clear"/>
        </w:rPr>
        <w:t>cefazolin ivpb uh</w:t>
      </w:r>
      <w:r>
        <w:rPr>
          <w:color w:val="3465A4"/>
          <w:sz w:val="30"/>
          <w:szCs w:val="30"/>
        </w:rPr>
        <w:t>’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>
          <w:color w:val="3465A4"/>
          <w:sz w:val="30"/>
          <w:szCs w:val="30"/>
        </w:rPr>
        <w:t>:Create an item frequency plot for top 20 items</w:t>
      </w:r>
    </w:p>
    <w:p>
      <w:pPr>
        <w:pStyle w:val="ListParagraph"/>
        <w:numPr>
          <w:ilvl w:val="0"/>
          <w:numId w:val="0"/>
        </w:numPr>
        <w:spacing w:before="0" w:after="200"/>
        <w:ind w:left="0" w:hanging="0"/>
        <w:contextualSpacing/>
        <w:rPr>
          <w:color w:val="3465A4"/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19500"/>
            <wp:effectExtent l="0" t="0" r="0" b="0"/>
            <wp:wrapSquare wrapText="largest"/>
            <wp:docPr id="42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Cambria">
    <w:charset w:val="01"/>
    <w:family w:val="swiss"/>
    <w:pitch w:val="default"/>
  </w:font>
  <w:font w:name="Tahoma"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Times New Roman">
    <w:charset w:val="01"/>
    <w:family w:val="swiss"/>
    <w:pitch w:val="default"/>
  </w:font>
  <w:font w:name="CenturyGothic-Bold">
    <w:charset w:val="01"/>
    <w:family w:val="swiss"/>
    <w:pitch w:val="default"/>
  </w:font>
  <w:font w:name="Segoe UI">
    <w:charset w:val="01"/>
    <w:family w:val="swiss"/>
    <w:pitch w:val="default"/>
  </w:font>
  <w:font w:name="monospace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en-US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Mangal" w:asciiTheme="minorHAnsi" w:cstheme="minorBidi" w:eastAsiaTheme="minorEastAsia" w:hAnsiTheme="minorHAnsi"/>
        <w:sz w:val="22"/>
        <w:lang w:val="en-US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1a22f8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Mangal" w:asciiTheme="minorHAnsi" w:cstheme="minorBidi" w:eastAsiaTheme="minorEastAsia" w:hAnsiTheme="minorHAnsi"/>
      <w:color w:val="auto"/>
      <w:kern w:val="0"/>
      <w:sz w:val="22"/>
      <w:szCs w:val="20"/>
      <w:lang w:val="en-US" w:eastAsia="en-US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ee53ba"/>
    <w:rPr>
      <w:rFonts w:ascii="Cambria" w:hAnsi="Cambria" w:eastAsia="" w:cs="Mangal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47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f2cad"/>
    <w:rPr>
      <w:rFonts w:ascii="Tahoma" w:hAnsi="Tahoma" w:cs="Mangal"/>
      <w:sz w:val="16"/>
      <w:szCs w:val="14"/>
    </w:rPr>
  </w:style>
  <w:style w:type="character" w:styleId="InternetLink">
    <w:name w:val="Hyperlink"/>
    <w:basedOn w:val="DefaultParagraphFont"/>
    <w:uiPriority w:val="99"/>
    <w:semiHidden/>
    <w:unhideWhenUsed/>
    <w:rsid w:val="00ef2cad"/>
    <w:rPr>
      <w:color w:val="0000FF"/>
      <w:u w:val="single"/>
    </w:rPr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imes New Roman" w:hAnsi="Times New Roman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ee53ba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Mangal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47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f2cad"/>
    <w:pPr>
      <w:spacing w:lineRule="auto" w:line="240" w:before="0" w:after="0"/>
    </w:pPr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ef2cad"/>
    <w:pPr>
      <w:spacing w:before="0" w:after="20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umich.instructure.com/files/1678540/download?download_frd=1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Application>LibreOffice/7.1.0.3$Windows_X86_64 LibreOffice_project/f6099ecf3d29644b5008cc8f48f42f4a40986e4c</Application>
  <AppVersion>15.0000</AppVersion>
  <Pages>22</Pages>
  <Words>791</Words>
  <Characters>4310</Characters>
  <CharactersWithSpaces>5049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2021-03-02T21:14:52Z</dcterms:created>
  <dc:creator/>
  <dc:description/>
  <dc:language>en-IN</dc:language>
  <cp:lastModifiedBy/>
  <dcterms:modified xsi:type="dcterms:W3CDTF">2021-03-02T23:31:48Z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