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 xml:space="preserve">Regression Error, Skewness, and XGBoost Analysis Report</w:t>
      </w:r>
    </w:p>
    <w:p>
      <w:pPr>
        <w:pStyle w:val="Subtitle"/>
      </w:pPr>
      <w:r>
        <w:t xml:space="preserve">AI Coverage Data - Revenue Impact Regression</w:t>
      </w:r>
    </w:p>
    <w:tbl>
      <w:tblPr>
        <w:tblW w:w="9360" w:type="dxa"/>
        <w:tblInd w:w="120" w:type="dxa"/>
        <w:tblLayout w:type="fixed"/>
        <w:tblBorders>
          <w:top w:val="single" w:sz="4" w:space="0" w:color="D0D7DE"/>
          <w:left w:val="single" w:sz="4" w:space="0" w:color="D0D7DE"/>
          <w:bottom w:val="single" w:sz="4" w:space="0" w:color="D0D7DE"/>
          <w:right w:val="single" w:sz="4" w:space="0" w:color="D0D7DE"/>
          <w:insideH w:val="single" w:sz="4" w:space="0" w:color="E5E7EB"/>
          <w:insideV w:val="single" w:sz="4" w:space="0" w:color="E5E7EB"/>
        </w:tblBorders>
      </w:tblPr>
      <w:tblGrid>
        <w:gridCol w:w="1800"/>
        <w:gridCol w:w="7560"/>
      </w:tblGrid>
      <w:tr>
        <w:tc>
          <w:tcPr>
            <w:tcW w:w="1800" w:type="dxa"/>
            <w:tcMar>
              <w:top w:w="90" w:type="dxa"/>
              <w:bottom w:w="90" w:type="dxa"/>
              <w:start w:w="120" w:type="dxa"/>
              <w:end w:w="120" w:type="dxa"/>
            </w:tcMar>
          </w:tcPr>
          <w:p>
            <w:pPr>
              <w:spacing w:after="40"/>
            </w:pPr>
            <w:r>
              <w:rPr>
                <w:sz w:val="20"/>
                <w:szCs w:val="20"/>
              </w:rPr>
              <w:t xml:space="preserve">Report date</w:t>
            </w:r>
          </w:p>
        </w:tc>
        <w:tc>
          <w:tcPr>
            <w:tcW w:w="7560" w:type="dxa"/>
            <w:tcMar>
              <w:top w:w="90" w:type="dxa"/>
              <w:bottom w:w="90" w:type="dxa"/>
              <w:start w:w="120" w:type="dxa"/>
              <w:end w:w="120" w:type="dxa"/>
            </w:tcMar>
          </w:tcPr>
          <w:p>
            <w:pPr>
              <w:jc w:val="center"/>
              <w:spacing w:after="40"/>
            </w:pPr>
            <w:r>
              <w:t xml:space="preserve">June 19, 2026</w:t>
            </w:r>
          </w:p>
        </w:tc>
      </w:tr>
      <w:tr>
        <w:tc>
          <w:tcPr>
            <w:tcW w:w="1800" w:type="dxa"/>
            <w:tcMar>
              <w:top w:w="90" w:type="dxa"/>
              <w:bottom w:w="90" w:type="dxa"/>
              <w:start w:w="120" w:type="dxa"/>
              <w:end w:w="120" w:type="dxa"/>
            </w:tcMar>
          </w:tcPr>
          <w:p>
            <w:pPr>
              <w:spacing w:after="40"/>
            </w:pPr>
            <w:r>
              <w:rPr>
                <w:sz w:val="20"/>
                <w:szCs w:val="20"/>
              </w:rPr>
              <w:t xml:space="preserve">Scope</w:t>
            </w:r>
          </w:p>
        </w:tc>
        <w:tc>
          <w:tcPr>
            <w:tcW w:w="7560" w:type="dxa"/>
            <w:tcMar>
              <w:top w:w="90" w:type="dxa"/>
              <w:bottom w:w="90" w:type="dxa"/>
              <w:start w:w="120" w:type="dxa"/>
              <w:end w:w="120" w:type="dxa"/>
            </w:tcMar>
          </w:tcPr>
          <w:p>
            <w:pPr>
              <w:spacing w:after="40"/>
            </w:pPr>
            <w:r>
              <w:rPr>
                <w:sz w:val="20"/>
                <w:szCs w:val="20"/>
              </w:rPr>
              <w:t xml:space="preserve">Error feature extraction, skewness, percentile ranges, nonlinearity checks, diagnostic decision tree, and XGBoost interpretation</w:t>
            </w:r>
          </w:p>
        </w:tc>
      </w:tr>
      <w:tr>
        <w:tc>
          <w:tcPr>
            <w:tcW w:w="1800" w:type="dxa"/>
            <w:shd w:fill="FAFBFC"/>
            <w:tcMar>
              <w:top w:w="90" w:type="dxa"/>
              <w:bottom w:w="90" w:type="dxa"/>
              <w:start w:w="120" w:type="dxa"/>
              <w:end w:w="120" w:type="dxa"/>
            </w:tcMar>
          </w:tcPr>
          <w:p>
            <w:pPr>
              <w:spacing w:after="40"/>
            </w:pPr>
            <w:r>
              <w:rPr>
                <w:sz w:val="20"/>
                <w:szCs w:val="20"/>
              </w:rPr>
              <w:t xml:space="preserve">Source</w:t>
            </w:r>
          </w:p>
        </w:tc>
        <w:tc>
          <w:tcPr>
            <w:tcW w:w="7560" w:type="dxa"/>
            <w:shd w:fill="FAFBFC"/>
            <w:tcMar>
              <w:top w:w="90" w:type="dxa"/>
              <w:bottom w:w="90" w:type="dxa"/>
              <w:start w:w="120" w:type="dxa"/>
              <w:end w:w="120" w:type="dxa"/>
            </w:tcMar>
          </w:tcPr>
          <w:p>
            <w:pPr>
              <w:spacing w:after="40"/>
            </w:pPr>
            <w:r>
              <w:rPr>
                <w:sz w:val="20"/>
                <w:szCs w:val="20"/>
              </w:rPr>
              <w:t xml:space="preserve">Exported regression dashboard CSV files in templates/dashboard_downloads</w:t>
            </w:r>
          </w:p>
        </w:tc>
      </w:tr>
    </w:tbl>
    <w:p>
      <w:pPr>
        <w:spacing w:after="160"/>
      </w:pPr>
    </w:p>
    <w:tbl>
      <w:tblPr>
        <w:tblW w:w="9360" w:type="dxa"/>
        <w:tblInd w:w="120" w:type="dxa"/>
        <w:tblLayout w:type="fixed"/>
        <w:shd w:fill="F4F6F9"/>
        <w:tblBorders>
          <w:top w:val="single" w:sz="4" w:space="0" w:color="D0D7DE"/>
          <w:left w:val="single" w:sz="4" w:space="0" w:color="D0D7DE"/>
          <w:bottom w:val="single" w:sz="4" w:space="0" w:color="D0D7DE"/>
          <w:right w:val="single" w:sz="4" w:space="0" w:color="D0D7DE"/>
          <w:insideH w:val="single" w:sz="4" w:space="0" w:color="E5E7EB"/>
          <w:insideV w:val="single" w:sz="4" w:space="0" w:color="E5E7EB"/>
        </w:tblBorders>
      </w:tblPr>
      <w:tblGrid>
        <w:gridCol w:w="9360"/>
      </w:tblGrid>
      <w:tr>
        <w:tc>
          <w:tcPr>
            <w:tcW w:w="9360" w:type="dxa"/>
            <w:tcMar>
              <w:top w:w="90" w:type="dxa"/>
              <w:bottom w:w="90" w:type="dxa"/>
              <w:start w:w="120" w:type="dxa"/>
              <w:end w:w="120" w:type="dxa"/>
            </w:tcMar>
          </w:tcPr>
          <w:p>
            <w:pPr>
              <w:spacing w:after="40"/>
            </w:pPr>
            <w:r>
              <w:rPr>
                <w:sz w:val="20"/>
                <w:szCs w:val="20"/>
              </w:rPr>
              <w:t xml:space="preserve">Core reading: The baseline regression is stable, and XGBoost improves held-out R Square from 0.5170 to 0.5260. That is an absolute lift of 0.0089, or about 1.7% relative to the linear baseline. The tree layer is therefore useful for threshold interpretation, but it does not radically change model strength.</w:t>
            </w:r>
          </w:p>
        </w:tc>
      </w:tr>
    </w:tbl>
    <w:p>
      <w:pPr>
        <w:spacing w:after="160"/>
      </w:pPr>
    </w:p>
    <w:p>
      <w:pPr>
        <w:pStyle w:val="Heading1"/>
      </w:pPr>
      <w:r>
        <w:t xml:space="preserve">Executive Summary</w:t>
      </w:r>
    </w:p>
    <w:tbl>
      <w:tblPr>
        <w:tblW w:w="9360" w:type="dxa"/>
        <w:tblInd w:w="120" w:type="dxa"/>
        <w:tblLayout w:type="fixed"/>
        <w:tblBorders>
          <w:top w:val="single" w:sz="4" w:space="0" w:color="D0D7DE"/>
          <w:left w:val="single" w:sz="4" w:space="0" w:color="D0D7DE"/>
          <w:bottom w:val="single" w:sz="4" w:space="0" w:color="D0D7DE"/>
          <w:right w:val="single" w:sz="4" w:space="0" w:color="D0D7DE"/>
          <w:insideH w:val="single" w:sz="4" w:space="0" w:color="E5E7EB"/>
          <w:insideV w:val="single" w:sz="4" w:space="0" w:color="E5E7EB"/>
        </w:tblBorders>
      </w:tblPr>
      <w:tblGrid>
        <w:gridCol w:w="2150"/>
        <w:gridCol w:w="7210"/>
      </w:tblGrid>
      <w:tr>
        <w:tc>
          <w:tcPr>
            <w:tcW w:w="2150" w:type="dxa"/>
            <w:shd w:fill="F2F4F7"/>
            <w:tcMar>
              <w:top w:w="90" w:type="dxa"/>
              <w:bottom w:w="90" w:type="dxa"/>
              <w:start w:w="120" w:type="dxa"/>
              <w:end w:w="120" w:type="dxa"/>
            </w:tcMar>
          </w:tcPr>
          <w:p>
            <w:pPr>
              <w:spacing w:after="40"/>
            </w:pPr>
            <w:r>
              <w:rPr>
                <w:b/>
                <w:sz w:val="20"/>
                <w:szCs w:val="20"/>
              </w:rPr>
              <w:t xml:space="preserve">Question</w:t>
            </w:r>
          </w:p>
        </w:tc>
        <w:tc>
          <w:tcPr>
            <w:tcW w:w="7210" w:type="dxa"/>
            <w:shd w:fill="F2F4F7"/>
            <w:tcMar>
              <w:top w:w="90" w:type="dxa"/>
              <w:bottom w:w="90" w:type="dxa"/>
              <w:start w:w="120" w:type="dxa"/>
              <w:end w:w="120" w:type="dxa"/>
            </w:tcMar>
          </w:tcPr>
          <w:p>
            <w:pPr>
              <w:jc w:val="center"/>
              <w:spacing w:after="40"/>
            </w:pPr>
            <w:r>
              <w:rPr>
                <w:b/>
                <w:sz w:val="20"/>
                <w:szCs w:val="20"/>
              </w:rPr>
              <w:t xml:space="preserve">Answer from the analysis</w:t>
            </w:r>
          </w:p>
        </w:tc>
      </w:tr>
      <w:tr>
        <w:tc>
          <w:tcPr>
            <w:tcW w:w="2150" w:type="dxa"/>
            <w:tcMar>
              <w:top w:w="90" w:type="dxa"/>
              <w:bottom w:w="90" w:type="dxa"/>
              <w:start w:w="120" w:type="dxa"/>
              <w:end w:w="120" w:type="dxa"/>
            </w:tcMar>
          </w:tcPr>
          <w:p>
            <w:pPr>
              <w:spacing w:after="40"/>
            </w:pPr>
            <w:r>
              <w:rPr>
                <w:sz w:val="20"/>
                <w:szCs w:val="20"/>
              </w:rPr>
              <w:t xml:space="preserve">Where does the baseline fail?</w:t>
            </w:r>
          </w:p>
        </w:tc>
        <w:tc>
          <w:tcPr>
            <w:tcW w:w="7210" w:type="dxa"/>
            <w:tcMar>
              <w:top w:w="90" w:type="dxa"/>
              <w:bottom w:w="90" w:type="dxa"/>
              <w:start w:w="120" w:type="dxa"/>
              <w:end w:w="120" w:type="dxa"/>
            </w:tcMar>
          </w:tcPr>
          <w:p>
            <w:pPr>
              <w:spacing w:after="40"/>
            </w:pPr>
            <w:r>
              <w:rPr>
                <w:sz w:val="20"/>
                <w:szCs w:val="20"/>
              </w:rPr>
              <w:t xml:space="preserve">Mainly in extreme high-revenue cases. The largest miss is an underprediction of 108.61M.</w:t>
            </w:r>
          </w:p>
        </w:tc>
      </w:tr>
      <w:tr>
        <w:tc>
          <w:tcPr>
            <w:tcW w:w="2150" w:type="dxa"/>
            <w:shd w:fill="FAFBFC"/>
            <w:tcMar>
              <w:top w:w="90" w:type="dxa"/>
              <w:bottom w:w="90" w:type="dxa"/>
              <w:start w:w="120" w:type="dxa"/>
              <w:end w:w="120" w:type="dxa"/>
            </w:tcMar>
          </w:tcPr>
          <w:p>
            <w:pPr>
              <w:spacing w:after="40"/>
            </w:pPr>
            <w:r>
              <w:rPr>
                <w:sz w:val="20"/>
                <w:szCs w:val="20"/>
              </w:rPr>
              <w:t xml:space="preserve">Which variables are skewed?</w:t>
            </w:r>
          </w:p>
        </w:tc>
        <w:tc>
          <w:tcPr>
            <w:tcW w:w="7210" w:type="dxa"/>
            <w:shd w:fill="FAFBFC"/>
            <w:tcMar>
              <w:top w:w="90" w:type="dxa"/>
              <w:bottom w:w="90" w:type="dxa"/>
              <w:start w:w="120" w:type="dxa"/>
              <w:end w:w="120" w:type="dxa"/>
            </w:tcMar>
          </w:tcPr>
          <w:p>
            <w:pPr>
              <w:spacing w:after="40"/>
            </w:pPr>
            <w:r>
              <w:rPr>
                <w:sz w:val="20"/>
                <w:szCs w:val="20"/>
              </w:rPr>
              <w:t xml:space="preserve">Cost savings and AI investment are the high-skew predictors. Actual impact, signed error, and error percentage are also strongly right-skewed.</w:t>
            </w:r>
          </w:p>
        </w:tc>
      </w:tr>
      <w:tr>
        <w:tc>
          <w:tcPr>
            <w:tcW w:w="2150" w:type="dxa"/>
            <w:tcMar>
              <w:top w:w="90" w:type="dxa"/>
              <w:bottom w:w="90" w:type="dxa"/>
              <w:start w:w="120" w:type="dxa"/>
              <w:end w:w="120" w:type="dxa"/>
            </w:tcMar>
          </w:tcPr>
          <w:p>
            <w:pPr>
              <w:spacing w:after="40"/>
            </w:pPr>
            <w:r>
              <w:rPr>
                <w:sz w:val="20"/>
                <w:szCs w:val="20"/>
              </w:rPr>
              <w:t xml:space="preserve">Is there nonlinearity?</w:t>
            </w:r>
          </w:p>
        </w:tc>
        <w:tc>
          <w:tcPr>
            <w:tcW w:w="7210" w:type="dxa"/>
            <w:tcMar>
              <w:top w:w="90" w:type="dxa"/>
              <w:bottom w:w="90" w:type="dxa"/>
              <w:start w:w="120" w:type="dxa"/>
              <w:end w:w="120" w:type="dxa"/>
            </w:tcMar>
          </w:tcPr>
          <w:p>
            <w:pPr>
              <w:spacing w:after="40"/>
            </w:pPr>
            <w:r>
              <w:rPr>
                <w:sz w:val="20"/>
                <w:szCs w:val="20"/>
              </w:rPr>
              <w:t xml:space="preserve">Yes. Spearman correlations exceed Pearson correlations for every model feature, which points to monotonic nonlinear structure.</w:t>
            </w:r>
          </w:p>
        </w:tc>
      </w:tr>
      <w:tr>
        <w:tc>
          <w:tcPr>
            <w:tcW w:w="2150" w:type="dxa"/>
            <w:shd w:fill="FAFBFC"/>
            <w:tcMar>
              <w:top w:w="90" w:type="dxa"/>
              <w:bottom w:w="90" w:type="dxa"/>
              <w:start w:w="120" w:type="dxa"/>
              <w:end w:w="120" w:type="dxa"/>
            </w:tcMar>
          </w:tcPr>
          <w:p>
            <w:pPr>
              <w:spacing w:after="40"/>
            </w:pPr>
            <w:r>
              <w:rPr>
                <w:sz w:val="20"/>
                <w:szCs w:val="20"/>
              </w:rPr>
              <w:t xml:space="preserve">What does the tree add?</w:t>
            </w:r>
          </w:p>
        </w:tc>
        <w:tc>
          <w:tcPr>
            <w:tcW w:w="7210" w:type="dxa"/>
            <w:shd w:fill="FAFBFC"/>
            <w:tcMar>
              <w:top w:w="90" w:type="dxa"/>
              <w:bottom w:w="90" w:type="dxa"/>
              <w:start w:w="120" w:type="dxa"/>
              <w:end w:w="120" w:type="dxa"/>
            </w:tcMar>
          </w:tcPr>
          <w:p>
            <w:pPr>
              <w:spacing w:after="40"/>
            </w:pPr>
            <w:r>
              <w:rPr>
                <w:sz w:val="20"/>
                <w:szCs w:val="20"/>
              </w:rPr>
              <w:t xml:space="preserve">A readable threshold map: cost savings creates the main scale split, AI investment refines middle branches, and training refines selected leaves.</w:t>
            </w:r>
          </w:p>
        </w:tc>
      </w:tr>
      <w:tr>
        <w:tc>
          <w:tcPr>
            <w:tcW w:w="2150" w:type="dxa"/>
            <w:tcMar>
              <w:top w:w="90" w:type="dxa"/>
              <w:bottom w:w="90" w:type="dxa"/>
              <w:start w:w="120" w:type="dxa"/>
              <w:end w:w="120" w:type="dxa"/>
            </w:tcMar>
          </w:tcPr>
          <w:p>
            <w:pPr>
              <w:spacing w:after="40"/>
            </w:pPr>
            <w:r>
              <w:rPr>
                <w:sz w:val="20"/>
                <w:szCs w:val="20"/>
              </w:rPr>
              <w:t xml:space="preserve">What does XGBoost add?</w:t>
            </w:r>
          </w:p>
        </w:tc>
        <w:tc>
          <w:tcPr>
            <w:tcW w:w="7210" w:type="dxa"/>
            <w:tcMar>
              <w:top w:w="90" w:type="dxa"/>
              <w:bottom w:w="90" w:type="dxa"/>
              <w:start w:w="120" w:type="dxa"/>
              <w:end w:w="120" w:type="dxa"/>
            </w:tcMar>
          </w:tcPr>
          <w:p>
            <w:pPr>
              <w:spacing w:after="40"/>
            </w:pPr>
            <w:r>
              <w:rPr>
                <w:sz w:val="20"/>
                <w:szCs w:val="20"/>
              </w:rPr>
              <w:t xml:space="preserve">A modest held-out R Square lift and a clearer hierarchy of nonlinear feature importance.</w:t>
            </w:r>
          </w:p>
        </w:tc>
      </w:tr>
    </w:tbl>
    <w:p>
      <w:pPr>
        <w:spacing w:after="160"/>
      </w:pPr>
    </w:p>
    <w:p>
      <w:r>
        <w:t xml:space="preserve">The analysis should be read as a layered diagnostic. First, the residual/error extraction identifies where the regression misses. Second, skewness and percentile ranges explain why those misses are concentrated in the right tail. Third, correlation checks show that several predictors are monotonic but not perfectly linear. Fourth, the decision tree converts that shape into thresholds. Finally, XGBoost tests whether combining many such thresholds improves held-out accuracy.</w:t>
      </w:r>
    </w:p>
    <w:p>
      <w:r>
        <w:br w:type="page"/>
      </w:r>
    </w:p>
    <w:p>
      <w:pPr>
        <w:spacing w:after="60"/>
      </w:pPr>
    </w:p>
    <w:tbl>
      <w:tblPr>
        <w:tblW w:w="9360" w:type="dxa"/>
        <w:tblInd w:w="120" w:type="dxa"/>
        <w:tblLayout w:type="fixed"/>
        <w:shd w:fill="F4F6F9"/>
        <w:tblBorders>
          <w:top w:val="single" w:sz="6" w:space="0" w:color="A9B7C6"/>
          <w:left w:val="single" w:sz="6" w:space="0" w:color="A9B7C6"/>
          <w:bottom w:val="single" w:sz="6" w:space="0" w:color="A9B7C6"/>
          <w:right w:val="single" w:sz="6" w:space="0" w:color="A9B7C6"/>
          <w:insideH w:val="single" w:sz="4" w:space="0" w:color="E5E7EB"/>
          <w:insideV w:val="single" w:sz="4" w:space="0" w:color="E5E7EB"/>
        </w:tblBorders>
      </w:tblPr>
      <w:tblGrid>
        <w:gridCol w:w="9360"/>
      </w:tblGrid>
      <w:tr>
        <w:tc>
          <w:tcPr>
            <w:tcW w:w="9360" w:type="dxa"/>
            <w:shd w:fill="F4F6F9"/>
            <w:tcMar>
              <w:top w:w="140" w:type="dxa"/>
              <w:bottom w:w="140" w:type="dxa"/>
              <w:start w:w="160" w:type="dxa"/>
              <w:end w:w="160" w:type="dxa"/>
            </w:tcMar>
          </w:tcPr>
          <w:p>
            <w:pPr>
              <w:spacing w:after="40"/>
            </w:pPr>
            <w:r>
              <w:rPr>
                <w:b/>
                <w:sz w:val="21"/>
                <w:szCs w:val="21"/>
                <w:color w:val="0B2545"/>
              </w:rPr>
              <w:t xml:space="preserve">Final key takeaway: </w:t>
            </w:r>
            <w:r>
              <w:rPr>
                <w:sz w:val="21"/>
                <w:szCs w:val="21"/>
              </w:rPr>
              <w:t xml:space="preserve">This is a diagnostic improvement story, not a model-replacement story. XGBoost raises held-out R Square from 0.5170 to 0.5260, while the evidence still points to the same core driver hierarchy: cost savings first, AI investment second, and operational maturity variables as refinements.</w:t>
            </w:r>
          </w:p>
        </w:tc>
      </w:tr>
    </w:tbl>
    <w:p>
      <w:pPr>
        <w:spacing w:after="120"/>
      </w:pPr>
    </w:p>
    <w:p>
      <w:pPr>
        <w:pStyle w:val="Heading1"/>
      </w:pPr>
      <w:r>
        <w:t xml:space="preserve">1. Analysis Structure</w:t>
      </w:r>
    </w:p>
    <w:p>
      <w:r>
        <w:t xml:space="preserve">The report follows the modeling framework in a fixed order. Error feature extraction defines the miss pattern first. Skewness and percentile ranges then define the distribution shape. Correlation nonlinearity checks whether straight-line association is enough. The decision tree and XGBoost sections finally translate that structure into thresholds and model lift.</w:t>
      </w:r>
    </w:p>
    <w:tbl>
      <w:tblPr>
        <w:tblW w:w="9360" w:type="dxa"/>
        <w:tblInd w:w="120" w:type="dxa"/>
        <w:tblLayout w:type="fixed"/>
        <w:tblBorders>
          <w:top w:val="single" w:sz="4" w:space="0" w:color="D0D7DE"/>
          <w:left w:val="single" w:sz="4" w:space="0" w:color="D0D7DE"/>
          <w:bottom w:val="single" w:sz="4" w:space="0" w:color="D0D7DE"/>
          <w:right w:val="single" w:sz="4" w:space="0" w:color="D0D7DE"/>
          <w:insideH w:val="single" w:sz="4" w:space="0" w:color="E5E7EB"/>
          <w:insideV w:val="single" w:sz="4" w:space="0" w:color="E5E7EB"/>
        </w:tblBorders>
      </w:tblPr>
      <w:tblGrid>
        <w:gridCol w:w="1600"/>
        <w:gridCol w:w="3860"/>
        <w:gridCol w:w="3900"/>
      </w:tblGrid>
      <w:tr>
        <w:tc>
          <w:tcPr>
            <w:tcW w:w="1600" w:type="dxa"/>
            <w:shd w:fill="F2F4F7"/>
            <w:tcMar>
              <w:top w:w="90" w:type="dxa"/>
              <w:bottom w:w="90" w:type="dxa"/>
              <w:start w:w="120" w:type="dxa"/>
              <w:end w:w="120" w:type="dxa"/>
            </w:tcMar>
          </w:tcPr>
          <w:p>
            <w:pPr>
              <w:spacing w:after="40"/>
            </w:pPr>
            <w:r>
              <w:rPr>
                <w:b/>
                <w:sz w:val="18"/>
                <w:szCs w:val="18"/>
              </w:rPr>
              <w:t xml:space="preserve">Stage</w:t>
            </w:r>
          </w:p>
        </w:tc>
        <w:tc>
          <w:tcPr>
            <w:tcW w:w="3860" w:type="dxa"/>
            <w:shd w:fill="F2F4F7"/>
            <w:tcMar>
              <w:top w:w="90" w:type="dxa"/>
              <w:bottom w:w="90" w:type="dxa"/>
              <w:start w:w="120" w:type="dxa"/>
              <w:end w:w="120" w:type="dxa"/>
            </w:tcMar>
          </w:tcPr>
          <w:p>
            <w:pPr>
              <w:jc w:val="center"/>
              <w:spacing w:after="40"/>
            </w:pPr>
            <w:r>
              <w:rPr>
                <w:b/>
                <w:sz w:val="18"/>
                <w:szCs w:val="18"/>
              </w:rPr>
              <w:t xml:space="preserve">What it checks</w:t>
            </w:r>
          </w:p>
        </w:tc>
        <w:tc>
          <w:tcPr>
            <w:tcW w:w="3900" w:type="dxa"/>
            <w:shd w:fill="F2F4F7"/>
            <w:tcMar>
              <w:top w:w="90" w:type="dxa"/>
              <w:bottom w:w="90" w:type="dxa"/>
              <w:start w:w="120" w:type="dxa"/>
              <w:end w:w="120" w:type="dxa"/>
            </w:tcMar>
          </w:tcPr>
          <w:p>
            <w:pPr>
              <w:jc w:val="center"/>
              <w:spacing w:after="40"/>
            </w:pPr>
            <w:r>
              <w:rPr>
                <w:b/>
                <w:sz w:val="18"/>
                <w:szCs w:val="18"/>
              </w:rPr>
              <w:t xml:space="preserve">Why it matters</w:t>
            </w:r>
          </w:p>
        </w:tc>
      </w:tr>
      <w:tr>
        <w:tc>
          <w:tcPr>
            <w:tcW w:w="1600" w:type="dxa"/>
            <w:tcMar>
              <w:top w:w="90" w:type="dxa"/>
              <w:bottom w:w="90" w:type="dxa"/>
              <w:start w:w="120" w:type="dxa"/>
              <w:end w:w="120" w:type="dxa"/>
            </w:tcMar>
          </w:tcPr>
          <w:p>
            <w:pPr>
              <w:spacing w:after="40"/>
            </w:pPr>
            <w:r>
              <w:rPr>
                <w:sz w:val="18"/>
                <w:szCs w:val="18"/>
              </w:rPr>
              <w:t xml:space="preserve">Error feature extraction</w:t>
            </w:r>
          </w:p>
        </w:tc>
        <w:tc>
          <w:tcPr>
            <w:tcW w:w="3860" w:type="dxa"/>
            <w:tcMar>
              <w:top w:w="90" w:type="dxa"/>
              <w:bottom w:w="90" w:type="dxa"/>
              <w:start w:w="120" w:type="dxa"/>
              <w:end w:w="120" w:type="dxa"/>
            </w:tcMar>
          </w:tcPr>
          <w:p>
            <w:pPr>
              <w:jc w:val="center"/>
              <w:spacing w:after="40"/>
            </w:pPr>
            <w:r>
              <w:rPr>
                <w:sz w:val="18"/>
                <w:szCs w:val="18"/>
              </w:rPr>
              <w:t xml:space="preserve">Actual impact, predicted impact, signed error, absolute error, error percentage, and error direction.</w:t>
            </w:r>
          </w:p>
        </w:tc>
        <w:tc>
          <w:tcPr>
            <w:tcW w:w="3900" w:type="dxa"/>
            <w:tcMar>
              <w:top w:w="90" w:type="dxa"/>
              <w:bottom w:w="90" w:type="dxa"/>
              <w:start w:w="120" w:type="dxa"/>
              <w:end w:w="120" w:type="dxa"/>
            </w:tcMar>
          </w:tcPr>
          <w:p>
            <w:pPr>
              <w:spacing w:after="40"/>
            </w:pPr>
            <w:r>
              <w:rPr>
                <w:sz w:val="18"/>
                <w:szCs w:val="18"/>
              </w:rPr>
              <w:t xml:space="preserve">Shows whether the regression fails randomly or fails in a patterned region of the data.</w:t>
            </w:r>
          </w:p>
        </w:tc>
      </w:tr>
      <w:tr>
        <w:tc>
          <w:tcPr>
            <w:tcW w:w="1600" w:type="dxa"/>
            <w:shd w:fill="FAFBFC"/>
            <w:tcMar>
              <w:top w:w="90" w:type="dxa"/>
              <w:bottom w:w="90" w:type="dxa"/>
              <w:start w:w="120" w:type="dxa"/>
              <w:end w:w="120" w:type="dxa"/>
            </w:tcMar>
          </w:tcPr>
          <w:p>
            <w:pPr>
              <w:spacing w:after="40"/>
            </w:pPr>
            <w:r>
              <w:rPr>
                <w:sz w:val="18"/>
                <w:szCs w:val="18"/>
              </w:rPr>
              <w:t xml:space="preserve">Skewness and percentile ranges</w:t>
            </w:r>
          </w:p>
        </w:tc>
        <w:tc>
          <w:tcPr>
            <w:tcW w:w="3860" w:type="dxa"/>
            <w:shd w:fill="FAFBFC"/>
            <w:tcMar>
              <w:top w:w="90" w:type="dxa"/>
              <w:bottom w:w="90" w:type="dxa"/>
              <w:start w:w="120" w:type="dxa"/>
              <w:end w:w="120" w:type="dxa"/>
            </w:tcMar>
          </w:tcPr>
          <w:p>
            <w:pPr>
              <w:jc w:val="center"/>
              <w:spacing w:after="40"/>
            </w:pPr>
            <w:r>
              <w:rPr>
                <w:sz w:val="18"/>
                <w:szCs w:val="18"/>
              </w:rPr>
              <w:t xml:space="preserve">P1, P10, P25, P50, P75, P90, P99, skewness, and skew direction.</w:t>
            </w:r>
          </w:p>
        </w:tc>
        <w:tc>
          <w:tcPr>
            <w:tcW w:w="3900" w:type="dxa"/>
            <w:shd w:fill="FAFBFC"/>
            <w:tcMar>
              <w:top w:w="90" w:type="dxa"/>
              <w:bottom w:w="90" w:type="dxa"/>
              <w:start w:w="120" w:type="dxa"/>
              <w:end w:w="120" w:type="dxa"/>
            </w:tcMar>
          </w:tcPr>
          <w:p>
            <w:pPr>
              <w:spacing w:after="40"/>
            </w:pPr>
            <w:r>
              <w:rPr>
                <w:sz w:val="18"/>
                <w:szCs w:val="18"/>
              </w:rPr>
              <w:t xml:space="preserve">Shows whether ordinary averages hide long-tail behavior.</w:t>
            </w:r>
          </w:p>
        </w:tc>
      </w:tr>
      <w:tr>
        <w:tc>
          <w:tcPr>
            <w:tcW w:w="1600" w:type="dxa"/>
            <w:tcMar>
              <w:top w:w="90" w:type="dxa"/>
              <w:bottom w:w="90" w:type="dxa"/>
              <w:start w:w="120" w:type="dxa"/>
              <w:end w:w="120" w:type="dxa"/>
            </w:tcMar>
          </w:tcPr>
          <w:p>
            <w:pPr>
              <w:spacing w:after="40"/>
            </w:pPr>
            <w:r>
              <w:rPr>
                <w:sz w:val="18"/>
                <w:szCs w:val="18"/>
              </w:rPr>
              <w:t xml:space="preserve">Correlation nonlinearity</w:t>
            </w:r>
          </w:p>
        </w:tc>
        <w:tc>
          <w:tcPr>
            <w:tcW w:w="3860" w:type="dxa"/>
            <w:tcMar>
              <w:top w:w="90" w:type="dxa"/>
              <w:bottom w:w="90" w:type="dxa"/>
              <w:start w:w="120" w:type="dxa"/>
              <w:end w:w="120" w:type="dxa"/>
            </w:tcMar>
          </w:tcPr>
          <w:p>
            <w:pPr>
              <w:jc w:val="center"/>
              <w:spacing w:after="40"/>
            </w:pPr>
            <w:r>
              <w:rPr>
                <w:sz w:val="18"/>
                <w:szCs w:val="18"/>
              </w:rPr>
              <w:t xml:space="preserve">Pearson versus Spearman, plus linear/quadratic/log fit comparisons.</w:t>
            </w:r>
          </w:p>
        </w:tc>
        <w:tc>
          <w:tcPr>
            <w:tcW w:w="3900" w:type="dxa"/>
            <w:tcMar>
              <w:top w:w="90" w:type="dxa"/>
              <w:bottom w:w="90" w:type="dxa"/>
              <w:start w:w="120" w:type="dxa"/>
              <w:end w:w="120" w:type="dxa"/>
            </w:tcMar>
          </w:tcPr>
          <w:p>
            <w:pPr>
              <w:spacing w:after="40"/>
            </w:pPr>
            <w:r>
              <w:rPr>
                <w:sz w:val="18"/>
                <w:szCs w:val="18"/>
              </w:rPr>
              <w:t xml:space="preserve">Shows whether low straight-line correlation misses ranked or threshold structure.</w:t>
            </w:r>
          </w:p>
        </w:tc>
      </w:tr>
      <w:tr>
        <w:tc>
          <w:tcPr>
            <w:tcW w:w="1600" w:type="dxa"/>
            <w:shd w:fill="FAFBFC"/>
            <w:tcMar>
              <w:top w:w="90" w:type="dxa"/>
              <w:bottom w:w="90" w:type="dxa"/>
              <w:start w:w="120" w:type="dxa"/>
              <w:end w:w="120" w:type="dxa"/>
            </w:tcMar>
          </w:tcPr>
          <w:p>
            <w:pPr>
              <w:spacing w:after="40"/>
            </w:pPr>
            <w:r>
              <w:rPr>
                <w:sz w:val="18"/>
                <w:szCs w:val="18"/>
              </w:rPr>
              <w:t xml:space="preserve">Decision tree</w:t>
            </w:r>
          </w:p>
        </w:tc>
        <w:tc>
          <w:tcPr>
            <w:tcW w:w="3860" w:type="dxa"/>
            <w:shd w:fill="FAFBFC"/>
            <w:tcMar>
              <w:top w:w="90" w:type="dxa"/>
              <w:bottom w:w="90" w:type="dxa"/>
              <w:start w:w="120" w:type="dxa"/>
              <w:end w:w="120" w:type="dxa"/>
            </w:tcMar>
          </w:tcPr>
          <w:p>
            <w:pPr>
              <w:jc w:val="center"/>
              <w:spacing w:after="40"/>
            </w:pPr>
            <w:r>
              <w:rPr>
                <w:sz w:val="18"/>
                <w:szCs w:val="18"/>
              </w:rPr>
              <w:t xml:space="preserve">Single skew-aware tree with 5% node-gain stopping.</w:t>
            </w:r>
          </w:p>
        </w:tc>
        <w:tc>
          <w:tcPr>
            <w:tcW w:w="3900" w:type="dxa"/>
            <w:shd w:fill="FAFBFC"/>
            <w:tcMar>
              <w:top w:w="90" w:type="dxa"/>
              <w:bottom w:w="90" w:type="dxa"/>
              <w:start w:w="120" w:type="dxa"/>
              <w:end w:w="120" w:type="dxa"/>
            </w:tcMar>
          </w:tcPr>
          <w:p>
            <w:pPr>
              <w:spacing w:after="40"/>
            </w:pPr>
            <w:r>
              <w:rPr>
                <w:sz w:val="18"/>
                <w:szCs w:val="18"/>
              </w:rPr>
              <w:t xml:space="preserve">Turns nonlinear structure into explainable thresholds.</w:t>
            </w:r>
          </w:p>
        </w:tc>
      </w:tr>
      <w:tr>
        <w:tc>
          <w:tcPr>
            <w:tcW w:w="1600" w:type="dxa"/>
            <w:tcMar>
              <w:top w:w="90" w:type="dxa"/>
              <w:bottom w:w="90" w:type="dxa"/>
              <w:start w:w="120" w:type="dxa"/>
              <w:end w:w="120" w:type="dxa"/>
            </w:tcMar>
          </w:tcPr>
          <w:p>
            <w:pPr>
              <w:spacing w:after="40"/>
            </w:pPr>
            <w:r>
              <w:rPr>
                <w:sz w:val="18"/>
                <w:szCs w:val="18"/>
              </w:rPr>
              <w:t xml:space="preserve">XGBoost</w:t>
            </w:r>
          </w:p>
        </w:tc>
        <w:tc>
          <w:tcPr>
            <w:tcW w:w="3860" w:type="dxa"/>
            <w:tcMar>
              <w:top w:w="90" w:type="dxa"/>
              <w:bottom w:w="90" w:type="dxa"/>
              <w:start w:w="120" w:type="dxa"/>
              <w:end w:w="120" w:type="dxa"/>
            </w:tcMar>
          </w:tcPr>
          <w:p>
            <w:pPr>
              <w:jc w:val="center"/>
              <w:spacing w:after="40"/>
            </w:pPr>
            <w:r>
              <w:rPr>
                <w:sz w:val="18"/>
                <w:szCs w:val="18"/>
              </w:rPr>
              <w:t xml:space="preserve">Tree ensemble with skew-aware inputs and split-gain enforcement.</w:t>
            </w:r>
          </w:p>
        </w:tc>
        <w:tc>
          <w:tcPr>
            <w:tcW w:w="3900" w:type="dxa"/>
            <w:tcMar>
              <w:top w:w="90" w:type="dxa"/>
              <w:bottom w:w="90" w:type="dxa"/>
              <w:start w:w="120" w:type="dxa"/>
              <w:end w:w="120" w:type="dxa"/>
            </w:tcMar>
          </w:tcPr>
          <w:p>
            <w:pPr>
              <w:spacing w:after="40"/>
            </w:pPr>
            <w:r>
              <w:rPr>
                <w:sz w:val="18"/>
                <w:szCs w:val="18"/>
              </w:rPr>
              <w:t xml:space="preserve">Tests whether many threshold rules improve held-out prediction.</w:t>
            </w:r>
          </w:p>
        </w:tc>
      </w:tr>
    </w:tbl>
    <w:p>
      <w:pPr>
        <w:spacing w:after="160"/>
      </w:pPr>
    </w:p>
    <w:p>
      <w:pPr>
        <w:spacing w:after="60"/>
      </w:pPr>
    </w:p>
    <w:tbl>
      <w:tblPr>
        <w:tblW w:w="9360" w:type="dxa"/>
        <w:tblInd w:w="120" w:type="dxa"/>
        <w:tblLayout w:type="fixed"/>
        <w:shd w:fill="F4F6F9"/>
        <w:tblBorders>
          <w:top w:val="single" w:sz="6" w:space="0" w:color="A9B7C6"/>
          <w:left w:val="single" w:sz="6" w:space="0" w:color="A9B7C6"/>
          <w:bottom w:val="single" w:sz="6" w:space="0" w:color="A9B7C6"/>
          <w:right w:val="single" w:sz="6" w:space="0" w:color="A9B7C6"/>
          <w:insideH w:val="single" w:sz="4" w:space="0" w:color="E5E7EB"/>
          <w:insideV w:val="single" w:sz="4" w:space="0" w:color="E5E7EB"/>
        </w:tblBorders>
      </w:tblPr>
      <w:tblGrid>
        <w:gridCol w:w="9360"/>
      </w:tblGrid>
      <w:tr>
        <w:tc>
          <w:tcPr>
            <w:tcW w:w="9360" w:type="dxa"/>
            <w:shd w:fill="F4F6F9"/>
            <w:tcMar>
              <w:top w:w="140" w:type="dxa"/>
              <w:bottom w:w="140" w:type="dxa"/>
              <w:start w:w="160" w:type="dxa"/>
              <w:end w:w="160" w:type="dxa"/>
            </w:tcMar>
          </w:tcPr>
          <w:p>
            <w:pPr>
              <w:spacing w:after="40"/>
            </w:pPr>
            <w:r>
              <w:rPr>
                <w:b/>
                <w:sz w:val="21"/>
                <w:szCs w:val="21"/>
                <w:color w:val="0B2545"/>
              </w:rPr>
              <w:t xml:space="preserve">Final key takeaway: </w:t>
            </w:r>
            <w:r>
              <w:rPr>
                <w:sz w:val="21"/>
                <w:szCs w:val="21"/>
              </w:rPr>
              <w:t xml:space="preserve">Read the analysis in order. Error extraction tells us where the model fails, skewness explains why those failures sit in the right tail, correlation checks justify threshold modeling, and the tree/XGBoost layer turns that structure into interpretable split rules.</w:t>
            </w:r>
          </w:p>
        </w:tc>
      </w:tr>
    </w:tbl>
    <w:p>
      <w:pPr>
        <w:spacing w:after="120"/>
      </w:pPr>
    </w:p>
    <w:p>
      <w:pPr>
        <w:pStyle w:val="Heading1"/>
      </w:pPr>
      <w:r>
        <w:t xml:space="preserve">2. Model Score Context</w:t>
      </w:r>
    </w:p>
    <w:p>
      <w:r>
        <w:t xml:space="preserve">The first thing to settle is the size of the improvement. R Square measures the share of held-out target variation explained by the model; RMSE measures the typical prediction error in revenue-impact units. XGBoost is selected because it has the highest test R Square, but the gain over linear regression is small. The single decision tree is weaker on held-out fit, so it is best used as an explanation device rather than as the final predictive model.</w:t>
      </w:r>
    </w:p>
    <w:p>
      <w:pPr>
        <w:jc w:val="center"/>
        <w:spacing w:before="80" w:after="60"/>
      </w:pPr>
      <w:r>
        <w:drawing>
          <wp:inline distT="0" distB="0" distL="0" distR="0">
            <wp:extent cx="5806440" cy="1496337"/>
            <wp:effectExtent l="0" t="0" r="0" b="0"/>
            <wp:docPr id="1" name="score.png"/>
            <wp:cNvGraphicFramePr>
              <a:graphicFrameLocks noChangeAspect="1"/>
            </wp:cNvGraphicFramePr>
            <a:graphic>
              <a:graphicData uri="http://schemas.openxmlformats.org/drawingml/2006/picture">
                <pic:pic>
                  <pic:nvPicPr>
                    <pic:cNvPr id="0" name="score.png"/>
                    <pic:cNvPicPr/>
                  </pic:nvPicPr>
                  <pic:blipFill>
                    <a:blip r:embed="rIdImg1"/>
                    <a:stretch>
                      <a:fillRect/>
                    </a:stretch>
                  </pic:blipFill>
                  <pic:spPr>
                    <a:xfrm>
                      <a:off x="0" y="0"/>
                      <a:ext cx="5806440" cy="1496337"/>
                    </a:xfrm>
                    <a:prstGeom prst="rect">
                      <a:avLst/>
                    </a:prstGeom>
                  </pic:spPr>
                </pic:pic>
              </a:graphicData>
            </a:graphic>
          </wp:inline>
        </w:drawing>
      </w:r>
    </w:p>
    <w:p>
      <w:pPr>
        <w:pStyle w:val="Caption"/>
        <w:jc w:val="center"/>
      </w:pPr>
      <w:r>
        <w:t xml:space="preserve">Figure 1. XGBoost has the best held-out score, but the gain over the linear baseline is modest.</w:t>
      </w:r>
    </w:p>
    <w:tbl>
      <w:tblPr>
        <w:tblW w:w="9360" w:type="dxa"/>
        <w:tblInd w:w="120" w:type="dxa"/>
        <w:tblLayout w:type="fixed"/>
        <w:tblBorders>
          <w:top w:val="single" w:sz="4" w:space="0" w:color="D0D7DE"/>
          <w:left w:val="single" w:sz="4" w:space="0" w:color="D0D7DE"/>
          <w:bottom w:val="single" w:sz="4" w:space="0" w:color="D0D7DE"/>
          <w:right w:val="single" w:sz="4" w:space="0" w:color="D0D7DE"/>
          <w:insideH w:val="single" w:sz="4" w:space="0" w:color="E5E7EB"/>
          <w:insideV w:val="single" w:sz="4" w:space="0" w:color="E5E7EB"/>
        </w:tblBorders>
      </w:tblPr>
      <w:tblGrid>
        <w:gridCol w:w="2600"/>
        <w:gridCol w:w="1800"/>
        <w:gridCol w:w="4960"/>
      </w:tblGrid>
      <w:tr>
        <w:tc>
          <w:tcPr>
            <w:tcW w:w="2600" w:type="dxa"/>
            <w:shd w:fill="F2F4F7"/>
            <w:tcMar>
              <w:top w:w="90" w:type="dxa"/>
              <w:bottom w:w="90" w:type="dxa"/>
              <w:start w:w="120" w:type="dxa"/>
              <w:end w:w="120" w:type="dxa"/>
            </w:tcMar>
          </w:tcPr>
          <w:p>
            <w:pPr>
              <w:spacing w:after="40"/>
            </w:pPr>
            <w:r>
              <w:rPr>
                <w:b/>
                <w:sz w:val="20"/>
                <w:szCs w:val="20"/>
              </w:rPr>
              <w:t xml:space="preserve">Model view</w:t>
            </w:r>
          </w:p>
        </w:tc>
        <w:tc>
          <w:tcPr>
            <w:tcW w:w="1800" w:type="dxa"/>
            <w:shd w:fill="F2F4F7"/>
            <w:tcMar>
              <w:top w:w="90" w:type="dxa"/>
              <w:bottom w:w="90" w:type="dxa"/>
              <w:start w:w="120" w:type="dxa"/>
              <w:end w:w="120" w:type="dxa"/>
            </w:tcMar>
          </w:tcPr>
          <w:p>
            <w:pPr>
              <w:jc w:val="center"/>
              <w:spacing w:after="40"/>
            </w:pPr>
            <w:r>
              <w:rPr>
                <w:b/>
                <w:sz w:val="20"/>
                <w:szCs w:val="20"/>
              </w:rPr>
              <w:t xml:space="preserve">Test R Square</w:t>
            </w:r>
          </w:p>
        </w:tc>
        <w:tc>
          <w:tcPr>
            <w:tcW w:w="4960" w:type="dxa"/>
            <w:shd w:fill="F2F4F7"/>
            <w:tcMar>
              <w:top w:w="90" w:type="dxa"/>
              <w:bottom w:w="90" w:type="dxa"/>
              <w:start w:w="120" w:type="dxa"/>
              <w:end w:w="120" w:type="dxa"/>
            </w:tcMar>
          </w:tcPr>
          <w:p>
            <w:pPr>
              <w:jc w:val="center"/>
              <w:spacing w:after="40"/>
            </w:pPr>
            <w:r>
              <w:rPr>
                <w:b/>
                <w:sz w:val="20"/>
                <w:szCs w:val="20"/>
              </w:rPr>
              <w:t xml:space="preserve">Interpretation</w:t>
            </w:r>
          </w:p>
        </w:tc>
      </w:tr>
      <w:tr>
        <w:tc>
          <w:tcPr>
            <w:tcW w:w="2600" w:type="dxa"/>
            <w:tcMar>
              <w:top w:w="90" w:type="dxa"/>
              <w:bottom w:w="90" w:type="dxa"/>
              <w:start w:w="120" w:type="dxa"/>
              <w:end w:w="120" w:type="dxa"/>
            </w:tcMar>
          </w:tcPr>
          <w:p>
            <w:pPr>
              <w:spacing w:after="40"/>
            </w:pPr>
            <w:r>
              <w:rPr>
                <w:sz w:val="20"/>
                <w:szCs w:val="20"/>
              </w:rPr>
              <w:t xml:space="preserve">Linear regression baseline</w:t>
            </w:r>
          </w:p>
        </w:tc>
        <w:tc>
          <w:tcPr>
            <w:tcW w:w="1800" w:type="dxa"/>
            <w:tcMar>
              <w:top w:w="90" w:type="dxa"/>
              <w:bottom w:w="90" w:type="dxa"/>
              <w:start w:w="120" w:type="dxa"/>
              <w:end w:w="120" w:type="dxa"/>
            </w:tcMar>
          </w:tcPr>
          <w:p>
            <w:pPr>
              <w:jc w:val="center"/>
              <w:spacing w:after="40"/>
            </w:pPr>
            <w:r>
              <w:rPr>
                <w:sz w:val="20"/>
                <w:szCs w:val="20"/>
              </w:rPr>
              <w:t xml:space="preserve">0.5170</w:t>
            </w:r>
          </w:p>
        </w:tc>
        <w:tc>
          <w:tcPr>
            <w:tcW w:w="4960" w:type="dxa"/>
            <w:tcMar>
              <w:top w:w="90" w:type="dxa"/>
              <w:bottom w:w="90" w:type="dxa"/>
              <w:start w:w="120" w:type="dxa"/>
              <w:end w:w="120" w:type="dxa"/>
            </w:tcMar>
          </w:tcPr>
          <w:p>
            <w:pPr>
              <w:spacing w:after="40"/>
            </w:pPr>
            <w:r>
              <w:rPr>
                <w:sz w:val="20"/>
                <w:szCs w:val="20"/>
              </w:rPr>
              <w:t xml:space="preserve">Strong baseline for the main linear signal.</w:t>
            </w:r>
          </w:p>
        </w:tc>
      </w:tr>
      <w:tr>
        <w:tc>
          <w:tcPr>
            <w:tcW w:w="2600" w:type="dxa"/>
            <w:shd w:fill="FAFBFC"/>
            <w:tcMar>
              <w:top w:w="90" w:type="dxa"/>
              <w:bottom w:w="90" w:type="dxa"/>
              <w:start w:w="120" w:type="dxa"/>
              <w:end w:w="120" w:type="dxa"/>
            </w:tcMar>
          </w:tcPr>
          <w:p>
            <w:pPr>
              <w:spacing w:after="40"/>
            </w:pPr>
            <w:r>
              <w:rPr>
                <w:sz w:val="20"/>
                <w:szCs w:val="20"/>
              </w:rPr>
              <w:t xml:space="preserve">Single diagnostic decision tree</w:t>
            </w:r>
          </w:p>
        </w:tc>
        <w:tc>
          <w:tcPr>
            <w:tcW w:w="1800" w:type="dxa"/>
            <w:shd w:fill="FAFBFC"/>
            <w:tcMar>
              <w:top w:w="90" w:type="dxa"/>
              <w:bottom w:w="90" w:type="dxa"/>
              <w:start w:w="120" w:type="dxa"/>
              <w:end w:w="120" w:type="dxa"/>
            </w:tcMar>
          </w:tcPr>
          <w:p>
            <w:pPr>
              <w:jc w:val="center"/>
              <w:spacing w:after="40"/>
            </w:pPr>
            <w:r>
              <w:rPr>
                <w:sz w:val="20"/>
                <w:szCs w:val="20"/>
              </w:rPr>
              <w:t xml:space="preserve">0.4728</w:t>
            </w:r>
          </w:p>
        </w:tc>
        <w:tc>
          <w:tcPr>
            <w:tcW w:w="4960" w:type="dxa"/>
            <w:shd w:fill="FAFBFC"/>
            <w:tcMar>
              <w:top w:w="90" w:type="dxa"/>
              <w:bottom w:w="90" w:type="dxa"/>
              <w:start w:w="120" w:type="dxa"/>
              <w:end w:w="120" w:type="dxa"/>
            </w:tcMar>
          </w:tcPr>
          <w:p>
            <w:pPr>
              <w:spacing w:after="40"/>
            </w:pPr>
            <w:r>
              <w:rPr>
                <w:sz w:val="20"/>
                <w:szCs w:val="20"/>
              </w:rPr>
              <w:t xml:space="preserve">Readable threshold model, but weaker held-out fit.</w:t>
            </w:r>
          </w:p>
        </w:tc>
      </w:tr>
      <w:tr>
        <w:tc>
          <w:tcPr>
            <w:tcW w:w="2600" w:type="dxa"/>
            <w:tcMar>
              <w:top w:w="90" w:type="dxa"/>
              <w:bottom w:w="90" w:type="dxa"/>
              <w:start w:w="120" w:type="dxa"/>
              <w:end w:w="120" w:type="dxa"/>
            </w:tcMar>
          </w:tcPr>
          <w:p>
            <w:pPr>
              <w:spacing w:after="40"/>
            </w:pPr>
            <w:r>
              <w:rPr>
                <w:sz w:val="20"/>
                <w:szCs w:val="20"/>
              </w:rPr>
              <w:t xml:space="preserve">XGBoost ensemble</w:t>
            </w:r>
          </w:p>
        </w:tc>
        <w:tc>
          <w:tcPr>
            <w:tcW w:w="1800" w:type="dxa"/>
            <w:tcMar>
              <w:top w:w="90" w:type="dxa"/>
              <w:bottom w:w="90" w:type="dxa"/>
              <w:start w:w="120" w:type="dxa"/>
              <w:end w:w="120" w:type="dxa"/>
            </w:tcMar>
          </w:tcPr>
          <w:p>
            <w:pPr>
              <w:jc w:val="center"/>
              <w:spacing w:after="40"/>
            </w:pPr>
            <w:r>
              <w:rPr>
                <w:sz w:val="20"/>
                <w:szCs w:val="20"/>
              </w:rPr>
              <w:t xml:space="preserve">0.5260</w:t>
            </w:r>
          </w:p>
        </w:tc>
        <w:tc>
          <w:tcPr>
            <w:tcW w:w="4960" w:type="dxa"/>
            <w:tcMar>
              <w:top w:w="90" w:type="dxa"/>
              <w:bottom w:w="90" w:type="dxa"/>
              <w:start w:w="120" w:type="dxa"/>
              <w:end w:w="120" w:type="dxa"/>
            </w:tcMar>
          </w:tcPr>
          <w:p>
            <w:pPr>
              <w:spacing w:after="40"/>
            </w:pPr>
            <w:r>
              <w:rPr>
                <w:sz w:val="20"/>
                <w:szCs w:val="20"/>
              </w:rPr>
              <w:t xml:space="preserve">Best held-out fit after combining nonlinear thresholds.</w:t>
            </w:r>
          </w:p>
        </w:tc>
      </w:tr>
      <w:tr>
        <w:tc>
          <w:tcPr>
            <w:tcW w:w="2600" w:type="dxa"/>
            <w:shd w:fill="FAFBFC"/>
            <w:tcMar>
              <w:top w:w="90" w:type="dxa"/>
              <w:bottom w:w="90" w:type="dxa"/>
              <w:start w:w="120" w:type="dxa"/>
              <w:end w:w="120" w:type="dxa"/>
            </w:tcMar>
          </w:tcPr>
          <w:p>
            <w:pPr>
              <w:spacing w:after="40"/>
            </w:pPr>
            <w:r>
              <w:rPr>
                <w:sz w:val="20"/>
                <w:szCs w:val="20"/>
              </w:rPr>
              <w:t xml:space="preserve">XGBoost gain over linear</w:t>
            </w:r>
          </w:p>
        </w:tc>
        <w:tc>
          <w:tcPr>
            <w:tcW w:w="1800" w:type="dxa"/>
            <w:shd w:fill="FAFBFC"/>
            <w:tcMar>
              <w:top w:w="90" w:type="dxa"/>
              <w:bottom w:w="90" w:type="dxa"/>
              <w:start w:w="120" w:type="dxa"/>
              <w:end w:w="120" w:type="dxa"/>
            </w:tcMar>
          </w:tcPr>
          <w:p>
            <w:pPr>
              <w:jc w:val="center"/>
              <w:spacing w:after="40"/>
            </w:pPr>
            <w:r>
              <w:rPr>
                <w:sz w:val="20"/>
                <w:szCs w:val="20"/>
              </w:rPr>
              <w:t xml:space="preserve">+0.0089</w:t>
            </w:r>
          </w:p>
        </w:tc>
        <w:tc>
          <w:tcPr>
            <w:tcW w:w="4960" w:type="dxa"/>
            <w:shd w:fill="FAFBFC"/>
            <w:tcMar>
              <w:top w:w="90" w:type="dxa"/>
              <w:bottom w:w="90" w:type="dxa"/>
              <w:start w:w="120" w:type="dxa"/>
              <w:end w:w="120" w:type="dxa"/>
            </w:tcMar>
          </w:tcPr>
          <w:p>
            <w:pPr>
              <w:spacing w:after="40"/>
            </w:pPr>
            <w:r>
              <w:rPr>
                <w:sz w:val="20"/>
                <w:szCs w:val="20"/>
              </w:rPr>
              <w:t xml:space="preserve">About 1.7% relative lift over the linear test R Square.</w:t>
            </w:r>
          </w:p>
        </w:tc>
      </w:tr>
    </w:tbl>
    <w:p>
      <w:pPr>
        <w:spacing w:after="160"/>
      </w:pPr>
    </w:p>
    <w:tbl>
      <w:tblPr>
        <w:tblW w:w="9360" w:type="dxa"/>
        <w:tblInd w:w="120" w:type="dxa"/>
        <w:tblLayout w:type="fixed"/>
        <w:shd w:fill="F4F6F9"/>
        <w:tblBorders>
          <w:top w:val="single" w:sz="4" w:space="0" w:color="D0D7DE"/>
          <w:left w:val="single" w:sz="4" w:space="0" w:color="D0D7DE"/>
          <w:bottom w:val="single" w:sz="4" w:space="0" w:color="D0D7DE"/>
          <w:right w:val="single" w:sz="4" w:space="0" w:color="D0D7DE"/>
          <w:insideH w:val="single" w:sz="4" w:space="0" w:color="E5E7EB"/>
          <w:insideV w:val="single" w:sz="4" w:space="0" w:color="E5E7EB"/>
        </w:tblBorders>
      </w:tblPr>
      <w:tblGrid>
        <w:gridCol w:w="9360"/>
      </w:tblGrid>
      <w:tr>
        <w:tc>
          <w:tcPr>
            <w:tcW w:w="9360" w:type="dxa"/>
            <w:tcMar>
              <w:top w:w="90" w:type="dxa"/>
              <w:bottom w:w="90" w:type="dxa"/>
              <w:start w:w="120" w:type="dxa"/>
              <w:end w:w="120" w:type="dxa"/>
            </w:tcMar>
          </w:tcPr>
          <w:p>
            <w:pPr>
              <w:spacing w:after="40"/>
            </w:pPr>
            <w:r>
              <w:rPr>
                <w:sz w:val="20"/>
                <w:szCs w:val="20"/>
              </w:rPr>
              <w:t xml:space="preserve">Interpretation discipline: Do not frame the tree as a major R Square breakthrough. Frame it as a nonlinear interpretation layer that gives a small predictive lift and much better threshold language.</w:t>
            </w:r>
          </w:p>
        </w:tc>
      </w:tr>
    </w:tbl>
    <w:p>
      <w:pPr>
        <w:spacing w:after="160"/>
      </w:pPr>
    </w:p>
    <w:p>
      <w:r>
        <w:br w:type="page"/>
      </w:r>
    </w:p>
    <w:p>
      <w:pPr>
        <w:spacing w:after="60"/>
      </w:pPr>
    </w:p>
    <w:tbl>
      <w:tblPr>
        <w:tblW w:w="9360" w:type="dxa"/>
        <w:tblInd w:w="120" w:type="dxa"/>
        <w:tblLayout w:type="fixed"/>
        <w:shd w:fill="F4F6F9"/>
        <w:tblBorders>
          <w:top w:val="single" w:sz="6" w:space="0" w:color="A9B7C6"/>
          <w:left w:val="single" w:sz="6" w:space="0" w:color="A9B7C6"/>
          <w:bottom w:val="single" w:sz="6" w:space="0" w:color="A9B7C6"/>
          <w:right w:val="single" w:sz="6" w:space="0" w:color="A9B7C6"/>
          <w:insideH w:val="single" w:sz="4" w:space="0" w:color="E5E7EB"/>
          <w:insideV w:val="single" w:sz="4" w:space="0" w:color="E5E7EB"/>
        </w:tblBorders>
      </w:tblPr>
      <w:tblGrid>
        <w:gridCol w:w="9360"/>
      </w:tblGrid>
      <w:tr>
        <w:tc>
          <w:tcPr>
            <w:tcW w:w="9360" w:type="dxa"/>
            <w:shd w:fill="F4F6F9"/>
            <w:tcMar>
              <w:top w:w="140" w:type="dxa"/>
              <w:bottom w:w="140" w:type="dxa"/>
              <w:start w:w="160" w:type="dxa"/>
              <w:end w:w="160" w:type="dxa"/>
            </w:tcMar>
          </w:tcPr>
          <w:p>
            <w:pPr>
              <w:spacing w:after="40"/>
            </w:pPr>
            <w:r>
              <w:rPr>
                <w:b/>
                <w:sz w:val="21"/>
                <w:szCs w:val="21"/>
                <w:color w:val="0B2545"/>
              </w:rPr>
              <w:t xml:space="preserve">Final key takeaway: </w:t>
            </w:r>
            <w:r>
              <w:rPr>
                <w:sz w:val="21"/>
                <w:szCs w:val="21"/>
              </w:rPr>
              <w:t xml:space="preserve">XGBoost is the selected model because it has the best held-out score, but the lift is modest: +0.0089 R Square, about 1.7% relative to the linear baseline. Example: RMSE improves by only 26.21K, so the tree layer should be used mainly for nonlinear explanation and targeted refinement.</w:t>
            </w:r>
          </w:p>
        </w:tc>
      </w:tr>
    </w:tbl>
    <w:p>
      <w:pPr>
        <w:spacing w:after="120"/>
      </w:pPr>
    </w:p>
    <w:p>
      <w:pPr>
        <w:pStyle w:val="Heading1"/>
      </w:pPr>
      <w:r>
        <w:t xml:space="preserve">3. Error Feature Extraction</w:t>
      </w:r>
    </w:p>
    <w:p>
      <w:r>
        <w:t xml:space="preserve">The error extraction defines each miss as actual revenue impact minus predicted revenue impact. Positive error means the model underpredicted; negative error means it overpredicted. The regression is conservative on the largest revenue-impact observations: the biggest misses are large underpredictions in high-investment and high-savings cases, not small noise around the fitted line.</w:t>
      </w:r>
    </w:p>
    <w:p>
      <w:pPr>
        <w:jc w:val="center"/>
        <w:spacing w:before="80" w:after="60"/>
      </w:pPr>
      <w:r>
        <w:drawing>
          <wp:inline distT="0" distB="0" distL="0" distR="0">
            <wp:extent cx="5806440" cy="2118728"/>
            <wp:effectExtent l="0" t="0" r="0" b="0"/>
            <wp:docPr id="2" name="errors.png"/>
            <wp:cNvGraphicFramePr>
              <a:graphicFrameLocks noChangeAspect="1"/>
            </wp:cNvGraphicFramePr>
            <a:graphic>
              <a:graphicData uri="http://schemas.openxmlformats.org/drawingml/2006/picture">
                <pic:pic>
                  <pic:nvPicPr>
                    <pic:cNvPr id="0" name="errors.png"/>
                    <pic:cNvPicPr/>
                  </pic:nvPicPr>
                  <pic:blipFill>
                    <a:blip r:embed="rIdImg2"/>
                    <a:stretch>
                      <a:fillRect/>
                    </a:stretch>
                  </pic:blipFill>
                  <pic:spPr>
                    <a:xfrm>
                      <a:off x="0" y="0"/>
                      <a:ext cx="5806440" cy="2118728"/>
                    </a:xfrm>
                    <a:prstGeom prst="rect">
                      <a:avLst/>
                    </a:prstGeom>
                  </pic:spPr>
                </pic:pic>
              </a:graphicData>
            </a:graphic>
          </wp:inline>
        </w:drawing>
      </w:r>
    </w:p>
    <w:p>
      <w:pPr>
        <w:pStyle w:val="Caption"/>
        <w:jc w:val="center"/>
      </w:pPr>
      <w:r>
        <w:t xml:space="preserve">Figure 2. The largest errors are concentrated in underpredicted extreme revenue-impact cases.</w:t>
      </w:r>
    </w:p>
    <w:tbl>
      <w:tblPr>
        <w:tblW w:w="9360" w:type="dxa"/>
        <w:tblInd w:w="120" w:type="dxa"/>
        <w:tblLayout w:type="fixed"/>
        <w:tblBorders>
          <w:top w:val="single" w:sz="4" w:space="0" w:color="D0D7DE"/>
          <w:left w:val="single" w:sz="4" w:space="0" w:color="D0D7DE"/>
          <w:bottom w:val="single" w:sz="4" w:space="0" w:color="D0D7DE"/>
          <w:right w:val="single" w:sz="4" w:space="0" w:color="D0D7DE"/>
          <w:insideH w:val="single" w:sz="4" w:space="0" w:color="E5E7EB"/>
          <w:insideV w:val="single" w:sz="4" w:space="0" w:color="E5E7EB"/>
        </w:tblBorders>
      </w:tblPr>
      <w:tblGrid>
        <w:gridCol w:w="950"/>
        <w:gridCol w:w="1200"/>
        <w:gridCol w:w="1200"/>
        <w:gridCol w:w="1200"/>
        <w:gridCol w:w="1450"/>
        <w:gridCol w:w="3360"/>
      </w:tblGrid>
      <w:tr>
        <w:tc>
          <w:tcPr>
            <w:tcW w:w="950" w:type="dxa"/>
            <w:shd w:fill="F2F4F7"/>
            <w:tcMar>
              <w:top w:w="90" w:type="dxa"/>
              <w:bottom w:w="90" w:type="dxa"/>
              <w:start w:w="120" w:type="dxa"/>
              <w:end w:w="120" w:type="dxa"/>
            </w:tcMar>
          </w:tcPr>
          <w:p>
            <w:pPr>
              <w:spacing w:after="40"/>
            </w:pPr>
            <w:r>
              <w:rPr>
                <w:b/>
                <w:sz w:val="18"/>
                <w:szCs w:val="18"/>
              </w:rPr>
              <w:t xml:space="preserve">Case</w:t>
            </w:r>
          </w:p>
        </w:tc>
        <w:tc>
          <w:tcPr>
            <w:tcW w:w="1200" w:type="dxa"/>
            <w:shd w:fill="F2F4F7"/>
            <w:tcMar>
              <w:top w:w="90" w:type="dxa"/>
              <w:bottom w:w="90" w:type="dxa"/>
              <w:start w:w="120" w:type="dxa"/>
              <w:end w:w="120" w:type="dxa"/>
            </w:tcMar>
          </w:tcPr>
          <w:p>
            <w:pPr>
              <w:jc w:val="center"/>
              <w:spacing w:after="40"/>
            </w:pPr>
            <w:r>
              <w:rPr>
                <w:b/>
                <w:sz w:val="18"/>
                <w:szCs w:val="18"/>
              </w:rPr>
              <w:t xml:space="preserve">Actual</w:t>
            </w:r>
          </w:p>
        </w:tc>
        <w:tc>
          <w:tcPr>
            <w:tcW w:w="1200" w:type="dxa"/>
            <w:shd w:fill="F2F4F7"/>
            <w:tcMar>
              <w:top w:w="90" w:type="dxa"/>
              <w:bottom w:w="90" w:type="dxa"/>
              <w:start w:w="120" w:type="dxa"/>
              <w:end w:w="120" w:type="dxa"/>
            </w:tcMar>
          </w:tcPr>
          <w:p>
            <w:pPr>
              <w:jc w:val="center"/>
              <w:spacing w:after="40"/>
            </w:pPr>
            <w:r>
              <w:rPr>
                <w:b/>
                <w:sz w:val="18"/>
                <w:szCs w:val="18"/>
              </w:rPr>
              <w:t xml:space="preserve">Predicted</w:t>
            </w:r>
          </w:p>
        </w:tc>
        <w:tc>
          <w:tcPr>
            <w:tcW w:w="1200" w:type="dxa"/>
            <w:shd w:fill="F2F4F7"/>
            <w:tcMar>
              <w:top w:w="90" w:type="dxa"/>
              <w:bottom w:w="90" w:type="dxa"/>
              <w:start w:w="120" w:type="dxa"/>
              <w:end w:w="120" w:type="dxa"/>
            </w:tcMar>
          </w:tcPr>
          <w:p>
            <w:pPr>
              <w:jc w:val="center"/>
              <w:spacing w:after="40"/>
            </w:pPr>
            <w:r>
              <w:rPr>
                <w:b/>
                <w:sz w:val="18"/>
                <w:szCs w:val="18"/>
              </w:rPr>
              <w:t xml:space="preserve">Error</w:t>
            </w:r>
          </w:p>
        </w:tc>
        <w:tc>
          <w:tcPr>
            <w:tcW w:w="1450" w:type="dxa"/>
            <w:shd w:fill="F2F4F7"/>
            <w:tcMar>
              <w:top w:w="90" w:type="dxa"/>
              <w:bottom w:w="90" w:type="dxa"/>
              <w:start w:w="120" w:type="dxa"/>
              <w:end w:w="120" w:type="dxa"/>
            </w:tcMar>
          </w:tcPr>
          <w:p>
            <w:pPr>
              <w:jc w:val="center"/>
              <w:spacing w:after="40"/>
            </w:pPr>
            <w:r>
              <w:rPr>
                <w:b/>
                <w:sz w:val="18"/>
                <w:szCs w:val="18"/>
              </w:rPr>
              <w:t xml:space="preserve">Direction</w:t>
            </w:r>
          </w:p>
        </w:tc>
        <w:tc>
          <w:tcPr>
            <w:tcW w:w="3360" w:type="dxa"/>
            <w:shd w:fill="F2F4F7"/>
            <w:tcMar>
              <w:top w:w="90" w:type="dxa"/>
              <w:bottom w:w="90" w:type="dxa"/>
              <w:start w:w="120" w:type="dxa"/>
              <w:end w:w="120" w:type="dxa"/>
            </w:tcMar>
          </w:tcPr>
          <w:p>
            <w:pPr>
              <w:jc w:val="center"/>
              <w:spacing w:after="40"/>
            </w:pPr>
            <w:r>
              <w:rPr>
                <w:b/>
                <w:sz w:val="18"/>
                <w:szCs w:val="18"/>
              </w:rPr>
              <w:t xml:space="preserve">Profile</w:t>
            </w:r>
          </w:p>
        </w:tc>
      </w:tr>
      <w:tr>
        <w:tc>
          <w:tcPr>
            <w:tcW w:w="950" w:type="dxa"/>
            <w:tcMar>
              <w:top w:w="90" w:type="dxa"/>
              <w:bottom w:w="90" w:type="dxa"/>
              <w:start w:w="120" w:type="dxa"/>
              <w:end w:w="120" w:type="dxa"/>
            </w:tcMar>
          </w:tcPr>
          <w:p>
            <w:pPr>
              <w:spacing w:after="40"/>
            </w:pPr>
            <w:r>
              <w:rPr>
                <w:sz w:val="18"/>
                <w:szCs w:val="18"/>
              </w:rPr>
              <w:t xml:space="preserve">91943</w:t>
            </w:r>
          </w:p>
        </w:tc>
        <w:tc>
          <w:tcPr>
            <w:tcW w:w="1200" w:type="dxa"/>
            <w:tcMar>
              <w:top w:w="90" w:type="dxa"/>
              <w:bottom w:w="90" w:type="dxa"/>
              <w:start w:w="120" w:type="dxa"/>
              <w:end w:w="120" w:type="dxa"/>
            </w:tcMar>
          </w:tcPr>
          <w:p>
            <w:pPr>
              <w:jc w:val="center"/>
              <w:spacing w:after="40"/>
            </w:pPr>
            <w:r>
              <w:rPr>
                <w:sz w:val="18"/>
                <w:szCs w:val="18"/>
              </w:rPr>
              <w:t xml:space="preserve">123.42M</w:t>
            </w:r>
          </w:p>
        </w:tc>
        <w:tc>
          <w:tcPr>
            <w:tcW w:w="1200" w:type="dxa"/>
            <w:tcMar>
              <w:top w:w="90" w:type="dxa"/>
              <w:bottom w:w="90" w:type="dxa"/>
              <w:start w:w="120" w:type="dxa"/>
              <w:end w:w="120" w:type="dxa"/>
            </w:tcMar>
          </w:tcPr>
          <w:p>
            <w:pPr>
              <w:jc w:val="center"/>
              <w:spacing w:after="40"/>
            </w:pPr>
            <w:r>
              <w:rPr>
                <w:sz w:val="18"/>
                <w:szCs w:val="18"/>
              </w:rPr>
              <w:t xml:space="preserve">14.81M</w:t>
            </w:r>
          </w:p>
        </w:tc>
        <w:tc>
          <w:tcPr>
            <w:tcW w:w="1200" w:type="dxa"/>
            <w:tcMar>
              <w:top w:w="90" w:type="dxa"/>
              <w:bottom w:w="90" w:type="dxa"/>
              <w:start w:w="120" w:type="dxa"/>
              <w:end w:w="120" w:type="dxa"/>
            </w:tcMar>
          </w:tcPr>
          <w:p>
            <w:pPr>
              <w:jc w:val="center"/>
              <w:spacing w:after="40"/>
            </w:pPr>
            <w:r>
              <w:rPr>
                <w:sz w:val="18"/>
                <w:szCs w:val="18"/>
              </w:rPr>
              <w:t xml:space="preserve">108.61M</w:t>
            </w:r>
          </w:p>
        </w:tc>
        <w:tc>
          <w:tcPr>
            <w:tcW w:w="1450" w:type="dxa"/>
            <w:tcMar>
              <w:top w:w="90" w:type="dxa"/>
              <w:bottom w:w="90" w:type="dxa"/>
              <w:start w:w="120" w:type="dxa"/>
              <w:end w:w="120" w:type="dxa"/>
            </w:tcMar>
          </w:tcPr>
          <w:p>
            <w:pPr>
              <w:jc w:val="center"/>
              <w:spacing w:after="40"/>
            </w:pPr>
            <w:r>
              <w:rPr>
                <w:sz w:val="18"/>
                <w:szCs w:val="18"/>
              </w:rPr>
              <w:t xml:space="preserve">Underpredicted</w:t>
            </w:r>
          </w:p>
        </w:tc>
        <w:tc>
          <w:tcPr>
            <w:tcW w:w="3360" w:type="dxa"/>
            <w:tcMar>
              <w:top w:w="90" w:type="dxa"/>
              <w:bottom w:w="90" w:type="dxa"/>
              <w:start w:w="120" w:type="dxa"/>
              <w:end w:w="120" w:type="dxa"/>
            </w:tcMar>
          </w:tcPr>
          <w:p>
            <w:pPr>
              <w:spacing w:after="40"/>
            </w:pPr>
            <w:r>
              <w:rPr>
                <w:sz w:val="18"/>
                <w:szCs w:val="18"/>
              </w:rPr>
              <w:t xml:space="preserve">investment 16.63M; savings 13.71M</w:t>
            </w:r>
          </w:p>
        </w:tc>
      </w:tr>
      <w:tr>
        <w:tc>
          <w:tcPr>
            <w:tcW w:w="950" w:type="dxa"/>
            <w:shd w:fill="FAFBFC"/>
            <w:tcMar>
              <w:top w:w="90" w:type="dxa"/>
              <w:bottom w:w="90" w:type="dxa"/>
              <w:start w:w="120" w:type="dxa"/>
              <w:end w:w="120" w:type="dxa"/>
            </w:tcMar>
          </w:tcPr>
          <w:p>
            <w:pPr>
              <w:spacing w:after="40"/>
            </w:pPr>
            <w:r>
              <w:rPr>
                <w:sz w:val="18"/>
                <w:szCs w:val="18"/>
              </w:rPr>
              <w:t xml:space="preserve">55570</w:t>
            </w:r>
          </w:p>
        </w:tc>
        <w:tc>
          <w:tcPr>
            <w:tcW w:w="1200" w:type="dxa"/>
            <w:shd w:fill="FAFBFC"/>
            <w:tcMar>
              <w:top w:w="90" w:type="dxa"/>
              <w:bottom w:w="90" w:type="dxa"/>
              <w:start w:w="120" w:type="dxa"/>
              <w:end w:w="120" w:type="dxa"/>
            </w:tcMar>
          </w:tcPr>
          <w:p>
            <w:pPr>
              <w:jc w:val="center"/>
              <w:spacing w:after="40"/>
            </w:pPr>
            <w:r>
              <w:rPr>
                <w:sz w:val="18"/>
                <w:szCs w:val="18"/>
              </w:rPr>
              <w:t xml:space="preserve">84.10M</w:t>
            </w:r>
          </w:p>
        </w:tc>
        <w:tc>
          <w:tcPr>
            <w:tcW w:w="1200" w:type="dxa"/>
            <w:shd w:fill="FAFBFC"/>
            <w:tcMar>
              <w:top w:w="90" w:type="dxa"/>
              <w:bottom w:w="90" w:type="dxa"/>
              <w:start w:w="120" w:type="dxa"/>
              <w:end w:w="120" w:type="dxa"/>
            </w:tcMar>
          </w:tcPr>
          <w:p>
            <w:pPr>
              <w:jc w:val="center"/>
              <w:spacing w:after="40"/>
            </w:pPr>
            <w:r>
              <w:rPr>
                <w:sz w:val="18"/>
                <w:szCs w:val="18"/>
              </w:rPr>
              <w:t xml:space="preserve">11.32M</w:t>
            </w:r>
          </w:p>
        </w:tc>
        <w:tc>
          <w:tcPr>
            <w:tcW w:w="1200" w:type="dxa"/>
            <w:shd w:fill="FAFBFC"/>
            <w:tcMar>
              <w:top w:w="90" w:type="dxa"/>
              <w:bottom w:w="90" w:type="dxa"/>
              <w:start w:w="120" w:type="dxa"/>
              <w:end w:w="120" w:type="dxa"/>
            </w:tcMar>
          </w:tcPr>
          <w:p>
            <w:pPr>
              <w:jc w:val="center"/>
              <w:spacing w:after="40"/>
            </w:pPr>
            <w:r>
              <w:rPr>
                <w:sz w:val="18"/>
                <w:szCs w:val="18"/>
              </w:rPr>
              <w:t xml:space="preserve">72.78M</w:t>
            </w:r>
          </w:p>
        </w:tc>
        <w:tc>
          <w:tcPr>
            <w:tcW w:w="1450" w:type="dxa"/>
            <w:shd w:fill="FAFBFC"/>
            <w:tcMar>
              <w:top w:w="90" w:type="dxa"/>
              <w:bottom w:w="90" w:type="dxa"/>
              <w:start w:w="120" w:type="dxa"/>
              <w:end w:w="120" w:type="dxa"/>
            </w:tcMar>
          </w:tcPr>
          <w:p>
            <w:pPr>
              <w:jc w:val="center"/>
              <w:spacing w:after="40"/>
            </w:pPr>
            <w:r>
              <w:rPr>
                <w:sz w:val="18"/>
                <w:szCs w:val="18"/>
              </w:rPr>
              <w:t xml:space="preserve">Underpredicted</w:t>
            </w:r>
          </w:p>
        </w:tc>
        <w:tc>
          <w:tcPr>
            <w:tcW w:w="3360" w:type="dxa"/>
            <w:shd w:fill="FAFBFC"/>
            <w:tcMar>
              <w:top w:w="90" w:type="dxa"/>
              <w:bottom w:w="90" w:type="dxa"/>
              <w:start w:w="120" w:type="dxa"/>
              <w:end w:w="120" w:type="dxa"/>
            </w:tcMar>
          </w:tcPr>
          <w:p>
            <w:pPr>
              <w:spacing w:after="40"/>
            </w:pPr>
            <w:r>
              <w:rPr>
                <w:sz w:val="18"/>
                <w:szCs w:val="18"/>
              </w:rPr>
              <w:t xml:space="preserve">investment 14.81M; savings 9.51M</w:t>
            </w:r>
          </w:p>
        </w:tc>
      </w:tr>
      <w:tr>
        <w:tc>
          <w:tcPr>
            <w:tcW w:w="950" w:type="dxa"/>
            <w:tcMar>
              <w:top w:w="90" w:type="dxa"/>
              <w:bottom w:w="90" w:type="dxa"/>
              <w:start w:w="120" w:type="dxa"/>
              <w:end w:w="120" w:type="dxa"/>
            </w:tcMar>
          </w:tcPr>
          <w:p>
            <w:pPr>
              <w:spacing w:after="40"/>
            </w:pPr>
            <w:r>
              <w:rPr>
                <w:sz w:val="18"/>
                <w:szCs w:val="18"/>
              </w:rPr>
              <w:t xml:space="preserve">48452</w:t>
            </w:r>
          </w:p>
        </w:tc>
        <w:tc>
          <w:tcPr>
            <w:tcW w:w="1200" w:type="dxa"/>
            <w:tcMar>
              <w:top w:w="90" w:type="dxa"/>
              <w:bottom w:w="90" w:type="dxa"/>
              <w:start w:w="120" w:type="dxa"/>
              <w:end w:w="120" w:type="dxa"/>
            </w:tcMar>
          </w:tcPr>
          <w:p>
            <w:pPr>
              <w:jc w:val="center"/>
              <w:spacing w:after="40"/>
            </w:pPr>
            <w:r>
              <w:rPr>
                <w:sz w:val="18"/>
                <w:szCs w:val="18"/>
              </w:rPr>
              <w:t xml:space="preserve">93.13M</w:t>
            </w:r>
          </w:p>
        </w:tc>
        <w:tc>
          <w:tcPr>
            <w:tcW w:w="1200" w:type="dxa"/>
            <w:tcMar>
              <w:top w:w="90" w:type="dxa"/>
              <w:bottom w:w="90" w:type="dxa"/>
              <w:start w:w="120" w:type="dxa"/>
              <w:end w:w="120" w:type="dxa"/>
            </w:tcMar>
          </w:tcPr>
          <w:p>
            <w:pPr>
              <w:jc w:val="center"/>
              <w:spacing w:after="40"/>
            </w:pPr>
            <w:r>
              <w:rPr>
                <w:sz w:val="18"/>
                <w:szCs w:val="18"/>
              </w:rPr>
              <w:t xml:space="preserve">21.71M</w:t>
            </w:r>
          </w:p>
        </w:tc>
        <w:tc>
          <w:tcPr>
            <w:tcW w:w="1200" w:type="dxa"/>
            <w:tcMar>
              <w:top w:w="90" w:type="dxa"/>
              <w:bottom w:w="90" w:type="dxa"/>
              <w:start w:w="120" w:type="dxa"/>
              <w:end w:w="120" w:type="dxa"/>
            </w:tcMar>
          </w:tcPr>
          <w:p>
            <w:pPr>
              <w:jc w:val="center"/>
              <w:spacing w:after="40"/>
            </w:pPr>
            <w:r>
              <w:rPr>
                <w:sz w:val="18"/>
                <w:szCs w:val="18"/>
              </w:rPr>
              <w:t xml:space="preserve">71.42M</w:t>
            </w:r>
          </w:p>
        </w:tc>
        <w:tc>
          <w:tcPr>
            <w:tcW w:w="1450" w:type="dxa"/>
            <w:tcMar>
              <w:top w:w="90" w:type="dxa"/>
              <w:bottom w:w="90" w:type="dxa"/>
              <w:start w:w="120" w:type="dxa"/>
              <w:end w:w="120" w:type="dxa"/>
            </w:tcMar>
          </w:tcPr>
          <w:p>
            <w:pPr>
              <w:jc w:val="center"/>
              <w:spacing w:after="40"/>
            </w:pPr>
            <w:r>
              <w:rPr>
                <w:sz w:val="18"/>
                <w:szCs w:val="18"/>
              </w:rPr>
              <w:t xml:space="preserve">Underpredicted</w:t>
            </w:r>
          </w:p>
        </w:tc>
        <w:tc>
          <w:tcPr>
            <w:tcW w:w="3360" w:type="dxa"/>
            <w:tcMar>
              <w:top w:w="90" w:type="dxa"/>
              <w:bottom w:w="90" w:type="dxa"/>
              <w:start w:w="120" w:type="dxa"/>
              <w:end w:w="120" w:type="dxa"/>
            </w:tcMar>
          </w:tcPr>
          <w:p>
            <w:pPr>
              <w:spacing w:after="40"/>
            </w:pPr>
            <w:r>
              <w:rPr>
                <w:sz w:val="18"/>
                <w:szCs w:val="18"/>
              </w:rPr>
              <w:t xml:space="preserve">investment 24.79M; savings 19.73M</w:t>
            </w:r>
          </w:p>
        </w:tc>
      </w:tr>
      <w:tr>
        <w:tc>
          <w:tcPr>
            <w:tcW w:w="950" w:type="dxa"/>
            <w:shd w:fill="FAFBFC"/>
            <w:tcMar>
              <w:top w:w="90" w:type="dxa"/>
              <w:bottom w:w="90" w:type="dxa"/>
              <w:start w:w="120" w:type="dxa"/>
              <w:end w:w="120" w:type="dxa"/>
            </w:tcMar>
          </w:tcPr>
          <w:p>
            <w:pPr>
              <w:spacing w:after="40"/>
            </w:pPr>
            <w:r>
              <w:rPr>
                <w:sz w:val="18"/>
                <w:szCs w:val="18"/>
              </w:rPr>
              <w:t xml:space="preserve">24692</w:t>
            </w:r>
          </w:p>
        </w:tc>
        <w:tc>
          <w:tcPr>
            <w:tcW w:w="1200" w:type="dxa"/>
            <w:shd w:fill="FAFBFC"/>
            <w:tcMar>
              <w:top w:w="90" w:type="dxa"/>
              <w:bottom w:w="90" w:type="dxa"/>
              <w:start w:w="120" w:type="dxa"/>
              <w:end w:w="120" w:type="dxa"/>
            </w:tcMar>
          </w:tcPr>
          <w:p>
            <w:pPr>
              <w:jc w:val="center"/>
              <w:spacing w:after="40"/>
            </w:pPr>
            <w:r>
              <w:rPr>
                <w:sz w:val="18"/>
                <w:szCs w:val="18"/>
              </w:rPr>
              <w:t xml:space="preserve">79.74M</w:t>
            </w:r>
          </w:p>
        </w:tc>
        <w:tc>
          <w:tcPr>
            <w:tcW w:w="1200" w:type="dxa"/>
            <w:shd w:fill="FAFBFC"/>
            <w:tcMar>
              <w:top w:w="90" w:type="dxa"/>
              <w:bottom w:w="90" w:type="dxa"/>
              <w:start w:w="120" w:type="dxa"/>
              <w:end w:w="120" w:type="dxa"/>
            </w:tcMar>
          </w:tcPr>
          <w:p>
            <w:pPr>
              <w:jc w:val="center"/>
              <w:spacing w:after="40"/>
            </w:pPr>
            <w:r>
              <w:rPr>
                <w:sz w:val="18"/>
                <w:szCs w:val="18"/>
              </w:rPr>
              <w:t xml:space="preserve">9.42M</w:t>
            </w:r>
          </w:p>
        </w:tc>
        <w:tc>
          <w:tcPr>
            <w:tcW w:w="1200" w:type="dxa"/>
            <w:shd w:fill="FAFBFC"/>
            <w:tcMar>
              <w:top w:w="90" w:type="dxa"/>
              <w:bottom w:w="90" w:type="dxa"/>
              <w:start w:w="120" w:type="dxa"/>
              <w:end w:w="120" w:type="dxa"/>
            </w:tcMar>
          </w:tcPr>
          <w:p>
            <w:pPr>
              <w:jc w:val="center"/>
              <w:spacing w:after="40"/>
            </w:pPr>
            <w:r>
              <w:rPr>
                <w:sz w:val="18"/>
                <w:szCs w:val="18"/>
              </w:rPr>
              <w:t xml:space="preserve">70.32M</w:t>
            </w:r>
          </w:p>
        </w:tc>
        <w:tc>
          <w:tcPr>
            <w:tcW w:w="1450" w:type="dxa"/>
            <w:shd w:fill="FAFBFC"/>
            <w:tcMar>
              <w:top w:w="90" w:type="dxa"/>
              <w:bottom w:w="90" w:type="dxa"/>
              <w:start w:w="120" w:type="dxa"/>
              <w:end w:w="120" w:type="dxa"/>
            </w:tcMar>
          </w:tcPr>
          <w:p>
            <w:pPr>
              <w:jc w:val="center"/>
              <w:spacing w:after="40"/>
            </w:pPr>
            <w:r>
              <w:rPr>
                <w:sz w:val="18"/>
                <w:szCs w:val="18"/>
              </w:rPr>
              <w:t xml:space="preserve">Underpredicted</w:t>
            </w:r>
          </w:p>
        </w:tc>
        <w:tc>
          <w:tcPr>
            <w:tcW w:w="3360" w:type="dxa"/>
            <w:shd w:fill="FAFBFC"/>
            <w:tcMar>
              <w:top w:w="90" w:type="dxa"/>
              <w:bottom w:w="90" w:type="dxa"/>
              <w:start w:w="120" w:type="dxa"/>
              <w:end w:w="120" w:type="dxa"/>
            </w:tcMar>
          </w:tcPr>
          <w:p>
            <w:pPr>
              <w:spacing w:after="40"/>
            </w:pPr>
            <w:r>
              <w:rPr>
                <w:sz w:val="18"/>
                <w:szCs w:val="18"/>
              </w:rPr>
              <w:t xml:space="preserve">investment 10.88M; savings 8.49M</w:t>
            </w:r>
          </w:p>
        </w:tc>
      </w:tr>
      <w:tr>
        <w:tc>
          <w:tcPr>
            <w:tcW w:w="950" w:type="dxa"/>
            <w:tcMar>
              <w:top w:w="90" w:type="dxa"/>
              <w:bottom w:w="90" w:type="dxa"/>
              <w:start w:w="120" w:type="dxa"/>
              <w:end w:w="120" w:type="dxa"/>
            </w:tcMar>
          </w:tcPr>
          <w:p>
            <w:pPr>
              <w:spacing w:after="40"/>
            </w:pPr>
            <w:r>
              <w:rPr>
                <w:sz w:val="18"/>
                <w:szCs w:val="18"/>
              </w:rPr>
              <w:t xml:space="preserve">196367</w:t>
            </w:r>
          </w:p>
        </w:tc>
        <w:tc>
          <w:tcPr>
            <w:tcW w:w="1200" w:type="dxa"/>
            <w:tcMar>
              <w:top w:w="90" w:type="dxa"/>
              <w:bottom w:w="90" w:type="dxa"/>
              <w:start w:w="120" w:type="dxa"/>
              <w:end w:w="120" w:type="dxa"/>
            </w:tcMar>
          </w:tcPr>
          <w:p>
            <w:pPr>
              <w:jc w:val="center"/>
              <w:spacing w:after="40"/>
            </w:pPr>
            <w:r>
              <w:rPr>
                <w:sz w:val="18"/>
                <w:szCs w:val="18"/>
              </w:rPr>
              <w:t xml:space="preserve">76.02M</w:t>
            </w:r>
          </w:p>
        </w:tc>
        <w:tc>
          <w:tcPr>
            <w:tcW w:w="1200" w:type="dxa"/>
            <w:tcMar>
              <w:top w:w="90" w:type="dxa"/>
              <w:bottom w:w="90" w:type="dxa"/>
              <w:start w:w="120" w:type="dxa"/>
              <w:end w:w="120" w:type="dxa"/>
            </w:tcMar>
          </w:tcPr>
          <w:p>
            <w:pPr>
              <w:jc w:val="center"/>
              <w:spacing w:after="40"/>
            </w:pPr>
            <w:r>
              <w:rPr>
                <w:sz w:val="18"/>
                <w:szCs w:val="18"/>
              </w:rPr>
              <w:t xml:space="preserve">11.37M</w:t>
            </w:r>
          </w:p>
        </w:tc>
        <w:tc>
          <w:tcPr>
            <w:tcW w:w="1200" w:type="dxa"/>
            <w:tcMar>
              <w:top w:w="90" w:type="dxa"/>
              <w:bottom w:w="90" w:type="dxa"/>
              <w:start w:w="120" w:type="dxa"/>
              <w:end w:w="120" w:type="dxa"/>
            </w:tcMar>
          </w:tcPr>
          <w:p>
            <w:pPr>
              <w:jc w:val="center"/>
              <w:spacing w:after="40"/>
            </w:pPr>
            <w:r>
              <w:rPr>
                <w:sz w:val="18"/>
                <w:szCs w:val="18"/>
              </w:rPr>
              <w:t xml:space="preserve">64.65M</w:t>
            </w:r>
          </w:p>
        </w:tc>
        <w:tc>
          <w:tcPr>
            <w:tcW w:w="1450" w:type="dxa"/>
            <w:tcMar>
              <w:top w:w="90" w:type="dxa"/>
              <w:bottom w:w="90" w:type="dxa"/>
              <w:start w:w="120" w:type="dxa"/>
              <w:end w:w="120" w:type="dxa"/>
            </w:tcMar>
          </w:tcPr>
          <w:p>
            <w:pPr>
              <w:jc w:val="center"/>
              <w:spacing w:after="40"/>
            </w:pPr>
            <w:r>
              <w:rPr>
                <w:sz w:val="18"/>
                <w:szCs w:val="18"/>
              </w:rPr>
              <w:t xml:space="preserve">Underpredicted</w:t>
            </w:r>
          </w:p>
        </w:tc>
        <w:tc>
          <w:tcPr>
            <w:tcW w:w="3360" w:type="dxa"/>
            <w:tcMar>
              <w:top w:w="90" w:type="dxa"/>
              <w:bottom w:w="90" w:type="dxa"/>
              <w:start w:w="120" w:type="dxa"/>
              <w:end w:w="120" w:type="dxa"/>
            </w:tcMar>
          </w:tcPr>
          <w:p>
            <w:pPr>
              <w:spacing w:after="40"/>
            </w:pPr>
            <w:r>
              <w:rPr>
                <w:sz w:val="18"/>
                <w:szCs w:val="18"/>
              </w:rPr>
              <w:t xml:space="preserve">investment 10.76M; savings 11.07M</w:t>
            </w:r>
          </w:p>
        </w:tc>
      </w:tr>
    </w:tbl>
    <w:p>
      <w:pPr>
        <w:spacing w:after="160"/>
      </w:pPr>
    </w:p>
    <w:p>
      <w:r>
        <w:t xml:space="preserve">The most important reading is the first row: actual revenue impact is 123.42M while the prediction is 14.81M, leaving an error of 108.61M. This is why the later skewness analysis matters. If the target and residuals have a long right tail, then a model that performs reasonably on the center of the distribution can still miss the extreme upside cases.</w:t>
      </w:r>
    </w:p>
    <w:p>
      <w:pPr>
        <w:spacing w:after="60"/>
      </w:pPr>
    </w:p>
    <w:tbl>
      <w:tblPr>
        <w:tblW w:w="9360" w:type="dxa"/>
        <w:tblInd w:w="120" w:type="dxa"/>
        <w:tblLayout w:type="fixed"/>
        <w:shd w:fill="F4F6F9"/>
        <w:tblBorders>
          <w:top w:val="single" w:sz="6" w:space="0" w:color="A9B7C6"/>
          <w:left w:val="single" w:sz="6" w:space="0" w:color="A9B7C6"/>
          <w:bottom w:val="single" w:sz="6" w:space="0" w:color="A9B7C6"/>
          <w:right w:val="single" w:sz="6" w:space="0" w:color="A9B7C6"/>
          <w:insideH w:val="single" w:sz="4" w:space="0" w:color="E5E7EB"/>
          <w:insideV w:val="single" w:sz="4" w:space="0" w:color="E5E7EB"/>
        </w:tblBorders>
      </w:tblPr>
      <w:tblGrid>
        <w:gridCol w:w="9360"/>
      </w:tblGrid>
      <w:tr>
        <w:tc>
          <w:tcPr>
            <w:tcW w:w="9360" w:type="dxa"/>
            <w:shd w:fill="F4F6F9"/>
            <w:tcMar>
              <w:top w:w="140" w:type="dxa"/>
              <w:bottom w:w="140" w:type="dxa"/>
              <w:start w:w="160" w:type="dxa"/>
              <w:end w:w="160" w:type="dxa"/>
            </w:tcMar>
          </w:tcPr>
          <w:p>
            <w:pPr>
              <w:spacing w:after="40"/>
            </w:pPr>
            <w:r>
              <w:rPr>
                <w:b/>
                <w:sz w:val="21"/>
                <w:szCs w:val="21"/>
                <w:color w:val="0B2545"/>
              </w:rPr>
              <w:t xml:space="preserve">Final key takeaway: </w:t>
            </w:r>
            <w:r>
              <w:rPr>
                <w:sz w:val="21"/>
                <w:szCs w:val="21"/>
              </w:rPr>
              <w:t xml:space="preserve">The largest errors are not random-looking small misses. They are high-upside underpredictions. Example: case 91943 has actual impact 123.42M, predicted impact 14.81M, and error 108.61M.</w:t>
            </w:r>
          </w:p>
        </w:tc>
      </w:tr>
    </w:tbl>
    <w:p>
      <w:pPr>
        <w:spacing w:after="120"/>
      </w:pPr>
    </w:p>
    <w:p>
      <w:pPr>
        <w:pStyle w:val="Heading1"/>
      </w:pPr>
      <w:r>
        <w:t xml:space="preserve">4. Skewness and Percentile Ranges</w:t>
      </w:r>
    </w:p>
    <w:p>
      <w:r>
        <w:t xml:space="preserve">Skewness measures whether a distribution has a longer tail on one side. Positive skewness means a long right tail, where a small number of very large values pull the mean upward. Percentile ranges show where the ordinary middle sits and where the extreme tail begins. This matters before tree modeling because the tree should not interpret raw long-tail financial scale blindly.</w:t>
      </w:r>
    </w:p>
    <w:p>
      <w:pPr>
        <w:jc w:val="center"/>
        <w:spacing w:before="80" w:after="60"/>
      </w:pPr>
      <w:r>
        <w:drawing>
          <wp:inline distT="0" distB="0" distL="0" distR="0">
            <wp:extent cx="5715000" cy="1809413"/>
            <wp:effectExtent l="0" t="0" r="0" b="0"/>
            <wp:docPr id="3" name="eskew.png"/>
            <wp:cNvGraphicFramePr>
              <a:graphicFrameLocks noChangeAspect="1"/>
            </wp:cNvGraphicFramePr>
            <a:graphic>
              <a:graphicData uri="http://schemas.openxmlformats.org/drawingml/2006/picture">
                <pic:pic>
                  <pic:nvPicPr>
                    <pic:cNvPr id="0" name="eskew.png"/>
                    <pic:cNvPicPr/>
                  </pic:nvPicPr>
                  <pic:blipFill>
                    <a:blip r:embed="rIdImg3"/>
                    <a:stretch>
                      <a:fillRect/>
                    </a:stretch>
                  </pic:blipFill>
                  <pic:spPr>
                    <a:xfrm>
                      <a:off x="0" y="0"/>
                      <a:ext cx="5715000" cy="1809413"/>
                    </a:xfrm>
                    <a:prstGeom prst="rect">
                      <a:avLst/>
                    </a:prstGeom>
                  </pic:spPr>
                </pic:pic>
              </a:graphicData>
            </a:graphic>
          </wp:inline>
        </w:drawing>
      </w:r>
    </w:p>
    <w:p>
      <w:pPr>
        <w:pStyle w:val="Caption"/>
        <w:jc w:val="center"/>
      </w:pPr>
      <w:r>
        <w:t xml:space="preserve">Figure 3. Error percentage and signed error are heavily right-skewed.</w:t>
      </w:r>
    </w:p>
    <w:tbl>
      <w:tblPr>
        <w:tblW w:w="9360" w:type="dxa"/>
        <w:tblInd w:w="120" w:type="dxa"/>
        <w:tblLayout w:type="fixed"/>
        <w:tblBorders>
          <w:top w:val="single" w:sz="4" w:space="0" w:color="D0D7DE"/>
          <w:left w:val="single" w:sz="4" w:space="0" w:color="D0D7DE"/>
          <w:bottom w:val="single" w:sz="4" w:space="0" w:color="D0D7DE"/>
          <w:right w:val="single" w:sz="4" w:space="0" w:color="D0D7DE"/>
          <w:insideH w:val="single" w:sz="4" w:space="0" w:color="E5E7EB"/>
          <w:insideV w:val="single" w:sz="4" w:space="0" w:color="E5E7EB"/>
        </w:tblBorders>
      </w:tblPr>
      <w:tblGrid>
        <w:gridCol w:w="2300"/>
        <w:gridCol w:w="1300"/>
        <w:gridCol w:w="1300"/>
        <w:gridCol w:w="1300"/>
        <w:gridCol w:w="1200"/>
        <w:gridCol w:w="1960"/>
      </w:tblGrid>
      <w:tr>
        <w:tc>
          <w:tcPr>
            <w:tcW w:w="2300" w:type="dxa"/>
            <w:shd w:fill="F2F4F7"/>
            <w:tcMar>
              <w:top w:w="90" w:type="dxa"/>
              <w:bottom w:w="90" w:type="dxa"/>
              <w:start w:w="120" w:type="dxa"/>
              <w:end w:w="120" w:type="dxa"/>
            </w:tcMar>
          </w:tcPr>
          <w:p>
            <w:pPr>
              <w:spacing w:after="40"/>
            </w:pPr>
            <w:r>
              <w:rPr>
                <w:b/>
                <w:sz w:val="20"/>
                <w:szCs w:val="20"/>
              </w:rPr>
              <w:t xml:space="preserve">Parameter</w:t>
            </w:r>
          </w:p>
        </w:tc>
        <w:tc>
          <w:tcPr>
            <w:tcW w:w="1300" w:type="dxa"/>
            <w:shd w:fill="F2F4F7"/>
            <w:tcMar>
              <w:top w:w="90" w:type="dxa"/>
              <w:bottom w:w="90" w:type="dxa"/>
              <w:start w:w="120" w:type="dxa"/>
              <w:end w:w="120" w:type="dxa"/>
            </w:tcMar>
          </w:tcPr>
          <w:p>
            <w:pPr>
              <w:jc w:val="center"/>
              <w:spacing w:after="40"/>
            </w:pPr>
            <w:r>
              <w:rPr>
                <w:b/>
                <w:sz w:val="20"/>
                <w:szCs w:val="20"/>
              </w:rPr>
              <w:t xml:space="preserve">Median</w:t>
            </w:r>
          </w:p>
        </w:tc>
        <w:tc>
          <w:tcPr>
            <w:tcW w:w="1300" w:type="dxa"/>
            <w:shd w:fill="F2F4F7"/>
            <w:tcMar>
              <w:top w:w="90" w:type="dxa"/>
              <w:bottom w:w="90" w:type="dxa"/>
              <w:start w:w="120" w:type="dxa"/>
              <w:end w:w="120" w:type="dxa"/>
            </w:tcMar>
          </w:tcPr>
          <w:p>
            <w:pPr>
              <w:jc w:val="center"/>
              <w:spacing w:after="40"/>
            </w:pPr>
            <w:r>
              <w:rPr>
                <w:b/>
                <w:sz w:val="20"/>
                <w:szCs w:val="20"/>
              </w:rPr>
              <w:t xml:space="preserve">P99</w:t>
            </w:r>
          </w:p>
        </w:tc>
        <w:tc>
          <w:tcPr>
            <w:tcW w:w="1300" w:type="dxa"/>
            <w:shd w:fill="F2F4F7"/>
            <w:tcMar>
              <w:top w:w="90" w:type="dxa"/>
              <w:bottom w:w="90" w:type="dxa"/>
              <w:start w:w="120" w:type="dxa"/>
              <w:end w:w="120" w:type="dxa"/>
            </w:tcMar>
          </w:tcPr>
          <w:p>
            <w:pPr>
              <w:jc w:val="center"/>
              <w:spacing w:after="40"/>
            </w:pPr>
            <w:r>
              <w:rPr>
                <w:b/>
                <w:sz w:val="20"/>
                <w:szCs w:val="20"/>
              </w:rPr>
              <w:t xml:space="preserve">Max</w:t>
            </w:r>
          </w:p>
        </w:tc>
        <w:tc>
          <w:tcPr>
            <w:tcW w:w="1200" w:type="dxa"/>
            <w:shd w:fill="F2F4F7"/>
            <w:tcMar>
              <w:top w:w="90" w:type="dxa"/>
              <w:bottom w:w="90" w:type="dxa"/>
              <w:start w:w="120" w:type="dxa"/>
              <w:end w:w="120" w:type="dxa"/>
            </w:tcMar>
          </w:tcPr>
          <w:p>
            <w:pPr>
              <w:jc w:val="center"/>
              <w:spacing w:after="40"/>
            </w:pPr>
            <w:r>
              <w:rPr>
                <w:b/>
                <w:sz w:val="20"/>
                <w:szCs w:val="20"/>
              </w:rPr>
              <w:t xml:space="preserve">Skewness</w:t>
            </w:r>
          </w:p>
        </w:tc>
        <w:tc>
          <w:tcPr>
            <w:tcW w:w="1960" w:type="dxa"/>
            <w:shd w:fill="F2F4F7"/>
            <w:tcMar>
              <w:top w:w="90" w:type="dxa"/>
              <w:bottom w:w="90" w:type="dxa"/>
              <w:start w:w="120" w:type="dxa"/>
              <w:end w:w="120" w:type="dxa"/>
            </w:tcMar>
          </w:tcPr>
          <w:p>
            <w:pPr>
              <w:jc w:val="center"/>
              <w:spacing w:after="40"/>
            </w:pPr>
            <w:r>
              <w:rPr>
                <w:b/>
                <w:sz w:val="20"/>
                <w:szCs w:val="20"/>
              </w:rPr>
              <w:t xml:space="preserve">Reading</w:t>
            </w:r>
          </w:p>
        </w:tc>
      </w:tr>
      <w:tr>
        <w:tc>
          <w:tcPr>
            <w:tcW w:w="2300" w:type="dxa"/>
            <w:tcMar>
              <w:top w:w="90" w:type="dxa"/>
              <w:bottom w:w="90" w:type="dxa"/>
              <w:start w:w="120" w:type="dxa"/>
              <w:end w:w="120" w:type="dxa"/>
            </w:tcMar>
          </w:tcPr>
          <w:p>
            <w:pPr>
              <w:spacing w:after="40"/>
            </w:pPr>
            <w:r>
              <w:rPr>
                <w:sz w:val="20"/>
                <w:szCs w:val="20"/>
              </w:rPr>
              <w:t xml:space="preserve">Actual Revenue Impact</w:t>
            </w:r>
          </w:p>
        </w:tc>
        <w:tc>
          <w:tcPr>
            <w:tcW w:w="1300" w:type="dxa"/>
            <w:tcMar>
              <w:top w:w="90" w:type="dxa"/>
              <w:bottom w:w="90" w:type="dxa"/>
              <w:start w:w="120" w:type="dxa"/>
              <w:end w:w="120" w:type="dxa"/>
            </w:tcMar>
          </w:tcPr>
          <w:p>
            <w:pPr>
              <w:jc w:val="center"/>
              <w:spacing w:after="40"/>
            </w:pPr>
            <w:r>
              <w:rPr>
                <w:sz w:val="20"/>
                <w:szCs w:val="20"/>
              </w:rPr>
              <w:t xml:space="preserve">1.41M</w:t>
            </w:r>
          </w:p>
        </w:tc>
        <w:tc>
          <w:tcPr>
            <w:tcW w:w="1300" w:type="dxa"/>
            <w:tcMar>
              <w:top w:w="90" w:type="dxa"/>
              <w:bottom w:w="90" w:type="dxa"/>
              <w:start w:w="120" w:type="dxa"/>
              <w:end w:w="120" w:type="dxa"/>
            </w:tcMar>
          </w:tcPr>
          <w:p>
            <w:pPr>
              <w:jc w:val="center"/>
              <w:spacing w:after="40"/>
            </w:pPr>
            <w:r>
              <w:rPr>
                <w:sz w:val="20"/>
                <w:szCs w:val="20"/>
              </w:rPr>
              <w:t xml:space="preserve">19.00M</w:t>
            </w:r>
          </w:p>
        </w:tc>
        <w:tc>
          <w:tcPr>
            <w:tcW w:w="1300" w:type="dxa"/>
            <w:tcMar>
              <w:top w:w="90" w:type="dxa"/>
              <w:bottom w:w="90" w:type="dxa"/>
              <w:start w:w="120" w:type="dxa"/>
              <w:end w:w="120" w:type="dxa"/>
            </w:tcMar>
          </w:tcPr>
          <w:p>
            <w:pPr>
              <w:jc w:val="center"/>
              <w:spacing w:after="40"/>
            </w:pPr>
            <w:r>
              <w:rPr>
                <w:sz w:val="20"/>
                <w:szCs w:val="20"/>
              </w:rPr>
              <w:t xml:space="preserve">123.42M</w:t>
            </w:r>
          </w:p>
        </w:tc>
        <w:tc>
          <w:tcPr>
            <w:tcW w:w="1200" w:type="dxa"/>
            <w:tcMar>
              <w:top w:w="90" w:type="dxa"/>
              <w:bottom w:w="90" w:type="dxa"/>
              <w:start w:w="120" w:type="dxa"/>
              <w:end w:w="120" w:type="dxa"/>
            </w:tcMar>
          </w:tcPr>
          <w:p>
            <w:pPr>
              <w:jc w:val="center"/>
              <w:spacing w:after="40"/>
            </w:pPr>
            <w:r>
              <w:rPr>
                <w:sz w:val="20"/>
                <w:szCs w:val="20"/>
              </w:rPr>
              <w:t xml:space="preserve">5.77</w:t>
            </w:r>
          </w:p>
        </w:tc>
        <w:tc>
          <w:tcPr>
            <w:tcW w:w="1960" w:type="dxa"/>
            <w:tcMar>
              <w:top w:w="90" w:type="dxa"/>
              <w:bottom w:w="90" w:type="dxa"/>
              <w:start w:w="120" w:type="dxa"/>
              <w:end w:w="120" w:type="dxa"/>
            </w:tcMar>
          </w:tcPr>
          <w:p>
            <w:pPr>
              <w:jc w:val="center"/>
              <w:spacing w:after="40"/>
            </w:pPr>
            <w:r>
              <w:rPr>
                <w:sz w:val="20"/>
                <w:szCs w:val="20"/>
              </w:rPr>
              <w:t xml:space="preserve">High right tail</w:t>
            </w:r>
          </w:p>
        </w:tc>
      </w:tr>
      <w:tr>
        <w:tc>
          <w:tcPr>
            <w:tcW w:w="2300" w:type="dxa"/>
            <w:shd w:fill="FAFBFC"/>
            <w:tcMar>
              <w:top w:w="90" w:type="dxa"/>
              <w:bottom w:w="90" w:type="dxa"/>
              <w:start w:w="120" w:type="dxa"/>
              <w:end w:w="120" w:type="dxa"/>
            </w:tcMar>
          </w:tcPr>
          <w:p>
            <w:pPr>
              <w:spacing w:after="40"/>
            </w:pPr>
            <w:r>
              <w:rPr>
                <w:sz w:val="20"/>
                <w:szCs w:val="20"/>
              </w:rPr>
              <w:t xml:space="preserve">Predicted Revenue Impact</w:t>
            </w:r>
          </w:p>
        </w:tc>
        <w:tc>
          <w:tcPr>
            <w:tcW w:w="1300" w:type="dxa"/>
            <w:shd w:fill="FAFBFC"/>
            <w:tcMar>
              <w:top w:w="90" w:type="dxa"/>
              <w:bottom w:w="90" w:type="dxa"/>
              <w:start w:w="120" w:type="dxa"/>
              <w:end w:w="120" w:type="dxa"/>
            </w:tcMar>
          </w:tcPr>
          <w:p>
            <w:pPr>
              <w:jc w:val="center"/>
              <w:spacing w:after="40"/>
            </w:pPr>
            <w:r>
              <w:rPr>
                <w:sz w:val="20"/>
                <w:szCs w:val="20"/>
              </w:rPr>
              <w:t xml:space="preserve">1.81M</w:t>
            </w:r>
          </w:p>
        </w:tc>
        <w:tc>
          <w:tcPr>
            <w:tcW w:w="1300" w:type="dxa"/>
            <w:shd w:fill="FAFBFC"/>
            <w:tcMar>
              <w:top w:w="90" w:type="dxa"/>
              <w:bottom w:w="90" w:type="dxa"/>
              <w:start w:w="120" w:type="dxa"/>
              <w:end w:w="120" w:type="dxa"/>
            </w:tcMar>
          </w:tcPr>
          <w:p>
            <w:pPr>
              <w:jc w:val="center"/>
              <w:spacing w:after="40"/>
            </w:pPr>
            <w:r>
              <w:rPr>
                <w:sz w:val="20"/>
                <w:szCs w:val="20"/>
              </w:rPr>
              <w:t xml:space="preserve">13.27M</w:t>
            </w:r>
          </w:p>
        </w:tc>
        <w:tc>
          <w:tcPr>
            <w:tcW w:w="1300" w:type="dxa"/>
            <w:shd w:fill="FAFBFC"/>
            <w:tcMar>
              <w:top w:w="90" w:type="dxa"/>
              <w:bottom w:w="90" w:type="dxa"/>
              <w:start w:w="120" w:type="dxa"/>
              <w:end w:w="120" w:type="dxa"/>
            </w:tcMar>
          </w:tcPr>
          <w:p>
            <w:pPr>
              <w:jc w:val="center"/>
              <w:spacing w:after="40"/>
            </w:pPr>
            <w:r>
              <w:rPr>
                <w:sz w:val="20"/>
                <w:szCs w:val="20"/>
              </w:rPr>
              <w:t xml:space="preserve">43.78M</w:t>
            </w:r>
          </w:p>
        </w:tc>
        <w:tc>
          <w:tcPr>
            <w:tcW w:w="1200" w:type="dxa"/>
            <w:shd w:fill="FAFBFC"/>
            <w:tcMar>
              <w:top w:w="90" w:type="dxa"/>
              <w:bottom w:w="90" w:type="dxa"/>
              <w:start w:w="120" w:type="dxa"/>
              <w:end w:w="120" w:type="dxa"/>
            </w:tcMar>
          </w:tcPr>
          <w:p>
            <w:pPr>
              <w:jc w:val="center"/>
              <w:spacing w:after="40"/>
            </w:pPr>
            <w:r>
              <w:rPr>
                <w:sz w:val="20"/>
                <w:szCs w:val="20"/>
              </w:rPr>
              <w:t xml:space="preserve">2.23</w:t>
            </w:r>
          </w:p>
        </w:tc>
        <w:tc>
          <w:tcPr>
            <w:tcW w:w="1960" w:type="dxa"/>
            <w:shd w:fill="FAFBFC"/>
            <w:tcMar>
              <w:top w:w="90" w:type="dxa"/>
              <w:bottom w:w="90" w:type="dxa"/>
              <w:start w:w="120" w:type="dxa"/>
              <w:end w:w="120" w:type="dxa"/>
            </w:tcMar>
          </w:tcPr>
          <w:p>
            <w:pPr>
              <w:jc w:val="center"/>
              <w:spacing w:after="40"/>
            </w:pPr>
            <w:r>
              <w:rPr>
                <w:sz w:val="20"/>
                <w:szCs w:val="20"/>
              </w:rPr>
              <w:t xml:space="preserve">High right tail</w:t>
            </w:r>
          </w:p>
        </w:tc>
      </w:tr>
      <w:tr>
        <w:tc>
          <w:tcPr>
            <w:tcW w:w="2300" w:type="dxa"/>
            <w:tcMar>
              <w:top w:w="90" w:type="dxa"/>
              <w:bottom w:w="90" w:type="dxa"/>
              <w:start w:w="120" w:type="dxa"/>
              <w:end w:w="120" w:type="dxa"/>
            </w:tcMar>
          </w:tcPr>
          <w:p>
            <w:pPr>
              <w:spacing w:after="40"/>
            </w:pPr>
            <w:r>
              <w:rPr>
                <w:sz w:val="20"/>
                <w:szCs w:val="20"/>
              </w:rPr>
              <w:t xml:space="preserve">Error</w:t>
            </w:r>
          </w:p>
        </w:tc>
        <w:tc>
          <w:tcPr>
            <w:tcW w:w="1300" w:type="dxa"/>
            <w:tcMar>
              <w:top w:w="90" w:type="dxa"/>
              <w:bottom w:w="90" w:type="dxa"/>
              <w:start w:w="120" w:type="dxa"/>
              <w:end w:w="120" w:type="dxa"/>
            </w:tcMar>
          </w:tcPr>
          <w:p>
            <w:pPr>
              <w:jc w:val="center"/>
              <w:spacing w:after="40"/>
            </w:pPr>
            <w:r>
              <w:rPr>
                <w:sz w:val="20"/>
                <w:szCs w:val="20"/>
              </w:rPr>
              <w:t xml:space="preserve">-57.16K</w:t>
            </w:r>
          </w:p>
        </w:tc>
        <w:tc>
          <w:tcPr>
            <w:tcW w:w="1300" w:type="dxa"/>
            <w:tcMar>
              <w:top w:w="90" w:type="dxa"/>
              <w:bottom w:w="90" w:type="dxa"/>
              <w:start w:w="120" w:type="dxa"/>
              <w:end w:w="120" w:type="dxa"/>
            </w:tcMar>
          </w:tcPr>
          <w:p>
            <w:pPr>
              <w:jc w:val="center"/>
              <w:spacing w:after="40"/>
            </w:pPr>
            <w:r>
              <w:rPr>
                <w:sz w:val="20"/>
                <w:szCs w:val="20"/>
              </w:rPr>
              <w:t xml:space="preserve">10.40M</w:t>
            </w:r>
          </w:p>
        </w:tc>
        <w:tc>
          <w:tcPr>
            <w:tcW w:w="1300" w:type="dxa"/>
            <w:tcMar>
              <w:top w:w="90" w:type="dxa"/>
              <w:bottom w:w="90" w:type="dxa"/>
              <w:start w:w="120" w:type="dxa"/>
              <w:end w:w="120" w:type="dxa"/>
            </w:tcMar>
          </w:tcPr>
          <w:p>
            <w:pPr>
              <w:jc w:val="center"/>
              <w:spacing w:after="40"/>
            </w:pPr>
            <w:r>
              <w:rPr>
                <w:sz w:val="20"/>
                <w:szCs w:val="20"/>
              </w:rPr>
              <w:t xml:space="preserve">108.61M</w:t>
            </w:r>
          </w:p>
        </w:tc>
        <w:tc>
          <w:tcPr>
            <w:tcW w:w="1200" w:type="dxa"/>
            <w:tcMar>
              <w:top w:w="90" w:type="dxa"/>
              <w:bottom w:w="90" w:type="dxa"/>
              <w:start w:w="120" w:type="dxa"/>
              <w:end w:w="120" w:type="dxa"/>
            </w:tcMar>
          </w:tcPr>
          <w:p>
            <w:pPr>
              <w:jc w:val="center"/>
              <w:spacing w:after="40"/>
            </w:pPr>
            <w:r>
              <w:rPr>
                <w:sz w:val="20"/>
                <w:szCs w:val="20"/>
              </w:rPr>
              <w:t xml:space="preserve">7.13</w:t>
            </w:r>
          </w:p>
        </w:tc>
        <w:tc>
          <w:tcPr>
            <w:tcW w:w="1960" w:type="dxa"/>
            <w:tcMar>
              <w:top w:w="90" w:type="dxa"/>
              <w:bottom w:w="90" w:type="dxa"/>
              <w:start w:w="120" w:type="dxa"/>
              <w:end w:w="120" w:type="dxa"/>
            </w:tcMar>
          </w:tcPr>
          <w:p>
            <w:pPr>
              <w:jc w:val="center"/>
              <w:spacing w:after="40"/>
            </w:pPr>
            <w:r>
              <w:rPr>
                <w:sz w:val="20"/>
                <w:szCs w:val="20"/>
              </w:rPr>
              <w:t xml:space="preserve">High right tail</w:t>
            </w:r>
          </w:p>
        </w:tc>
      </w:tr>
      <w:tr>
        <w:tc>
          <w:tcPr>
            <w:tcW w:w="2300" w:type="dxa"/>
            <w:shd w:fill="FAFBFC"/>
            <w:tcMar>
              <w:top w:w="90" w:type="dxa"/>
              <w:bottom w:w="90" w:type="dxa"/>
              <w:start w:w="120" w:type="dxa"/>
              <w:end w:w="120" w:type="dxa"/>
            </w:tcMar>
          </w:tcPr>
          <w:p>
            <w:pPr>
              <w:spacing w:after="40"/>
            </w:pPr>
            <w:r>
              <w:rPr>
                <w:sz w:val="20"/>
                <w:szCs w:val="20"/>
              </w:rPr>
              <w:t xml:space="preserve">Error Percentage</w:t>
            </w:r>
          </w:p>
        </w:tc>
        <w:tc>
          <w:tcPr>
            <w:tcW w:w="1300" w:type="dxa"/>
            <w:shd w:fill="FAFBFC"/>
            <w:tcMar>
              <w:top w:w="90" w:type="dxa"/>
              <w:bottom w:w="90" w:type="dxa"/>
              <w:start w:w="120" w:type="dxa"/>
              <w:end w:w="120" w:type="dxa"/>
            </w:tcMar>
          </w:tcPr>
          <w:p>
            <w:pPr>
              <w:jc w:val="center"/>
              <w:spacing w:after="40"/>
            </w:pPr>
            <w:r>
              <w:rPr>
                <w:sz w:val="20"/>
                <w:szCs w:val="20"/>
              </w:rPr>
              <w:t xml:space="preserve">-4.5%</w:t>
            </w:r>
          </w:p>
        </w:tc>
        <w:tc>
          <w:tcPr>
            <w:tcW w:w="1300" w:type="dxa"/>
            <w:shd w:fill="FAFBFC"/>
            <w:tcMar>
              <w:top w:w="90" w:type="dxa"/>
              <w:bottom w:w="90" w:type="dxa"/>
              <w:start w:w="120" w:type="dxa"/>
              <w:end w:w="120" w:type="dxa"/>
            </w:tcMar>
          </w:tcPr>
          <w:p>
            <w:pPr>
              <w:jc w:val="center"/>
              <w:spacing w:after="40"/>
            </w:pPr>
            <w:r>
              <w:rPr>
                <w:sz w:val="20"/>
                <w:szCs w:val="20"/>
              </w:rPr>
              <w:t xml:space="preserve">1203.7%</w:t>
            </w:r>
          </w:p>
        </w:tc>
        <w:tc>
          <w:tcPr>
            <w:tcW w:w="1300" w:type="dxa"/>
            <w:shd w:fill="FAFBFC"/>
            <w:tcMar>
              <w:top w:w="90" w:type="dxa"/>
              <w:bottom w:w="90" w:type="dxa"/>
              <w:start w:w="120" w:type="dxa"/>
              <w:end w:w="120" w:type="dxa"/>
            </w:tcMar>
          </w:tcPr>
          <w:p>
            <w:pPr>
              <w:jc w:val="center"/>
              <w:spacing w:after="40"/>
            </w:pPr>
            <w:r>
              <w:rPr>
                <w:sz w:val="20"/>
                <w:szCs w:val="20"/>
              </w:rPr>
              <w:t xml:space="preserve">30938.8%</w:t>
            </w:r>
          </w:p>
        </w:tc>
        <w:tc>
          <w:tcPr>
            <w:tcW w:w="1200" w:type="dxa"/>
            <w:shd w:fill="FAFBFC"/>
            <w:tcMar>
              <w:top w:w="90" w:type="dxa"/>
              <w:bottom w:w="90" w:type="dxa"/>
              <w:start w:w="120" w:type="dxa"/>
              <w:end w:w="120" w:type="dxa"/>
            </w:tcMar>
          </w:tcPr>
          <w:p>
            <w:pPr>
              <w:jc w:val="center"/>
              <w:spacing w:after="40"/>
            </w:pPr>
            <w:r>
              <w:rPr>
                <w:sz w:val="20"/>
                <w:szCs w:val="20"/>
              </w:rPr>
              <w:t xml:space="preserve">22.27</w:t>
            </w:r>
          </w:p>
        </w:tc>
        <w:tc>
          <w:tcPr>
            <w:tcW w:w="1960" w:type="dxa"/>
            <w:shd w:fill="FAFBFC"/>
            <w:tcMar>
              <w:top w:w="90" w:type="dxa"/>
              <w:bottom w:w="90" w:type="dxa"/>
              <w:start w:w="120" w:type="dxa"/>
              <w:end w:w="120" w:type="dxa"/>
            </w:tcMar>
          </w:tcPr>
          <w:p>
            <w:pPr>
              <w:jc w:val="center"/>
              <w:spacing w:after="40"/>
            </w:pPr>
            <w:r>
              <w:rPr>
                <w:sz w:val="20"/>
                <w:szCs w:val="20"/>
              </w:rPr>
              <w:t xml:space="preserve">High right tail</w:t>
            </w:r>
          </w:p>
        </w:tc>
      </w:tr>
    </w:tbl>
    <w:p>
      <w:pPr>
        <w:spacing w:after="160"/>
      </w:pPr>
    </w:p>
    <w:p>
      <w:pPr>
        <w:jc w:val="center"/>
        <w:spacing w:before="80" w:after="60"/>
      </w:pPr>
      <w:r>
        <w:drawing>
          <wp:inline distT="0" distB="0" distL="0" distR="0">
            <wp:extent cx="5715000" cy="2152296"/>
            <wp:effectExtent l="0" t="0" r="0" b="0"/>
            <wp:docPr id="4" name="fskew.png"/>
            <wp:cNvGraphicFramePr>
              <a:graphicFrameLocks noChangeAspect="1"/>
            </wp:cNvGraphicFramePr>
            <a:graphic>
              <a:graphicData uri="http://schemas.openxmlformats.org/drawingml/2006/picture">
                <pic:pic>
                  <pic:nvPicPr>
                    <pic:cNvPr id="0" name="fskew.png"/>
                    <pic:cNvPicPr/>
                  </pic:nvPicPr>
                  <pic:blipFill>
                    <a:blip r:embed="rIdImg4"/>
                    <a:stretch>
                      <a:fillRect/>
                    </a:stretch>
                  </pic:blipFill>
                  <pic:spPr>
                    <a:xfrm>
                      <a:off x="0" y="0"/>
                      <a:ext cx="5715000" cy="2152296"/>
                    </a:xfrm>
                    <a:prstGeom prst="rect">
                      <a:avLst/>
                    </a:prstGeom>
                  </pic:spPr>
                </pic:pic>
              </a:graphicData>
            </a:graphic>
          </wp:inline>
        </w:drawing>
      </w:r>
    </w:p>
    <w:p>
      <w:pPr>
        <w:pStyle w:val="Caption"/>
        <w:jc w:val="center"/>
      </w:pPr>
      <w:r>
        <w:t xml:space="preserve">Figure 4. Cost savings and AI investment are the only high-skew model predictors.</w:t>
      </w:r>
    </w:p>
    <w:tbl>
      <w:tblPr>
        <w:tblW w:w="9360" w:type="dxa"/>
        <w:tblInd w:w="120" w:type="dxa"/>
        <w:tblLayout w:type="fixed"/>
        <w:tblBorders>
          <w:top w:val="single" w:sz="4" w:space="0" w:color="D0D7DE"/>
          <w:left w:val="single" w:sz="4" w:space="0" w:color="D0D7DE"/>
          <w:bottom w:val="single" w:sz="4" w:space="0" w:color="D0D7DE"/>
          <w:right w:val="single" w:sz="4" w:space="0" w:color="D0D7DE"/>
          <w:insideH w:val="single" w:sz="4" w:space="0" w:color="E5E7EB"/>
          <w:insideV w:val="single" w:sz="4" w:space="0" w:color="E5E7EB"/>
        </w:tblBorders>
      </w:tblPr>
      <w:tblGrid>
        <w:gridCol w:w="2300"/>
        <w:gridCol w:w="1150"/>
        <w:gridCol w:w="1150"/>
        <w:gridCol w:w="1150"/>
        <w:gridCol w:w="1150"/>
        <w:gridCol w:w="2460"/>
      </w:tblGrid>
      <w:tr>
        <w:tc>
          <w:tcPr>
            <w:tcW w:w="2300" w:type="dxa"/>
            <w:shd w:fill="F2F4F7"/>
            <w:tcMar>
              <w:top w:w="90" w:type="dxa"/>
              <w:bottom w:w="90" w:type="dxa"/>
              <w:start w:w="120" w:type="dxa"/>
              <w:end w:w="120" w:type="dxa"/>
            </w:tcMar>
          </w:tcPr>
          <w:p>
            <w:pPr>
              <w:spacing w:after="40"/>
            </w:pPr>
            <w:r>
              <w:rPr>
                <w:b/>
                <w:sz w:val="20"/>
                <w:szCs w:val="20"/>
              </w:rPr>
              <w:t xml:space="preserve">Feature</w:t>
            </w:r>
          </w:p>
        </w:tc>
        <w:tc>
          <w:tcPr>
            <w:tcW w:w="1150" w:type="dxa"/>
            <w:shd w:fill="F2F4F7"/>
            <w:tcMar>
              <w:top w:w="90" w:type="dxa"/>
              <w:bottom w:w="90" w:type="dxa"/>
              <w:start w:w="120" w:type="dxa"/>
              <w:end w:w="120" w:type="dxa"/>
            </w:tcMar>
          </w:tcPr>
          <w:p>
            <w:pPr>
              <w:jc w:val="center"/>
              <w:spacing w:after="40"/>
            </w:pPr>
            <w:r>
              <w:rPr>
                <w:b/>
                <w:sz w:val="20"/>
                <w:szCs w:val="20"/>
              </w:rPr>
              <w:t xml:space="preserve">P50</w:t>
            </w:r>
          </w:p>
        </w:tc>
        <w:tc>
          <w:tcPr>
            <w:tcW w:w="1150" w:type="dxa"/>
            <w:shd w:fill="F2F4F7"/>
            <w:tcMar>
              <w:top w:w="90" w:type="dxa"/>
              <w:bottom w:w="90" w:type="dxa"/>
              <w:start w:w="120" w:type="dxa"/>
              <w:end w:w="120" w:type="dxa"/>
            </w:tcMar>
          </w:tcPr>
          <w:p>
            <w:pPr>
              <w:jc w:val="center"/>
              <w:spacing w:after="40"/>
            </w:pPr>
            <w:r>
              <w:rPr>
                <w:b/>
                <w:sz w:val="20"/>
                <w:szCs w:val="20"/>
              </w:rPr>
              <w:t xml:space="preserve">P90</w:t>
            </w:r>
          </w:p>
        </w:tc>
        <w:tc>
          <w:tcPr>
            <w:tcW w:w="1150" w:type="dxa"/>
            <w:shd w:fill="F2F4F7"/>
            <w:tcMar>
              <w:top w:w="90" w:type="dxa"/>
              <w:bottom w:w="90" w:type="dxa"/>
              <w:start w:w="120" w:type="dxa"/>
              <w:end w:w="120" w:type="dxa"/>
            </w:tcMar>
          </w:tcPr>
          <w:p>
            <w:pPr>
              <w:jc w:val="center"/>
              <w:spacing w:after="40"/>
            </w:pPr>
            <w:r>
              <w:rPr>
                <w:b/>
                <w:sz w:val="20"/>
                <w:szCs w:val="20"/>
              </w:rPr>
              <w:t xml:space="preserve">P99</w:t>
            </w:r>
          </w:p>
        </w:tc>
        <w:tc>
          <w:tcPr>
            <w:tcW w:w="1150" w:type="dxa"/>
            <w:shd w:fill="F2F4F7"/>
            <w:tcMar>
              <w:top w:w="90" w:type="dxa"/>
              <w:bottom w:w="90" w:type="dxa"/>
              <w:start w:w="120" w:type="dxa"/>
              <w:end w:w="120" w:type="dxa"/>
            </w:tcMar>
          </w:tcPr>
          <w:p>
            <w:pPr>
              <w:jc w:val="center"/>
              <w:spacing w:after="40"/>
            </w:pPr>
            <w:r>
              <w:rPr>
                <w:b/>
                <w:sz w:val="20"/>
                <w:szCs w:val="20"/>
              </w:rPr>
              <w:t xml:space="preserve">Skewness</w:t>
            </w:r>
          </w:p>
        </w:tc>
        <w:tc>
          <w:tcPr>
            <w:tcW w:w="2460" w:type="dxa"/>
            <w:shd w:fill="F2F4F7"/>
            <w:tcMar>
              <w:top w:w="90" w:type="dxa"/>
              <w:bottom w:w="90" w:type="dxa"/>
              <w:start w:w="120" w:type="dxa"/>
              <w:end w:w="120" w:type="dxa"/>
            </w:tcMar>
          </w:tcPr>
          <w:p>
            <w:pPr>
              <w:jc w:val="center"/>
              <w:spacing w:after="40"/>
            </w:pPr>
            <w:r>
              <w:rPr>
                <w:b/>
                <w:sz w:val="20"/>
                <w:szCs w:val="20"/>
              </w:rPr>
              <w:t xml:space="preserve">Tree treatment</w:t>
            </w:r>
          </w:p>
        </w:tc>
      </w:tr>
      <w:tr>
        <w:tc>
          <w:tcPr>
            <w:tcW w:w="2300" w:type="dxa"/>
            <w:tcMar>
              <w:top w:w="90" w:type="dxa"/>
              <w:bottom w:w="90" w:type="dxa"/>
              <w:start w:w="120" w:type="dxa"/>
              <w:end w:w="120" w:type="dxa"/>
            </w:tcMar>
          </w:tcPr>
          <w:p>
            <w:pPr>
              <w:spacing w:after="40"/>
            </w:pPr>
            <w:r>
              <w:rPr>
                <w:sz w:val="20"/>
                <w:szCs w:val="20"/>
              </w:rPr>
              <w:t xml:space="preserve">ai_investment_usd</w:t>
            </w:r>
          </w:p>
        </w:tc>
        <w:tc>
          <w:tcPr>
            <w:tcW w:w="1150" w:type="dxa"/>
            <w:tcMar>
              <w:top w:w="90" w:type="dxa"/>
              <w:bottom w:w="90" w:type="dxa"/>
              <w:start w:w="120" w:type="dxa"/>
              <w:end w:w="120" w:type="dxa"/>
            </w:tcMar>
          </w:tcPr>
          <w:p>
            <w:pPr>
              <w:jc w:val="center"/>
              <w:spacing w:after="40"/>
            </w:pPr>
            <w:r>
              <w:rPr>
                <w:sz w:val="20"/>
                <w:szCs w:val="20"/>
              </w:rPr>
              <w:t xml:space="preserve">4.01M</w:t>
            </w:r>
          </w:p>
        </w:tc>
        <w:tc>
          <w:tcPr>
            <w:tcW w:w="1150" w:type="dxa"/>
            <w:tcMar>
              <w:top w:w="90" w:type="dxa"/>
              <w:bottom w:w="90" w:type="dxa"/>
              <w:start w:w="120" w:type="dxa"/>
              <w:end w:w="120" w:type="dxa"/>
            </w:tcMar>
          </w:tcPr>
          <w:p>
            <w:pPr>
              <w:jc w:val="center"/>
              <w:spacing w:after="40"/>
            </w:pPr>
            <w:r>
              <w:rPr>
                <w:sz w:val="20"/>
                <w:szCs w:val="20"/>
              </w:rPr>
              <w:t xml:space="preserve">9.68M</w:t>
            </w:r>
          </w:p>
        </w:tc>
        <w:tc>
          <w:tcPr>
            <w:tcW w:w="1150" w:type="dxa"/>
            <w:tcMar>
              <w:top w:w="90" w:type="dxa"/>
              <w:bottom w:w="90" w:type="dxa"/>
              <w:start w:w="120" w:type="dxa"/>
              <w:end w:w="120" w:type="dxa"/>
            </w:tcMar>
          </w:tcPr>
          <w:p>
            <w:pPr>
              <w:jc w:val="center"/>
              <w:spacing w:after="40"/>
            </w:pPr>
            <w:r>
              <w:rPr>
                <w:sz w:val="20"/>
                <w:szCs w:val="20"/>
              </w:rPr>
              <w:t xml:space="preserve">17.77M</w:t>
            </w:r>
          </w:p>
        </w:tc>
        <w:tc>
          <w:tcPr>
            <w:tcW w:w="1150" w:type="dxa"/>
            <w:tcMar>
              <w:top w:w="90" w:type="dxa"/>
              <w:bottom w:w="90" w:type="dxa"/>
              <w:start w:w="120" w:type="dxa"/>
              <w:end w:w="120" w:type="dxa"/>
            </w:tcMar>
          </w:tcPr>
          <w:p>
            <w:pPr>
              <w:jc w:val="center"/>
              <w:spacing w:after="40"/>
            </w:pPr>
            <w:r>
              <w:rPr>
                <w:sz w:val="20"/>
                <w:szCs w:val="20"/>
              </w:rPr>
              <w:t xml:space="preserve">1.74</w:t>
            </w:r>
          </w:p>
        </w:tc>
        <w:tc>
          <w:tcPr>
            <w:tcW w:w="2460" w:type="dxa"/>
            <w:tcMar>
              <w:top w:w="90" w:type="dxa"/>
              <w:bottom w:w="90" w:type="dxa"/>
              <w:start w:w="120" w:type="dxa"/>
              <w:end w:w="120" w:type="dxa"/>
            </w:tcMar>
          </w:tcPr>
          <w:p>
            <w:pPr>
              <w:jc w:val="center"/>
              <w:spacing w:after="40"/>
            </w:pPr>
            <w:r>
              <w:rPr>
                <w:sz w:val="20"/>
                <w:szCs w:val="20"/>
              </w:rPr>
              <w:t xml:space="preserve">log1p for high right skew</w:t>
            </w:r>
          </w:p>
        </w:tc>
      </w:tr>
      <w:tr>
        <w:tc>
          <w:tcPr>
            <w:tcW w:w="2300" w:type="dxa"/>
            <w:shd w:fill="FAFBFC"/>
            <w:tcMar>
              <w:top w:w="90" w:type="dxa"/>
              <w:bottom w:w="90" w:type="dxa"/>
              <w:start w:w="120" w:type="dxa"/>
              <w:end w:w="120" w:type="dxa"/>
            </w:tcMar>
          </w:tcPr>
          <w:p>
            <w:pPr>
              <w:spacing w:after="40"/>
            </w:pPr>
            <w:r>
              <w:rPr>
                <w:sz w:val="20"/>
                <w:szCs w:val="20"/>
              </w:rPr>
              <w:t xml:space="preserve">automation_rate</w:t>
            </w:r>
          </w:p>
        </w:tc>
        <w:tc>
          <w:tcPr>
            <w:tcW w:w="1150" w:type="dxa"/>
            <w:shd w:fill="FAFBFC"/>
            <w:tcMar>
              <w:top w:w="90" w:type="dxa"/>
              <w:bottom w:w="90" w:type="dxa"/>
              <w:start w:w="120" w:type="dxa"/>
              <w:end w:w="120" w:type="dxa"/>
            </w:tcMar>
          </w:tcPr>
          <w:p>
            <w:pPr>
              <w:jc w:val="center"/>
              <w:spacing w:after="40"/>
            </w:pPr>
            <w:r>
              <w:rPr>
                <w:sz w:val="20"/>
                <w:szCs w:val="20"/>
              </w:rPr>
              <w:t xml:space="preserve">0.430</w:t>
            </w:r>
          </w:p>
        </w:tc>
        <w:tc>
          <w:tcPr>
            <w:tcW w:w="1150" w:type="dxa"/>
            <w:shd w:fill="FAFBFC"/>
            <w:tcMar>
              <w:top w:w="90" w:type="dxa"/>
              <w:bottom w:w="90" w:type="dxa"/>
              <w:start w:w="120" w:type="dxa"/>
              <w:end w:w="120" w:type="dxa"/>
            </w:tcMar>
          </w:tcPr>
          <w:p>
            <w:pPr>
              <w:jc w:val="center"/>
              <w:spacing w:after="40"/>
            </w:pPr>
            <w:r>
              <w:rPr>
                <w:sz w:val="20"/>
                <w:szCs w:val="20"/>
              </w:rPr>
              <w:t xml:space="preserve">0.733</w:t>
            </w:r>
          </w:p>
        </w:tc>
        <w:tc>
          <w:tcPr>
            <w:tcW w:w="1150" w:type="dxa"/>
            <w:shd w:fill="FAFBFC"/>
            <w:tcMar>
              <w:top w:w="90" w:type="dxa"/>
              <w:bottom w:w="90" w:type="dxa"/>
              <w:start w:w="120" w:type="dxa"/>
              <w:end w:w="120" w:type="dxa"/>
            </w:tcMar>
          </w:tcPr>
          <w:p>
            <w:pPr>
              <w:jc w:val="center"/>
              <w:spacing w:after="40"/>
            </w:pPr>
            <w:r>
              <w:rPr>
                <w:sz w:val="20"/>
                <w:szCs w:val="20"/>
              </w:rPr>
              <w:t xml:space="preserve">0.940</w:t>
            </w:r>
          </w:p>
        </w:tc>
        <w:tc>
          <w:tcPr>
            <w:tcW w:w="1150" w:type="dxa"/>
            <w:shd w:fill="FAFBFC"/>
            <w:tcMar>
              <w:top w:w="90" w:type="dxa"/>
              <w:bottom w:w="90" w:type="dxa"/>
              <w:start w:w="120" w:type="dxa"/>
              <w:end w:w="120" w:type="dxa"/>
            </w:tcMar>
          </w:tcPr>
          <w:p>
            <w:pPr>
              <w:jc w:val="center"/>
              <w:spacing w:after="40"/>
            </w:pPr>
            <w:r>
              <w:rPr>
                <w:sz w:val="20"/>
                <w:szCs w:val="20"/>
              </w:rPr>
              <w:t xml:space="preserve">0.16</w:t>
            </w:r>
          </w:p>
        </w:tc>
        <w:tc>
          <w:tcPr>
            <w:tcW w:w="2460" w:type="dxa"/>
            <w:shd w:fill="FAFBFC"/>
            <w:tcMar>
              <w:top w:w="90" w:type="dxa"/>
              <w:bottom w:w="90" w:type="dxa"/>
              <w:start w:w="120" w:type="dxa"/>
              <w:end w:w="120" w:type="dxa"/>
            </w:tcMar>
          </w:tcPr>
          <w:p>
            <w:pPr>
              <w:jc w:val="center"/>
              <w:spacing w:after="40"/>
            </w:pPr>
            <w:r>
              <w:rPr>
                <w:sz w:val="20"/>
                <w:szCs w:val="20"/>
              </w:rPr>
              <w:t xml:space="preserve">raw; low skew</w:t>
            </w:r>
          </w:p>
        </w:tc>
      </w:tr>
      <w:tr>
        <w:tc>
          <w:tcPr>
            <w:tcW w:w="2300" w:type="dxa"/>
            <w:tcMar>
              <w:top w:w="90" w:type="dxa"/>
              <w:bottom w:w="90" w:type="dxa"/>
              <w:start w:w="120" w:type="dxa"/>
              <w:end w:w="120" w:type="dxa"/>
            </w:tcMar>
          </w:tcPr>
          <w:p>
            <w:pPr>
              <w:spacing w:after="40"/>
            </w:pPr>
            <w:r>
              <w:rPr>
                <w:sz w:val="20"/>
                <w:szCs w:val="20"/>
              </w:rPr>
              <w:t xml:space="preserve">cost_savings</w:t>
            </w:r>
          </w:p>
        </w:tc>
        <w:tc>
          <w:tcPr>
            <w:tcW w:w="1150" w:type="dxa"/>
            <w:tcMar>
              <w:top w:w="90" w:type="dxa"/>
              <w:bottom w:w="90" w:type="dxa"/>
              <w:start w:w="120" w:type="dxa"/>
              <w:end w:w="120" w:type="dxa"/>
            </w:tcMar>
          </w:tcPr>
          <w:p>
            <w:pPr>
              <w:jc w:val="center"/>
              <w:spacing w:after="40"/>
            </w:pPr>
            <w:r>
              <w:rPr>
                <w:sz w:val="20"/>
                <w:szCs w:val="20"/>
              </w:rPr>
              <w:t xml:space="preserve">1.36M</w:t>
            </w:r>
          </w:p>
        </w:tc>
        <w:tc>
          <w:tcPr>
            <w:tcW w:w="1150" w:type="dxa"/>
            <w:tcMar>
              <w:top w:w="90" w:type="dxa"/>
              <w:bottom w:w="90" w:type="dxa"/>
              <w:start w:w="120" w:type="dxa"/>
              <w:end w:w="120" w:type="dxa"/>
            </w:tcMar>
          </w:tcPr>
          <w:p>
            <w:pPr>
              <w:jc w:val="center"/>
              <w:spacing w:after="40"/>
            </w:pPr>
            <w:r>
              <w:rPr>
                <w:sz w:val="20"/>
                <w:szCs w:val="20"/>
              </w:rPr>
              <w:t xml:space="preserve">4.93M</w:t>
            </w:r>
          </w:p>
        </w:tc>
        <w:tc>
          <w:tcPr>
            <w:tcW w:w="1150" w:type="dxa"/>
            <w:tcMar>
              <w:top w:w="90" w:type="dxa"/>
              <w:bottom w:w="90" w:type="dxa"/>
              <w:start w:w="120" w:type="dxa"/>
              <w:end w:w="120" w:type="dxa"/>
            </w:tcMar>
          </w:tcPr>
          <w:p>
            <w:pPr>
              <w:jc w:val="center"/>
              <w:spacing w:after="40"/>
            </w:pPr>
            <w:r>
              <w:rPr>
                <w:sz w:val="20"/>
                <w:szCs w:val="20"/>
              </w:rPr>
              <w:t xml:space="preserve">11.88M</w:t>
            </w:r>
          </w:p>
        </w:tc>
        <w:tc>
          <w:tcPr>
            <w:tcW w:w="1150" w:type="dxa"/>
            <w:tcMar>
              <w:top w:w="90" w:type="dxa"/>
              <w:bottom w:w="90" w:type="dxa"/>
              <w:start w:w="120" w:type="dxa"/>
              <w:end w:w="120" w:type="dxa"/>
            </w:tcMar>
          </w:tcPr>
          <w:p>
            <w:pPr>
              <w:jc w:val="center"/>
              <w:spacing w:after="40"/>
            </w:pPr>
            <w:r>
              <w:rPr>
                <w:sz w:val="20"/>
                <w:szCs w:val="20"/>
              </w:rPr>
              <w:t xml:space="preserve">3.03</w:t>
            </w:r>
          </w:p>
        </w:tc>
        <w:tc>
          <w:tcPr>
            <w:tcW w:w="2460" w:type="dxa"/>
            <w:tcMar>
              <w:top w:w="90" w:type="dxa"/>
              <w:bottom w:w="90" w:type="dxa"/>
              <w:start w:w="120" w:type="dxa"/>
              <w:end w:w="120" w:type="dxa"/>
            </w:tcMar>
          </w:tcPr>
          <w:p>
            <w:pPr>
              <w:jc w:val="center"/>
              <w:spacing w:after="40"/>
            </w:pPr>
            <w:r>
              <w:rPr>
                <w:sz w:val="20"/>
                <w:szCs w:val="20"/>
              </w:rPr>
              <w:t xml:space="preserve">log1p for high right skew</w:t>
            </w:r>
          </w:p>
        </w:tc>
      </w:tr>
      <w:tr>
        <w:tc>
          <w:tcPr>
            <w:tcW w:w="2300" w:type="dxa"/>
            <w:shd w:fill="FAFBFC"/>
            <w:tcMar>
              <w:top w:w="90" w:type="dxa"/>
              <w:bottom w:w="90" w:type="dxa"/>
              <w:start w:w="120" w:type="dxa"/>
              <w:end w:w="120" w:type="dxa"/>
            </w:tcMar>
          </w:tcPr>
          <w:p>
            <w:pPr>
              <w:spacing w:after="40"/>
            </w:pPr>
            <w:r>
              <w:rPr>
                <w:sz w:val="20"/>
                <w:szCs w:val="20"/>
              </w:rPr>
              <w:t xml:space="preserve">employee_ai_training_hours</w:t>
            </w:r>
          </w:p>
        </w:tc>
        <w:tc>
          <w:tcPr>
            <w:tcW w:w="1150" w:type="dxa"/>
            <w:shd w:fill="FAFBFC"/>
            <w:tcMar>
              <w:top w:w="90" w:type="dxa"/>
              <w:bottom w:w="90" w:type="dxa"/>
              <w:start w:w="120" w:type="dxa"/>
              <w:end w:w="120" w:type="dxa"/>
            </w:tcMar>
          </w:tcPr>
          <w:p>
            <w:pPr>
              <w:jc w:val="center"/>
              <w:spacing w:after="40"/>
            </w:pPr>
            <w:r>
              <w:rPr>
                <w:sz w:val="20"/>
                <w:szCs w:val="20"/>
              </w:rPr>
              <w:t xml:space="preserve">75.5</w:t>
            </w:r>
          </w:p>
        </w:tc>
        <w:tc>
          <w:tcPr>
            <w:tcW w:w="1150" w:type="dxa"/>
            <w:shd w:fill="FAFBFC"/>
            <w:tcMar>
              <w:top w:w="90" w:type="dxa"/>
              <w:bottom w:w="90" w:type="dxa"/>
              <w:start w:w="120" w:type="dxa"/>
              <w:end w:w="120" w:type="dxa"/>
            </w:tcMar>
          </w:tcPr>
          <w:p>
            <w:pPr>
              <w:jc w:val="center"/>
              <w:spacing w:after="40"/>
            </w:pPr>
            <w:r>
              <w:rPr>
                <w:sz w:val="20"/>
                <w:szCs w:val="20"/>
              </w:rPr>
              <w:t xml:space="preserve">130.9</w:t>
            </w:r>
          </w:p>
        </w:tc>
        <w:tc>
          <w:tcPr>
            <w:tcW w:w="1150" w:type="dxa"/>
            <w:shd w:fill="FAFBFC"/>
            <w:tcMar>
              <w:top w:w="90" w:type="dxa"/>
              <w:bottom w:w="90" w:type="dxa"/>
              <w:start w:w="120" w:type="dxa"/>
              <w:end w:w="120" w:type="dxa"/>
            </w:tcMar>
          </w:tcPr>
          <w:p>
            <w:pPr>
              <w:jc w:val="center"/>
              <w:spacing w:after="40"/>
            </w:pPr>
            <w:r>
              <w:rPr>
                <w:sz w:val="20"/>
                <w:szCs w:val="20"/>
              </w:rPr>
              <w:t xml:space="preserve">166.4</w:t>
            </w:r>
          </w:p>
        </w:tc>
        <w:tc>
          <w:tcPr>
            <w:tcW w:w="1150" w:type="dxa"/>
            <w:shd w:fill="FAFBFC"/>
            <w:tcMar>
              <w:top w:w="90" w:type="dxa"/>
              <w:bottom w:w="90" w:type="dxa"/>
              <w:start w:w="120" w:type="dxa"/>
              <w:end w:w="120" w:type="dxa"/>
            </w:tcMar>
          </w:tcPr>
          <w:p>
            <w:pPr>
              <w:jc w:val="center"/>
              <w:spacing w:after="40"/>
            </w:pPr>
            <w:r>
              <w:rPr>
                <w:sz w:val="20"/>
                <w:szCs w:val="20"/>
              </w:rPr>
              <w:t xml:space="preserve">0.15</w:t>
            </w:r>
          </w:p>
        </w:tc>
        <w:tc>
          <w:tcPr>
            <w:tcW w:w="2460" w:type="dxa"/>
            <w:shd w:fill="FAFBFC"/>
            <w:tcMar>
              <w:top w:w="90" w:type="dxa"/>
              <w:bottom w:w="90" w:type="dxa"/>
              <w:start w:w="120" w:type="dxa"/>
              <w:end w:w="120" w:type="dxa"/>
            </w:tcMar>
          </w:tcPr>
          <w:p>
            <w:pPr>
              <w:jc w:val="center"/>
              <w:spacing w:after="40"/>
            </w:pPr>
            <w:r>
              <w:rPr>
                <w:sz w:val="20"/>
                <w:szCs w:val="20"/>
              </w:rPr>
              <w:t xml:space="preserve">raw; low skew</w:t>
            </w:r>
          </w:p>
        </w:tc>
      </w:tr>
      <w:tr>
        <w:tc>
          <w:tcPr>
            <w:tcW w:w="2300" w:type="dxa"/>
            <w:tcMar>
              <w:top w:w="90" w:type="dxa"/>
              <w:bottom w:w="90" w:type="dxa"/>
              <w:start w:w="120" w:type="dxa"/>
              <w:end w:w="120" w:type="dxa"/>
            </w:tcMar>
          </w:tcPr>
          <w:p>
            <w:pPr>
              <w:spacing w:after="40"/>
            </w:pPr>
            <w:r>
              <w:rPr>
                <w:sz w:val="20"/>
                <w:szCs w:val="20"/>
              </w:rPr>
              <w:t xml:space="preserve">deployment_count</w:t>
            </w:r>
          </w:p>
        </w:tc>
        <w:tc>
          <w:tcPr>
            <w:tcW w:w="1150" w:type="dxa"/>
            <w:tcMar>
              <w:top w:w="90" w:type="dxa"/>
              <w:bottom w:w="90" w:type="dxa"/>
              <w:start w:w="120" w:type="dxa"/>
              <w:end w:w="120" w:type="dxa"/>
            </w:tcMar>
          </w:tcPr>
          <w:p>
            <w:pPr>
              <w:jc w:val="center"/>
              <w:spacing w:after="40"/>
            </w:pPr>
            <w:r>
              <w:rPr>
                <w:sz w:val="20"/>
                <w:szCs w:val="20"/>
              </w:rPr>
              <w:t xml:space="preserve">25.0</w:t>
            </w:r>
          </w:p>
        </w:tc>
        <w:tc>
          <w:tcPr>
            <w:tcW w:w="1150" w:type="dxa"/>
            <w:tcMar>
              <w:top w:w="90" w:type="dxa"/>
              <w:bottom w:w="90" w:type="dxa"/>
              <w:start w:w="120" w:type="dxa"/>
              <w:end w:w="120" w:type="dxa"/>
            </w:tcMar>
          </w:tcPr>
          <w:p>
            <w:pPr>
              <w:jc w:val="center"/>
              <w:spacing w:after="40"/>
            </w:pPr>
            <w:r>
              <w:rPr>
                <w:sz w:val="20"/>
                <w:szCs w:val="20"/>
              </w:rPr>
              <w:t xml:space="preserve">44.0</w:t>
            </w:r>
          </w:p>
        </w:tc>
        <w:tc>
          <w:tcPr>
            <w:tcW w:w="1150" w:type="dxa"/>
            <w:tcMar>
              <w:top w:w="90" w:type="dxa"/>
              <w:bottom w:w="90" w:type="dxa"/>
              <w:start w:w="120" w:type="dxa"/>
              <w:end w:w="120" w:type="dxa"/>
            </w:tcMar>
          </w:tcPr>
          <w:p>
            <w:pPr>
              <w:jc w:val="center"/>
              <w:spacing w:after="40"/>
            </w:pPr>
            <w:r>
              <w:rPr>
                <w:sz w:val="20"/>
                <w:szCs w:val="20"/>
              </w:rPr>
              <w:t xml:space="preserve">51.0</w:t>
            </w:r>
          </w:p>
        </w:tc>
        <w:tc>
          <w:tcPr>
            <w:tcW w:w="1150" w:type="dxa"/>
            <w:tcMar>
              <w:top w:w="90" w:type="dxa"/>
              <w:bottom w:w="90" w:type="dxa"/>
              <w:start w:w="120" w:type="dxa"/>
              <w:end w:w="120" w:type="dxa"/>
            </w:tcMar>
          </w:tcPr>
          <w:p>
            <w:pPr>
              <w:jc w:val="center"/>
              <w:spacing w:after="40"/>
            </w:pPr>
            <w:r>
              <w:rPr>
                <w:sz w:val="20"/>
                <w:szCs w:val="20"/>
              </w:rPr>
              <w:t xml:space="preserve">0.29</w:t>
            </w:r>
          </w:p>
        </w:tc>
        <w:tc>
          <w:tcPr>
            <w:tcW w:w="2460" w:type="dxa"/>
            <w:tcMar>
              <w:top w:w="90" w:type="dxa"/>
              <w:bottom w:w="90" w:type="dxa"/>
              <w:start w:w="120" w:type="dxa"/>
              <w:end w:w="120" w:type="dxa"/>
            </w:tcMar>
          </w:tcPr>
          <w:p>
            <w:pPr>
              <w:jc w:val="center"/>
              <w:spacing w:after="40"/>
            </w:pPr>
            <w:r>
              <w:rPr>
                <w:sz w:val="20"/>
                <w:szCs w:val="20"/>
              </w:rPr>
              <w:t xml:space="preserve">raw; low skew</w:t>
            </w:r>
          </w:p>
        </w:tc>
      </w:tr>
    </w:tbl>
    <w:p>
      <w:pPr>
        <w:spacing w:after="160"/>
      </w:pPr>
    </w:p>
    <w:tbl>
      <w:tblPr>
        <w:tblW w:w="9360" w:type="dxa"/>
        <w:tblInd w:w="120" w:type="dxa"/>
        <w:tblLayout w:type="fixed"/>
        <w:shd w:fill="F4F6F9"/>
        <w:tblBorders>
          <w:top w:val="single" w:sz="4" w:space="0" w:color="D0D7DE"/>
          <w:left w:val="single" w:sz="4" w:space="0" w:color="D0D7DE"/>
          <w:bottom w:val="single" w:sz="4" w:space="0" w:color="D0D7DE"/>
          <w:right w:val="single" w:sz="4" w:space="0" w:color="D0D7DE"/>
          <w:insideH w:val="single" w:sz="4" w:space="0" w:color="E5E7EB"/>
          <w:insideV w:val="single" w:sz="4" w:space="0" w:color="E5E7EB"/>
        </w:tblBorders>
      </w:tblPr>
      <w:tblGrid>
        <w:gridCol w:w="9360"/>
      </w:tblGrid>
      <w:tr>
        <w:tc>
          <w:tcPr>
            <w:tcW w:w="9360" w:type="dxa"/>
            <w:tcMar>
              <w:top w:w="90" w:type="dxa"/>
              <w:bottom w:w="90" w:type="dxa"/>
              <w:start w:w="120" w:type="dxa"/>
              <w:end w:w="120" w:type="dxa"/>
            </w:tcMar>
          </w:tcPr>
          <w:p>
            <w:pPr>
              <w:spacing w:after="40"/>
            </w:pPr>
            <w:r>
              <w:rPr>
                <w:sz w:val="20"/>
                <w:szCs w:val="20"/>
              </w:rPr>
              <w:t xml:space="preserve">What this means: The percentile ranges justify the preprocessing: log-transform the financial-scale predictors, keep the operational maturity variables raw, and interpret extreme errors as a right-tail problem rather than as ordinary residual variation.</w:t>
            </w:r>
          </w:p>
        </w:tc>
      </w:tr>
    </w:tbl>
    <w:p>
      <w:pPr>
        <w:spacing w:after="160"/>
      </w:pPr>
    </w:p>
    <w:p>
      <w:r>
        <w:br w:type="page"/>
      </w:r>
    </w:p>
    <w:p>
      <w:pPr>
        <w:spacing w:after="60"/>
      </w:pPr>
    </w:p>
    <w:tbl>
      <w:tblPr>
        <w:tblW w:w="9360" w:type="dxa"/>
        <w:tblInd w:w="120" w:type="dxa"/>
        <w:tblLayout w:type="fixed"/>
        <w:shd w:fill="F4F6F9"/>
        <w:tblBorders>
          <w:top w:val="single" w:sz="6" w:space="0" w:color="A9B7C6"/>
          <w:left w:val="single" w:sz="6" w:space="0" w:color="A9B7C6"/>
          <w:bottom w:val="single" w:sz="6" w:space="0" w:color="A9B7C6"/>
          <w:right w:val="single" w:sz="6" w:space="0" w:color="A9B7C6"/>
          <w:insideH w:val="single" w:sz="4" w:space="0" w:color="E5E7EB"/>
          <w:insideV w:val="single" w:sz="4" w:space="0" w:color="E5E7EB"/>
        </w:tblBorders>
      </w:tblPr>
      <w:tblGrid>
        <w:gridCol w:w="9360"/>
      </w:tblGrid>
      <w:tr>
        <w:tc>
          <w:tcPr>
            <w:tcW w:w="9360" w:type="dxa"/>
            <w:shd w:fill="F4F6F9"/>
            <w:tcMar>
              <w:top w:w="140" w:type="dxa"/>
              <w:bottom w:w="140" w:type="dxa"/>
              <w:start w:w="160" w:type="dxa"/>
              <w:end w:w="160" w:type="dxa"/>
            </w:tcMar>
          </w:tcPr>
          <w:p>
            <w:pPr>
              <w:spacing w:after="40"/>
            </w:pPr>
            <w:r>
              <w:rPr>
                <w:b/>
                <w:sz w:val="21"/>
                <w:szCs w:val="21"/>
                <w:color w:val="0B2545"/>
              </w:rPr>
              <w:t xml:space="preserve">Final key takeaway: </w:t>
            </w:r>
            <w:r>
              <w:rPr>
                <w:sz w:val="21"/>
                <w:szCs w:val="21"/>
              </w:rPr>
              <w:t xml:space="preserve">The right tail is the central data issue. Cost savings has skewness 3.03 and P99 11.88M; AI investment has skewness 1.74 and P99 17.77M. These values justify log1p treatment for financial predictors before tree modeling.</w:t>
            </w:r>
          </w:p>
        </w:tc>
      </w:tr>
    </w:tbl>
    <w:p>
      <w:pPr>
        <w:spacing w:after="120"/>
      </w:pPr>
    </w:p>
    <w:p>
      <w:pPr>
        <w:pStyle w:val="Heading1"/>
      </w:pPr>
      <w:r>
        <w:t xml:space="preserve">5. Correlation Nonlinearity</w:t>
      </w:r>
    </w:p>
    <w:p>
      <w:r>
        <w:t xml:space="preserve">Pearson correlation checks straight-line movement. Spearman correlation checks ranked movement: whether higher feature ranks generally align with higher target ranks. When Spearman is higher than Pearson, the relationship is ordered but not perfectly linear. In this dataset, Spearman is higher for every model feature, so thresholds and percentile bins are useful even when a straight-line model is already strong.</w:t>
      </w:r>
    </w:p>
    <w:p>
      <w:pPr>
        <w:jc w:val="center"/>
        <w:spacing w:before="80" w:after="60"/>
      </w:pPr>
      <w:r>
        <w:drawing>
          <wp:inline distT="0" distB="0" distL="0" distR="0">
            <wp:extent cx="5715000" cy="2593098"/>
            <wp:effectExtent l="0" t="0" r="0" b="0"/>
            <wp:docPr id="5" name="corr.png"/>
            <wp:cNvGraphicFramePr>
              <a:graphicFrameLocks noChangeAspect="1"/>
            </wp:cNvGraphicFramePr>
            <a:graphic>
              <a:graphicData uri="http://schemas.openxmlformats.org/drawingml/2006/picture">
                <pic:pic>
                  <pic:nvPicPr>
                    <pic:cNvPr id="0" name="corr.png"/>
                    <pic:cNvPicPr/>
                  </pic:nvPicPr>
                  <pic:blipFill>
                    <a:blip r:embed="rIdImg5"/>
                    <a:stretch>
                      <a:fillRect/>
                    </a:stretch>
                  </pic:blipFill>
                  <pic:spPr>
                    <a:xfrm>
                      <a:off x="0" y="0"/>
                      <a:ext cx="5715000" cy="2593098"/>
                    </a:xfrm>
                    <a:prstGeom prst="rect">
                      <a:avLst/>
                    </a:prstGeom>
                  </pic:spPr>
                </pic:pic>
              </a:graphicData>
            </a:graphic>
          </wp:inline>
        </w:drawing>
      </w:r>
    </w:p>
    <w:p>
      <w:pPr>
        <w:pStyle w:val="Caption"/>
        <w:jc w:val="center"/>
      </w:pPr>
      <w:r>
        <w:t xml:space="preserve">Figure 5. Spearman exceeds Pearson for every model feature, supporting nonlinear or threshold-aware modeling.</w:t>
      </w:r>
    </w:p>
    <w:tbl>
      <w:tblPr>
        <w:tblW w:w="9360" w:type="dxa"/>
        <w:tblInd w:w="120" w:type="dxa"/>
        <w:tblLayout w:type="fixed"/>
        <w:tblBorders>
          <w:top w:val="single" w:sz="4" w:space="0" w:color="D0D7DE"/>
          <w:left w:val="single" w:sz="4" w:space="0" w:color="D0D7DE"/>
          <w:bottom w:val="single" w:sz="4" w:space="0" w:color="D0D7DE"/>
          <w:right w:val="single" w:sz="4" w:space="0" w:color="D0D7DE"/>
          <w:insideH w:val="single" w:sz="4" w:space="0" w:color="E5E7EB"/>
          <w:insideV w:val="single" w:sz="4" w:space="0" w:color="E5E7EB"/>
        </w:tblBorders>
      </w:tblPr>
      <w:tblGrid>
        <w:gridCol w:w="2250"/>
        <w:gridCol w:w="1150"/>
        <w:gridCol w:w="1150"/>
        <w:gridCol w:w="1000"/>
        <w:gridCol w:w="1700"/>
        <w:gridCol w:w="2110"/>
      </w:tblGrid>
      <w:tr>
        <w:tc>
          <w:tcPr>
            <w:tcW w:w="2250" w:type="dxa"/>
            <w:shd w:fill="F2F4F7"/>
            <w:tcMar>
              <w:top w:w="90" w:type="dxa"/>
              <w:bottom w:w="90" w:type="dxa"/>
              <w:start w:w="120" w:type="dxa"/>
              <w:end w:w="120" w:type="dxa"/>
            </w:tcMar>
          </w:tcPr>
          <w:p>
            <w:pPr>
              <w:spacing w:after="40"/>
            </w:pPr>
            <w:r>
              <w:rPr>
                <w:b/>
                <w:sz w:val="18"/>
                <w:szCs w:val="18"/>
              </w:rPr>
              <w:t xml:space="preserve">Feature</w:t>
            </w:r>
          </w:p>
        </w:tc>
        <w:tc>
          <w:tcPr>
            <w:tcW w:w="1150" w:type="dxa"/>
            <w:shd w:fill="F2F4F7"/>
            <w:tcMar>
              <w:top w:w="90" w:type="dxa"/>
              <w:bottom w:w="90" w:type="dxa"/>
              <w:start w:w="120" w:type="dxa"/>
              <w:end w:w="120" w:type="dxa"/>
            </w:tcMar>
          </w:tcPr>
          <w:p>
            <w:pPr>
              <w:jc w:val="center"/>
              <w:spacing w:after="40"/>
            </w:pPr>
            <w:r>
              <w:rPr>
                <w:b/>
                <w:sz w:val="18"/>
                <w:szCs w:val="18"/>
              </w:rPr>
              <w:t xml:space="preserve">Pearson</w:t>
            </w:r>
          </w:p>
        </w:tc>
        <w:tc>
          <w:tcPr>
            <w:tcW w:w="1150" w:type="dxa"/>
            <w:shd w:fill="F2F4F7"/>
            <w:tcMar>
              <w:top w:w="90" w:type="dxa"/>
              <w:bottom w:w="90" w:type="dxa"/>
              <w:start w:w="120" w:type="dxa"/>
              <w:end w:w="120" w:type="dxa"/>
            </w:tcMar>
          </w:tcPr>
          <w:p>
            <w:pPr>
              <w:jc w:val="center"/>
              <w:spacing w:after="40"/>
            </w:pPr>
            <w:r>
              <w:rPr>
                <w:b/>
                <w:sz w:val="18"/>
                <w:szCs w:val="18"/>
              </w:rPr>
              <w:t xml:space="preserve">Spearman</w:t>
            </w:r>
          </w:p>
        </w:tc>
        <w:tc>
          <w:tcPr>
            <w:tcW w:w="1000" w:type="dxa"/>
            <w:shd w:fill="F2F4F7"/>
            <w:tcMar>
              <w:top w:w="90" w:type="dxa"/>
              <w:bottom w:w="90" w:type="dxa"/>
              <w:start w:w="120" w:type="dxa"/>
              <w:end w:w="120" w:type="dxa"/>
            </w:tcMar>
          </w:tcPr>
          <w:p>
            <w:pPr>
              <w:jc w:val="center"/>
              <w:spacing w:after="40"/>
            </w:pPr>
            <w:r>
              <w:rPr>
                <w:b/>
                <w:sz w:val="18"/>
                <w:szCs w:val="18"/>
              </w:rPr>
              <w:t xml:space="preserve">Gap</w:t>
            </w:r>
          </w:p>
        </w:tc>
        <w:tc>
          <w:tcPr>
            <w:tcW w:w="1700" w:type="dxa"/>
            <w:shd w:fill="F2F4F7"/>
            <w:tcMar>
              <w:top w:w="90" w:type="dxa"/>
              <w:bottom w:w="90" w:type="dxa"/>
              <w:start w:w="120" w:type="dxa"/>
              <w:end w:w="120" w:type="dxa"/>
            </w:tcMar>
          </w:tcPr>
          <w:p>
            <w:pPr>
              <w:jc w:val="center"/>
              <w:spacing w:after="40"/>
            </w:pPr>
            <w:r>
              <w:rPr>
                <w:b/>
                <w:sz w:val="18"/>
                <w:szCs w:val="18"/>
              </w:rPr>
              <w:t xml:space="preserve">Best nonlinear lift</w:t>
            </w:r>
          </w:p>
        </w:tc>
        <w:tc>
          <w:tcPr>
            <w:tcW w:w="2110" w:type="dxa"/>
            <w:shd w:fill="F2F4F7"/>
            <w:tcMar>
              <w:top w:w="90" w:type="dxa"/>
              <w:bottom w:w="90" w:type="dxa"/>
              <w:start w:w="120" w:type="dxa"/>
              <w:end w:w="120" w:type="dxa"/>
            </w:tcMar>
          </w:tcPr>
          <w:p>
            <w:pPr>
              <w:jc w:val="center"/>
              <w:spacing w:after="40"/>
            </w:pPr>
            <w:r>
              <w:rPr>
                <w:b/>
                <w:sz w:val="18"/>
                <w:szCs w:val="18"/>
              </w:rPr>
              <w:t xml:space="preserve">Shape</w:t>
            </w:r>
          </w:p>
        </w:tc>
      </w:tr>
      <w:tr>
        <w:tc>
          <w:tcPr>
            <w:tcW w:w="2250" w:type="dxa"/>
            <w:tcMar>
              <w:top w:w="90" w:type="dxa"/>
              <w:bottom w:w="90" w:type="dxa"/>
              <w:start w:w="120" w:type="dxa"/>
              <w:end w:w="120" w:type="dxa"/>
            </w:tcMar>
          </w:tcPr>
          <w:p>
            <w:pPr>
              <w:spacing w:after="40"/>
            </w:pPr>
            <w:r>
              <w:rPr>
                <w:sz w:val="18"/>
                <w:szCs w:val="18"/>
              </w:rPr>
              <w:t xml:space="preserve">automation_rate</w:t>
            </w:r>
          </w:p>
        </w:tc>
        <w:tc>
          <w:tcPr>
            <w:tcW w:w="1150" w:type="dxa"/>
            <w:tcMar>
              <w:top w:w="90" w:type="dxa"/>
              <w:bottom w:w="90" w:type="dxa"/>
              <w:start w:w="120" w:type="dxa"/>
              <w:end w:w="120" w:type="dxa"/>
            </w:tcMar>
          </w:tcPr>
          <w:p>
            <w:pPr>
              <w:jc w:val="center"/>
              <w:spacing w:after="40"/>
            </w:pPr>
            <w:r>
              <w:rPr>
                <w:sz w:val="18"/>
                <w:szCs w:val="18"/>
              </w:rPr>
              <w:t xml:space="preserve">0.401</w:t>
            </w:r>
          </w:p>
        </w:tc>
        <w:tc>
          <w:tcPr>
            <w:tcW w:w="1150" w:type="dxa"/>
            <w:tcMar>
              <w:top w:w="90" w:type="dxa"/>
              <w:bottom w:w="90" w:type="dxa"/>
              <w:start w:w="120" w:type="dxa"/>
              <w:end w:w="120" w:type="dxa"/>
            </w:tcMar>
          </w:tcPr>
          <w:p>
            <w:pPr>
              <w:jc w:val="center"/>
              <w:spacing w:after="40"/>
            </w:pPr>
            <w:r>
              <w:rPr>
                <w:sz w:val="18"/>
                <w:szCs w:val="18"/>
              </w:rPr>
              <w:t xml:space="preserve">0.627</w:t>
            </w:r>
          </w:p>
        </w:tc>
        <w:tc>
          <w:tcPr>
            <w:tcW w:w="1000" w:type="dxa"/>
            <w:tcMar>
              <w:top w:w="90" w:type="dxa"/>
              <w:bottom w:w="90" w:type="dxa"/>
              <w:start w:w="120" w:type="dxa"/>
              <w:end w:w="120" w:type="dxa"/>
            </w:tcMar>
          </w:tcPr>
          <w:p>
            <w:pPr>
              <w:jc w:val="center"/>
              <w:spacing w:after="40"/>
            </w:pPr>
            <w:r>
              <w:rPr>
                <w:sz w:val="18"/>
                <w:szCs w:val="18"/>
              </w:rPr>
              <w:t xml:space="preserve">0.226</w:t>
            </w:r>
          </w:p>
        </w:tc>
        <w:tc>
          <w:tcPr>
            <w:tcW w:w="1700" w:type="dxa"/>
            <w:tcMar>
              <w:top w:w="90" w:type="dxa"/>
              <w:bottom w:w="90" w:type="dxa"/>
              <w:start w:w="120" w:type="dxa"/>
              <w:end w:w="120" w:type="dxa"/>
            </w:tcMar>
          </w:tcPr>
          <w:p>
            <w:pPr>
              <w:jc w:val="center"/>
              <w:spacing w:after="40"/>
            </w:pPr>
            <w:r>
              <w:rPr>
                <w:sz w:val="18"/>
                <w:szCs w:val="18"/>
              </w:rPr>
              <w:t xml:space="preserve">-0.0000</w:t>
            </w:r>
          </w:p>
        </w:tc>
        <w:tc>
          <w:tcPr>
            <w:tcW w:w="2110" w:type="dxa"/>
            <w:tcMar>
              <w:top w:w="90" w:type="dxa"/>
              <w:bottom w:w="90" w:type="dxa"/>
              <w:start w:w="120" w:type="dxa"/>
              <w:end w:w="120" w:type="dxa"/>
            </w:tcMar>
          </w:tcPr>
          <w:p>
            <w:pPr>
              <w:jc w:val="center"/>
              <w:spacing w:after="40"/>
            </w:pPr>
            <w:r>
              <w:rPr>
                <w:sz w:val="18"/>
                <w:szCs w:val="18"/>
              </w:rPr>
              <w:t xml:space="preserve">monotonic nonlinear</w:t>
            </w:r>
          </w:p>
        </w:tc>
      </w:tr>
      <w:tr>
        <w:tc>
          <w:tcPr>
            <w:tcW w:w="2250" w:type="dxa"/>
            <w:shd w:fill="FAFBFC"/>
            <w:tcMar>
              <w:top w:w="90" w:type="dxa"/>
              <w:bottom w:w="90" w:type="dxa"/>
              <w:start w:w="120" w:type="dxa"/>
              <w:end w:w="120" w:type="dxa"/>
            </w:tcMar>
          </w:tcPr>
          <w:p>
            <w:pPr>
              <w:spacing w:after="40"/>
            </w:pPr>
            <w:r>
              <w:rPr>
                <w:sz w:val="18"/>
                <w:szCs w:val="18"/>
              </w:rPr>
              <w:t xml:space="preserve">employee_ai_training_hours</w:t>
            </w:r>
          </w:p>
        </w:tc>
        <w:tc>
          <w:tcPr>
            <w:tcW w:w="1150" w:type="dxa"/>
            <w:shd w:fill="FAFBFC"/>
            <w:tcMar>
              <w:top w:w="90" w:type="dxa"/>
              <w:bottom w:w="90" w:type="dxa"/>
              <w:start w:w="120" w:type="dxa"/>
              <w:end w:w="120" w:type="dxa"/>
            </w:tcMar>
          </w:tcPr>
          <w:p>
            <w:pPr>
              <w:jc w:val="center"/>
              <w:spacing w:after="40"/>
            </w:pPr>
            <w:r>
              <w:rPr>
                <w:sz w:val="18"/>
                <w:szCs w:val="18"/>
              </w:rPr>
              <w:t xml:space="preserve">0.439</w:t>
            </w:r>
          </w:p>
        </w:tc>
        <w:tc>
          <w:tcPr>
            <w:tcW w:w="1150" w:type="dxa"/>
            <w:shd w:fill="FAFBFC"/>
            <w:tcMar>
              <w:top w:w="90" w:type="dxa"/>
              <w:bottom w:w="90" w:type="dxa"/>
              <w:start w:w="120" w:type="dxa"/>
              <w:end w:w="120" w:type="dxa"/>
            </w:tcMar>
          </w:tcPr>
          <w:p>
            <w:pPr>
              <w:jc w:val="center"/>
              <w:spacing w:after="40"/>
            </w:pPr>
            <w:r>
              <w:rPr>
                <w:sz w:val="18"/>
                <w:szCs w:val="18"/>
              </w:rPr>
              <w:t xml:space="preserve">0.634</w:t>
            </w:r>
          </w:p>
        </w:tc>
        <w:tc>
          <w:tcPr>
            <w:tcW w:w="1000" w:type="dxa"/>
            <w:shd w:fill="FAFBFC"/>
            <w:tcMar>
              <w:top w:w="90" w:type="dxa"/>
              <w:bottom w:w="90" w:type="dxa"/>
              <w:start w:w="120" w:type="dxa"/>
              <w:end w:w="120" w:type="dxa"/>
            </w:tcMar>
          </w:tcPr>
          <w:p>
            <w:pPr>
              <w:jc w:val="center"/>
              <w:spacing w:after="40"/>
            </w:pPr>
            <w:r>
              <w:rPr>
                <w:sz w:val="18"/>
                <w:szCs w:val="18"/>
              </w:rPr>
              <w:t xml:space="preserve">0.194</w:t>
            </w:r>
          </w:p>
        </w:tc>
        <w:tc>
          <w:tcPr>
            <w:tcW w:w="1700" w:type="dxa"/>
            <w:shd w:fill="FAFBFC"/>
            <w:tcMar>
              <w:top w:w="90" w:type="dxa"/>
              <w:bottom w:w="90" w:type="dxa"/>
              <w:start w:w="120" w:type="dxa"/>
              <w:end w:w="120" w:type="dxa"/>
            </w:tcMar>
          </w:tcPr>
          <w:p>
            <w:pPr>
              <w:jc w:val="center"/>
              <w:spacing w:after="40"/>
            </w:pPr>
            <w:r>
              <w:rPr>
                <w:sz w:val="18"/>
                <w:szCs w:val="18"/>
              </w:rPr>
              <w:t xml:space="preserve">0.0075</w:t>
            </w:r>
          </w:p>
        </w:tc>
        <w:tc>
          <w:tcPr>
            <w:tcW w:w="2110" w:type="dxa"/>
            <w:shd w:fill="FAFBFC"/>
            <w:tcMar>
              <w:top w:w="90" w:type="dxa"/>
              <w:bottom w:w="90" w:type="dxa"/>
              <w:start w:w="120" w:type="dxa"/>
              <w:end w:w="120" w:type="dxa"/>
            </w:tcMar>
          </w:tcPr>
          <w:p>
            <w:pPr>
              <w:jc w:val="center"/>
              <w:spacing w:after="40"/>
            </w:pPr>
            <w:r>
              <w:rPr>
                <w:sz w:val="18"/>
                <w:szCs w:val="18"/>
              </w:rPr>
              <w:t xml:space="preserve">monotonic nonlinear</w:t>
            </w:r>
          </w:p>
        </w:tc>
      </w:tr>
      <w:tr>
        <w:tc>
          <w:tcPr>
            <w:tcW w:w="2250" w:type="dxa"/>
            <w:tcMar>
              <w:top w:w="90" w:type="dxa"/>
              <w:bottom w:w="90" w:type="dxa"/>
              <w:start w:w="120" w:type="dxa"/>
              <w:end w:w="120" w:type="dxa"/>
            </w:tcMar>
          </w:tcPr>
          <w:p>
            <w:pPr>
              <w:spacing w:after="40"/>
            </w:pPr>
            <w:r>
              <w:rPr>
                <w:sz w:val="18"/>
                <w:szCs w:val="18"/>
              </w:rPr>
              <w:t xml:space="preserve">deployment_count</w:t>
            </w:r>
          </w:p>
        </w:tc>
        <w:tc>
          <w:tcPr>
            <w:tcW w:w="1150" w:type="dxa"/>
            <w:tcMar>
              <w:top w:w="90" w:type="dxa"/>
              <w:bottom w:w="90" w:type="dxa"/>
              <w:start w:w="120" w:type="dxa"/>
              <w:end w:w="120" w:type="dxa"/>
            </w:tcMar>
          </w:tcPr>
          <w:p>
            <w:pPr>
              <w:jc w:val="center"/>
              <w:spacing w:after="40"/>
            </w:pPr>
            <w:r>
              <w:rPr>
                <w:sz w:val="18"/>
                <w:szCs w:val="18"/>
              </w:rPr>
              <w:t xml:space="preserve">0.400</w:t>
            </w:r>
          </w:p>
        </w:tc>
        <w:tc>
          <w:tcPr>
            <w:tcW w:w="1150" w:type="dxa"/>
            <w:tcMar>
              <w:top w:w="90" w:type="dxa"/>
              <w:bottom w:w="90" w:type="dxa"/>
              <w:start w:w="120" w:type="dxa"/>
              <w:end w:w="120" w:type="dxa"/>
            </w:tcMar>
          </w:tcPr>
          <w:p>
            <w:pPr>
              <w:jc w:val="center"/>
              <w:spacing w:after="40"/>
            </w:pPr>
            <w:r>
              <w:rPr>
                <w:sz w:val="18"/>
                <w:szCs w:val="18"/>
              </w:rPr>
              <w:t xml:space="preserve">0.582</w:t>
            </w:r>
          </w:p>
        </w:tc>
        <w:tc>
          <w:tcPr>
            <w:tcW w:w="1000" w:type="dxa"/>
            <w:tcMar>
              <w:top w:w="90" w:type="dxa"/>
              <w:bottom w:w="90" w:type="dxa"/>
              <w:start w:w="120" w:type="dxa"/>
              <w:end w:w="120" w:type="dxa"/>
            </w:tcMar>
          </w:tcPr>
          <w:p>
            <w:pPr>
              <w:jc w:val="center"/>
              <w:spacing w:after="40"/>
            </w:pPr>
            <w:r>
              <w:rPr>
                <w:sz w:val="18"/>
                <w:szCs w:val="18"/>
              </w:rPr>
              <w:t xml:space="preserve">0.182</w:t>
            </w:r>
          </w:p>
        </w:tc>
        <w:tc>
          <w:tcPr>
            <w:tcW w:w="1700" w:type="dxa"/>
            <w:tcMar>
              <w:top w:w="90" w:type="dxa"/>
              <w:bottom w:w="90" w:type="dxa"/>
              <w:start w:w="120" w:type="dxa"/>
              <w:end w:w="120" w:type="dxa"/>
            </w:tcMar>
          </w:tcPr>
          <w:p>
            <w:pPr>
              <w:jc w:val="center"/>
              <w:spacing w:after="40"/>
            </w:pPr>
            <w:r>
              <w:rPr>
                <w:sz w:val="18"/>
                <w:szCs w:val="18"/>
              </w:rPr>
              <w:t xml:space="preserve">0.0012</w:t>
            </w:r>
          </w:p>
        </w:tc>
        <w:tc>
          <w:tcPr>
            <w:tcW w:w="2110" w:type="dxa"/>
            <w:tcMar>
              <w:top w:w="90" w:type="dxa"/>
              <w:bottom w:w="90" w:type="dxa"/>
              <w:start w:w="120" w:type="dxa"/>
              <w:end w:w="120" w:type="dxa"/>
            </w:tcMar>
          </w:tcPr>
          <w:p>
            <w:pPr>
              <w:jc w:val="center"/>
              <w:spacing w:after="40"/>
            </w:pPr>
            <w:r>
              <w:rPr>
                <w:sz w:val="18"/>
                <w:szCs w:val="18"/>
              </w:rPr>
              <w:t xml:space="preserve">monotonic nonlinear</w:t>
            </w:r>
          </w:p>
        </w:tc>
      </w:tr>
      <w:tr>
        <w:tc>
          <w:tcPr>
            <w:tcW w:w="2250" w:type="dxa"/>
            <w:shd w:fill="FAFBFC"/>
            <w:tcMar>
              <w:top w:w="90" w:type="dxa"/>
              <w:bottom w:w="90" w:type="dxa"/>
              <w:start w:w="120" w:type="dxa"/>
              <w:end w:w="120" w:type="dxa"/>
            </w:tcMar>
          </w:tcPr>
          <w:p>
            <w:pPr>
              <w:spacing w:after="40"/>
            </w:pPr>
            <w:r>
              <w:rPr>
                <w:sz w:val="18"/>
                <w:szCs w:val="18"/>
              </w:rPr>
              <w:t xml:space="preserve">ai_investment_usd</w:t>
            </w:r>
          </w:p>
        </w:tc>
        <w:tc>
          <w:tcPr>
            <w:tcW w:w="1150" w:type="dxa"/>
            <w:shd w:fill="FAFBFC"/>
            <w:tcMar>
              <w:top w:w="90" w:type="dxa"/>
              <w:bottom w:w="90" w:type="dxa"/>
              <w:start w:w="120" w:type="dxa"/>
              <w:end w:w="120" w:type="dxa"/>
            </w:tcMar>
          </w:tcPr>
          <w:p>
            <w:pPr>
              <w:jc w:val="center"/>
              <w:spacing w:after="40"/>
            </w:pPr>
            <w:r>
              <w:rPr>
                <w:sz w:val="18"/>
                <w:szCs w:val="18"/>
              </w:rPr>
              <w:t xml:space="preserve">0.674</w:t>
            </w:r>
          </w:p>
        </w:tc>
        <w:tc>
          <w:tcPr>
            <w:tcW w:w="1150" w:type="dxa"/>
            <w:shd w:fill="FAFBFC"/>
            <w:tcMar>
              <w:top w:w="90" w:type="dxa"/>
              <w:bottom w:w="90" w:type="dxa"/>
              <w:start w:w="120" w:type="dxa"/>
              <w:end w:w="120" w:type="dxa"/>
            </w:tcMar>
          </w:tcPr>
          <w:p>
            <w:pPr>
              <w:jc w:val="center"/>
              <w:spacing w:after="40"/>
            </w:pPr>
            <w:r>
              <w:rPr>
                <w:sz w:val="18"/>
                <w:szCs w:val="18"/>
              </w:rPr>
              <w:t xml:space="preserve">0.839</w:t>
            </w:r>
          </w:p>
        </w:tc>
        <w:tc>
          <w:tcPr>
            <w:tcW w:w="1000" w:type="dxa"/>
            <w:shd w:fill="FAFBFC"/>
            <w:tcMar>
              <w:top w:w="90" w:type="dxa"/>
              <w:bottom w:w="90" w:type="dxa"/>
              <w:start w:w="120" w:type="dxa"/>
              <w:end w:w="120" w:type="dxa"/>
            </w:tcMar>
          </w:tcPr>
          <w:p>
            <w:pPr>
              <w:jc w:val="center"/>
              <w:spacing w:after="40"/>
            </w:pPr>
            <w:r>
              <w:rPr>
                <w:sz w:val="18"/>
                <w:szCs w:val="18"/>
              </w:rPr>
              <w:t xml:space="preserve">0.165</w:t>
            </w:r>
          </w:p>
        </w:tc>
        <w:tc>
          <w:tcPr>
            <w:tcW w:w="1700" w:type="dxa"/>
            <w:shd w:fill="FAFBFC"/>
            <w:tcMar>
              <w:top w:w="90" w:type="dxa"/>
              <w:bottom w:w="90" w:type="dxa"/>
              <w:start w:w="120" w:type="dxa"/>
              <w:end w:w="120" w:type="dxa"/>
            </w:tcMar>
          </w:tcPr>
          <w:p>
            <w:pPr>
              <w:jc w:val="center"/>
              <w:spacing w:after="40"/>
            </w:pPr>
            <w:r>
              <w:rPr>
                <w:sz w:val="18"/>
                <w:szCs w:val="18"/>
              </w:rPr>
              <w:t xml:space="preserve">0.0027</w:t>
            </w:r>
          </w:p>
        </w:tc>
        <w:tc>
          <w:tcPr>
            <w:tcW w:w="2110" w:type="dxa"/>
            <w:shd w:fill="FAFBFC"/>
            <w:tcMar>
              <w:top w:w="90" w:type="dxa"/>
              <w:bottom w:w="90" w:type="dxa"/>
              <w:start w:w="120" w:type="dxa"/>
              <w:end w:w="120" w:type="dxa"/>
            </w:tcMar>
          </w:tcPr>
          <w:p>
            <w:pPr>
              <w:jc w:val="center"/>
              <w:spacing w:after="40"/>
            </w:pPr>
            <w:r>
              <w:rPr>
                <w:sz w:val="18"/>
                <w:szCs w:val="18"/>
              </w:rPr>
              <w:t xml:space="preserve">monotonic nonlinear</w:t>
            </w:r>
          </w:p>
        </w:tc>
      </w:tr>
      <w:tr>
        <w:tc>
          <w:tcPr>
            <w:tcW w:w="2250" w:type="dxa"/>
            <w:tcMar>
              <w:top w:w="90" w:type="dxa"/>
              <w:bottom w:w="90" w:type="dxa"/>
              <w:start w:w="120" w:type="dxa"/>
              <w:end w:w="120" w:type="dxa"/>
            </w:tcMar>
          </w:tcPr>
          <w:p>
            <w:pPr>
              <w:spacing w:after="40"/>
            </w:pPr>
            <w:r>
              <w:rPr>
                <w:sz w:val="18"/>
                <w:szCs w:val="18"/>
              </w:rPr>
              <w:t xml:space="preserve">cost_savings</w:t>
            </w:r>
          </w:p>
        </w:tc>
        <w:tc>
          <w:tcPr>
            <w:tcW w:w="1150" w:type="dxa"/>
            <w:tcMar>
              <w:top w:w="90" w:type="dxa"/>
              <w:bottom w:w="90" w:type="dxa"/>
              <w:start w:w="120" w:type="dxa"/>
              <w:end w:w="120" w:type="dxa"/>
            </w:tcMar>
          </w:tcPr>
          <w:p>
            <w:pPr>
              <w:jc w:val="center"/>
              <w:spacing w:after="40"/>
            </w:pPr>
            <w:r>
              <w:rPr>
                <w:sz w:val="18"/>
                <w:szCs w:val="18"/>
              </w:rPr>
              <w:t xml:space="preserve">0.703</w:t>
            </w:r>
          </w:p>
        </w:tc>
        <w:tc>
          <w:tcPr>
            <w:tcW w:w="1150" w:type="dxa"/>
            <w:tcMar>
              <w:top w:w="90" w:type="dxa"/>
              <w:bottom w:w="90" w:type="dxa"/>
              <w:start w:w="120" w:type="dxa"/>
              <w:end w:w="120" w:type="dxa"/>
            </w:tcMar>
          </w:tcPr>
          <w:p>
            <w:pPr>
              <w:jc w:val="center"/>
              <w:spacing w:after="40"/>
            </w:pPr>
            <w:r>
              <w:rPr>
                <w:sz w:val="18"/>
                <w:szCs w:val="18"/>
              </w:rPr>
              <w:t xml:space="preserve">0.847</w:t>
            </w:r>
          </w:p>
        </w:tc>
        <w:tc>
          <w:tcPr>
            <w:tcW w:w="1000" w:type="dxa"/>
            <w:tcMar>
              <w:top w:w="90" w:type="dxa"/>
              <w:bottom w:w="90" w:type="dxa"/>
              <w:start w:w="120" w:type="dxa"/>
              <w:end w:w="120" w:type="dxa"/>
            </w:tcMar>
          </w:tcPr>
          <w:p>
            <w:pPr>
              <w:jc w:val="center"/>
              <w:spacing w:after="40"/>
            </w:pPr>
            <w:r>
              <w:rPr>
                <w:sz w:val="18"/>
                <w:szCs w:val="18"/>
              </w:rPr>
              <w:t xml:space="preserve">0.144</w:t>
            </w:r>
          </w:p>
        </w:tc>
        <w:tc>
          <w:tcPr>
            <w:tcW w:w="1700" w:type="dxa"/>
            <w:tcMar>
              <w:top w:w="90" w:type="dxa"/>
              <w:bottom w:w="90" w:type="dxa"/>
              <w:start w:w="120" w:type="dxa"/>
              <w:end w:w="120" w:type="dxa"/>
            </w:tcMar>
          </w:tcPr>
          <w:p>
            <w:pPr>
              <w:jc w:val="center"/>
              <w:spacing w:after="40"/>
            </w:pPr>
            <w:r>
              <w:rPr>
                <w:sz w:val="18"/>
                <w:szCs w:val="18"/>
              </w:rPr>
              <w:t xml:space="preserve">0.0034</w:t>
            </w:r>
          </w:p>
        </w:tc>
        <w:tc>
          <w:tcPr>
            <w:tcW w:w="2110" w:type="dxa"/>
            <w:tcMar>
              <w:top w:w="90" w:type="dxa"/>
              <w:bottom w:w="90" w:type="dxa"/>
              <w:start w:w="120" w:type="dxa"/>
              <w:end w:w="120" w:type="dxa"/>
            </w:tcMar>
          </w:tcPr>
          <w:p>
            <w:pPr>
              <w:jc w:val="center"/>
              <w:spacing w:after="40"/>
            </w:pPr>
            <w:r>
              <w:rPr>
                <w:sz w:val="18"/>
                <w:szCs w:val="18"/>
              </w:rPr>
              <w:t xml:space="preserve">monotonic nonlinear</w:t>
            </w:r>
          </w:p>
        </w:tc>
      </w:tr>
    </w:tbl>
    <w:p>
      <w:pPr>
        <w:spacing w:after="160"/>
      </w:pPr>
    </w:p>
    <w:p>
      <w:r>
        <w:t xml:space="preserve">The near-zero correlation audit does not reveal hidden model-feature relationships with zero or near-zero Pearson correlation. In the exported model-feature set, the smallest Pearson values are still around 0.40, and the pairwise near-zero nonlinearity table has no candidate rows. That does not mean future variables cannot have hidden nonlinear signal; it means this current five-feature model does not contain a near-zero-correlation feature that becomes important only after nonlinear testing.</w:t>
      </w:r>
    </w:p>
    <w:tbl>
      <w:tblPr>
        <w:tblW w:w="9360" w:type="dxa"/>
        <w:tblInd w:w="120" w:type="dxa"/>
        <w:tblLayout w:type="fixed"/>
        <w:shd w:fill="F4F6F9"/>
        <w:tblBorders>
          <w:top w:val="single" w:sz="4" w:space="0" w:color="D0D7DE"/>
          <w:left w:val="single" w:sz="4" w:space="0" w:color="D0D7DE"/>
          <w:bottom w:val="single" w:sz="4" w:space="0" w:color="D0D7DE"/>
          <w:right w:val="single" w:sz="4" w:space="0" w:color="D0D7DE"/>
          <w:insideH w:val="single" w:sz="4" w:space="0" w:color="E5E7EB"/>
          <w:insideV w:val="single" w:sz="4" w:space="0" w:color="E5E7EB"/>
        </w:tblBorders>
      </w:tblPr>
      <w:tblGrid>
        <w:gridCol w:w="9360"/>
      </w:tblGrid>
      <w:tr>
        <w:tc>
          <w:tcPr>
            <w:tcW w:w="9360" w:type="dxa"/>
            <w:tcMar>
              <w:top w:w="90" w:type="dxa"/>
              <w:bottom w:w="90" w:type="dxa"/>
              <w:start w:w="120" w:type="dxa"/>
              <w:end w:w="120" w:type="dxa"/>
            </w:tcMar>
          </w:tcPr>
          <w:p>
            <w:pPr>
              <w:spacing w:after="40"/>
            </w:pPr>
            <w:r>
              <w:rPr>
                <w:sz w:val="20"/>
                <w:szCs w:val="20"/>
              </w:rPr>
              <w:t xml:space="preserve">Example: Automation rate is not near zero: Pearson is 0.401 and Spearman is 0.627. Its straight-line association is moderate, while the rank association is stronger, so it belongs in threshold and interaction checks even though it is weaker than cost savings and AI investment.</w:t>
            </w:r>
          </w:p>
        </w:tc>
      </w:tr>
    </w:tbl>
    <w:p>
      <w:pPr>
        <w:spacing w:after="160"/>
      </w:pPr>
    </w:p>
    <w:p>
      <w:pPr>
        <w:spacing w:after="60"/>
      </w:pPr>
    </w:p>
    <w:tbl>
      <w:tblPr>
        <w:tblW w:w="9360" w:type="dxa"/>
        <w:tblInd w:w="120" w:type="dxa"/>
        <w:tblLayout w:type="fixed"/>
        <w:shd w:fill="F4F6F9"/>
        <w:tblBorders>
          <w:top w:val="single" w:sz="6" w:space="0" w:color="A9B7C6"/>
          <w:left w:val="single" w:sz="6" w:space="0" w:color="A9B7C6"/>
          <w:bottom w:val="single" w:sz="6" w:space="0" w:color="A9B7C6"/>
          <w:right w:val="single" w:sz="6" w:space="0" w:color="A9B7C6"/>
          <w:insideH w:val="single" w:sz="4" w:space="0" w:color="E5E7EB"/>
          <w:insideV w:val="single" w:sz="4" w:space="0" w:color="E5E7EB"/>
        </w:tblBorders>
      </w:tblPr>
      <w:tblGrid>
        <w:gridCol w:w="9360"/>
      </w:tblGrid>
      <w:tr>
        <w:tc>
          <w:tcPr>
            <w:tcW w:w="9360" w:type="dxa"/>
            <w:shd w:fill="F4F6F9"/>
            <w:tcMar>
              <w:top w:w="140" w:type="dxa"/>
              <w:bottom w:w="140" w:type="dxa"/>
              <w:start w:w="160" w:type="dxa"/>
              <w:end w:w="160" w:type="dxa"/>
            </w:tcMar>
          </w:tcPr>
          <w:p>
            <w:pPr>
              <w:spacing w:after="40"/>
            </w:pPr>
            <w:r>
              <w:rPr>
                <w:b/>
                <w:sz w:val="21"/>
                <w:szCs w:val="21"/>
                <w:color w:val="0B2545"/>
              </w:rPr>
              <w:t xml:space="preserve">Final key takeaway: </w:t>
            </w:r>
            <w:r>
              <w:rPr>
                <w:sz w:val="21"/>
                <w:szCs w:val="21"/>
              </w:rPr>
              <w:t xml:space="preserve">The current five model features do not hide near-zero Pearson relationships, but they do show monotonic nonlinear structure. The smallest absolute model-feature Pearson is about 0.400; the largest Spearman-Pearson gap is automation_rate at 0.226.</w:t>
            </w:r>
          </w:p>
        </w:tc>
      </w:tr>
    </w:tbl>
    <w:p>
      <w:pPr>
        <w:spacing w:after="120"/>
      </w:pPr>
    </w:p>
    <w:p>
      <w:pPr>
        <w:pStyle w:val="Heading1"/>
      </w:pPr>
      <w:r>
        <w:t xml:space="preserve">6. Decision Tree Thought Process</w:t>
      </w:r>
    </w:p>
    <w:p>
      <w:r>
        <w:t xml:space="preserve">The diagnostic decision tree asks one question at a time: which split reduces the remaining target variance the most? A split is a threshold question; a leaf is the average prediction for rows that follow the full path. The root split is cost_savings &lt;= 3.63M because it creates the strongest first separation between lower-impact and higher-impact observations. From there, the tree only continues where the next split improves node variance by more than the 5% stopping rule.</w:t>
      </w:r>
    </w:p>
    <w:tbl>
      <w:tblPr>
        <w:tblW w:w="9360" w:type="dxa"/>
        <w:tblInd w:w="120" w:type="dxa"/>
        <w:tblLayout w:type="fixed"/>
        <w:shd w:fill="F4F6F9"/>
        <w:tblBorders>
          <w:top w:val="single" w:sz="4" w:space="0" w:color="D0D7DE"/>
          <w:left w:val="single" w:sz="4" w:space="0" w:color="D0D7DE"/>
          <w:bottom w:val="single" w:sz="4" w:space="0" w:color="D0D7DE"/>
          <w:right w:val="single" w:sz="4" w:space="0" w:color="D0D7DE"/>
          <w:insideH w:val="single" w:sz="4" w:space="0" w:color="E5E7EB"/>
          <w:insideV w:val="single" w:sz="4" w:space="0" w:color="E5E7EB"/>
        </w:tblBorders>
      </w:tblPr>
      <w:tblGrid>
        <w:gridCol w:w="9360"/>
      </w:tblGrid>
      <w:tr>
        <w:tc>
          <w:tcPr>
            <w:tcW w:w="9360" w:type="dxa"/>
            <w:tcMar>
              <w:top w:w="90" w:type="dxa"/>
              <w:bottom w:w="90" w:type="dxa"/>
              <w:start w:w="120" w:type="dxa"/>
              <w:end w:w="120" w:type="dxa"/>
            </w:tcMar>
          </w:tcPr>
          <w:p>
            <w:pPr>
              <w:spacing w:after="40"/>
            </w:pPr>
            <w:r>
              <w:rPr>
                <w:sz w:val="20"/>
                <w:szCs w:val="20"/>
              </w:rPr>
              <w:t xml:space="preserve">How to read it: A split is a threshold question. A leaf is the predicted revenue impact for rows that satisfy the full path. The tree stops when the next candidate split has node variance gain at or below 5%.</w:t>
            </w:r>
          </w:p>
        </w:tc>
      </w:tr>
    </w:tbl>
    <w:p>
      <w:pPr>
        <w:spacing w:after="160"/>
      </w:pPr>
    </w:p>
    <w:p>
      <w:pPr>
        <w:pStyle w:val="Heading2"/>
      </w:pPr>
      <w:r>
        <w:t xml:space="preserve">Readable Branch Map</w:t>
      </w:r>
    </w:p>
    <w:tbl>
      <w:tblPr>
        <w:tblW w:w="9360" w:type="dxa"/>
        <w:tblInd w:w="120" w:type="dxa"/>
        <w:tblLayout w:type="fixed"/>
        <w:tblBorders>
          <w:top w:val="single" w:sz="4" w:space="0" w:color="D0D7DE"/>
          <w:left w:val="single" w:sz="4" w:space="0" w:color="D0D7DE"/>
          <w:bottom w:val="single" w:sz="4" w:space="0" w:color="D0D7DE"/>
          <w:right w:val="single" w:sz="4" w:space="0" w:color="D0D7DE"/>
          <w:insideH w:val="single" w:sz="4" w:space="0" w:color="E5E7EB"/>
          <w:insideV w:val="single" w:sz="4" w:space="0" w:color="E5E7EB"/>
        </w:tblBorders>
      </w:tblPr>
      <w:tblGrid>
        <w:gridCol w:w="9360"/>
      </w:tblGrid>
      <w:tr>
        <w:tc>
          <w:tcPr>
            <w:tcW w:w="9360" w:type="dxa"/>
            <w:tcMar>
              <w:top w:w="90" w:type="dxa"/>
              <w:bottom w:w="90" w:type="dxa"/>
              <w:start w:w="120" w:type="dxa"/>
              <w:end w:w="120" w:type="dxa"/>
            </w:tcMar>
          </w:tcPr>
          <w:p>
            <w:pPr>
              <w:spacing w:after="40"/>
            </w:pPr>
            <w:r>
              <w:rPr>
                <w:rFonts w:ascii="Courier New" w:hAnsi="Courier New"/>
                <w:sz w:val="18"/>
                <w:szCs w:val="18"/>
              </w:rPr>
              <w:t xml:space="preserve">All training rows: pred 2.58M</w:t>
              <w:br/>
              <w:t xml:space="preserve">|-- cost_savings &lt;= 3.63M: pred 1.57M</w:t>
              <w:br/>
              <w:t xml:space="preserve">|   |-- cost_savings &lt;= 1.51M: pred 831.31K</w:t>
              <w:br/>
              <w:t xml:space="preserve">|   |   |-- cost_savings &lt;= 777K: pred 455.36K</w:t>
              <w:br/>
              <w:t xml:space="preserve">|   |   |   |-- cost_savings &lt;= 247K -&gt; leaf 162.64K</w:t>
              <w:br/>
              <w:t xml:space="preserve">|   |   |   |-- 247K to 777K, refined by AI investment -&gt; 599.91K to 853.85K</w:t>
              <w:br/>
              <w:t xml:space="preserve">|   |   |-- 777K to 1.51M, refined by AI investment and training -&gt; 1.07M to 2.26M</w:t>
              <w:br/>
              <w:t xml:space="preserve">|   |-- 1.51M to 3.63M, refined by AI investment -&gt; 2.47M to 3.91M</w:t>
              <w:br/>
              <w:t xml:space="preserve">|-- cost_savings &gt; 3.63M: pred 7.60M</w:t>
              <w:br/>
              <w:t xml:space="preserve">    |-- 3.63M to 6.87M -&gt; leaf 6.02M, stop 4.0%</w:t>
              <w:br/>
              <w:t xml:space="preserve">    |-- 6.87M to 12.55M -&gt; leaf 10.65M, stop 3.2%</w:t>
              <w:br/>
              <w:t xml:space="preserve">    |-- cost_savings &gt; 12.55M -&gt; leaf 16.65M, stop 2.7%</w:t>
            </w:r>
          </w:p>
        </w:tc>
      </w:tr>
    </w:tbl>
    <w:p>
      <w:pPr>
        <w:spacing w:after="160"/>
      </w:pPr>
    </w:p>
    <w:tbl>
      <w:tblPr>
        <w:tblW w:w="9360" w:type="dxa"/>
        <w:tblInd w:w="120" w:type="dxa"/>
        <w:tblLayout w:type="fixed"/>
        <w:tblBorders>
          <w:top w:val="single" w:sz="4" w:space="0" w:color="D0D7DE"/>
          <w:left w:val="single" w:sz="4" w:space="0" w:color="D0D7DE"/>
          <w:bottom w:val="single" w:sz="4" w:space="0" w:color="D0D7DE"/>
          <w:right w:val="single" w:sz="4" w:space="0" w:color="D0D7DE"/>
          <w:insideH w:val="single" w:sz="4" w:space="0" w:color="E5E7EB"/>
          <w:insideV w:val="single" w:sz="4" w:space="0" w:color="E5E7EB"/>
        </w:tblBorders>
      </w:tblPr>
      <w:tblGrid>
        <w:gridCol w:w="1300"/>
        <w:gridCol w:w="2450"/>
        <w:gridCol w:w="1000"/>
        <w:gridCol w:w="1150"/>
        <w:gridCol w:w="1350"/>
        <w:gridCol w:w="2110"/>
      </w:tblGrid>
      <w:tr>
        <w:tc>
          <w:tcPr>
            <w:tcW w:w="1300" w:type="dxa"/>
            <w:shd w:fill="F2F4F7"/>
            <w:tcMar>
              <w:top w:w="90" w:type="dxa"/>
              <w:bottom w:w="90" w:type="dxa"/>
              <w:start w:w="120" w:type="dxa"/>
              <w:end w:w="120" w:type="dxa"/>
            </w:tcMar>
          </w:tcPr>
          <w:p>
            <w:pPr>
              <w:spacing w:after="40"/>
            </w:pPr>
            <w:r>
              <w:rPr>
                <w:b/>
                <w:sz w:val="18"/>
                <w:szCs w:val="18"/>
              </w:rPr>
              <w:t xml:space="preserve">Branch</w:t>
            </w:r>
          </w:p>
        </w:tc>
        <w:tc>
          <w:tcPr>
            <w:tcW w:w="2450" w:type="dxa"/>
            <w:shd w:fill="F2F4F7"/>
            <w:tcMar>
              <w:top w:w="90" w:type="dxa"/>
              <w:bottom w:w="90" w:type="dxa"/>
              <w:start w:w="120" w:type="dxa"/>
              <w:end w:w="120" w:type="dxa"/>
            </w:tcMar>
          </w:tcPr>
          <w:p>
            <w:pPr>
              <w:jc w:val="center"/>
              <w:spacing w:after="40"/>
            </w:pPr>
            <w:r>
              <w:rPr>
                <w:b/>
                <w:sz w:val="18"/>
                <w:szCs w:val="18"/>
              </w:rPr>
              <w:t xml:space="preserve">Threshold logic</w:t>
            </w:r>
          </w:p>
        </w:tc>
        <w:tc>
          <w:tcPr>
            <w:tcW w:w="1000" w:type="dxa"/>
            <w:shd w:fill="F2F4F7"/>
            <w:tcMar>
              <w:top w:w="90" w:type="dxa"/>
              <w:bottom w:w="90" w:type="dxa"/>
              <w:start w:w="120" w:type="dxa"/>
              <w:end w:w="120" w:type="dxa"/>
            </w:tcMar>
          </w:tcPr>
          <w:p>
            <w:pPr>
              <w:jc w:val="center"/>
              <w:spacing w:after="40"/>
            </w:pPr>
            <w:r>
              <w:rPr>
                <w:b/>
                <w:sz w:val="18"/>
                <w:szCs w:val="18"/>
              </w:rPr>
              <w:t xml:space="preserve">Rows</w:t>
            </w:r>
          </w:p>
        </w:tc>
        <w:tc>
          <w:tcPr>
            <w:tcW w:w="1150" w:type="dxa"/>
            <w:shd w:fill="F2F4F7"/>
            <w:tcMar>
              <w:top w:w="90" w:type="dxa"/>
              <w:bottom w:w="90" w:type="dxa"/>
              <w:start w:w="120" w:type="dxa"/>
              <w:end w:w="120" w:type="dxa"/>
            </w:tcMar>
          </w:tcPr>
          <w:p>
            <w:pPr>
              <w:jc w:val="center"/>
              <w:spacing w:after="40"/>
            </w:pPr>
            <w:r>
              <w:rPr>
                <w:b/>
                <w:sz w:val="18"/>
                <w:szCs w:val="18"/>
              </w:rPr>
              <w:t xml:space="preserve">Prediction</w:t>
            </w:r>
          </w:p>
        </w:tc>
        <w:tc>
          <w:tcPr>
            <w:tcW w:w="1350" w:type="dxa"/>
            <w:shd w:fill="F2F4F7"/>
            <w:tcMar>
              <w:top w:w="90" w:type="dxa"/>
              <w:bottom w:w="90" w:type="dxa"/>
              <w:start w:w="120" w:type="dxa"/>
              <w:end w:w="120" w:type="dxa"/>
            </w:tcMar>
          </w:tcPr>
          <w:p>
            <w:pPr>
              <w:jc w:val="center"/>
              <w:spacing w:after="40"/>
            </w:pPr>
            <w:r>
              <w:rPr>
                <w:b/>
                <w:sz w:val="18"/>
                <w:szCs w:val="18"/>
              </w:rPr>
              <w:t xml:space="preserve">Gain / stop</w:t>
            </w:r>
          </w:p>
        </w:tc>
        <w:tc>
          <w:tcPr>
            <w:tcW w:w="2110" w:type="dxa"/>
            <w:shd w:fill="F2F4F7"/>
            <w:tcMar>
              <w:top w:w="90" w:type="dxa"/>
              <w:bottom w:w="90" w:type="dxa"/>
              <w:start w:w="120" w:type="dxa"/>
              <w:end w:w="120" w:type="dxa"/>
            </w:tcMar>
          </w:tcPr>
          <w:p>
            <w:pPr>
              <w:jc w:val="center"/>
              <w:spacing w:after="40"/>
            </w:pPr>
            <w:r>
              <w:rPr>
                <w:b/>
                <w:sz w:val="18"/>
                <w:szCs w:val="18"/>
              </w:rPr>
              <w:t xml:space="preserve">Reading</w:t>
            </w:r>
          </w:p>
        </w:tc>
      </w:tr>
      <w:tr>
        <w:tc>
          <w:tcPr>
            <w:tcW w:w="1300" w:type="dxa"/>
            <w:tcMar>
              <w:top w:w="90" w:type="dxa"/>
              <w:bottom w:w="90" w:type="dxa"/>
              <w:start w:w="120" w:type="dxa"/>
              <w:end w:w="120" w:type="dxa"/>
            </w:tcMar>
          </w:tcPr>
          <w:p>
            <w:pPr>
              <w:spacing w:after="40"/>
            </w:pPr>
            <w:r>
              <w:rPr>
                <w:sz w:val="18"/>
                <w:szCs w:val="18"/>
              </w:rPr>
              <w:t xml:space="preserve">Root</w:t>
            </w:r>
          </w:p>
        </w:tc>
        <w:tc>
          <w:tcPr>
            <w:tcW w:w="2450" w:type="dxa"/>
            <w:tcMar>
              <w:top w:w="90" w:type="dxa"/>
              <w:bottom w:w="90" w:type="dxa"/>
              <w:start w:w="120" w:type="dxa"/>
              <w:end w:w="120" w:type="dxa"/>
            </w:tcMar>
          </w:tcPr>
          <w:p>
            <w:pPr>
              <w:jc w:val="center"/>
              <w:spacing w:after="40"/>
            </w:pPr>
            <w:r>
              <w:rPr>
                <w:sz w:val="18"/>
                <w:szCs w:val="18"/>
              </w:rPr>
              <w:t xml:space="preserve">cost_savings &lt;= 3.63M</w:t>
            </w:r>
          </w:p>
        </w:tc>
        <w:tc>
          <w:tcPr>
            <w:tcW w:w="1000" w:type="dxa"/>
            <w:tcMar>
              <w:top w:w="90" w:type="dxa"/>
              <w:bottom w:w="90" w:type="dxa"/>
              <w:start w:w="120" w:type="dxa"/>
              <w:end w:w="120" w:type="dxa"/>
            </w:tcMar>
          </w:tcPr>
          <w:p>
            <w:pPr>
              <w:jc w:val="center"/>
              <w:spacing w:after="40"/>
            </w:pPr>
            <w:r>
              <w:rPr>
                <w:sz w:val="18"/>
                <w:szCs w:val="18"/>
              </w:rPr>
              <w:t xml:space="preserve">140,000</w:t>
            </w:r>
          </w:p>
        </w:tc>
        <w:tc>
          <w:tcPr>
            <w:tcW w:w="1150" w:type="dxa"/>
            <w:tcMar>
              <w:top w:w="90" w:type="dxa"/>
              <w:bottom w:w="90" w:type="dxa"/>
              <w:start w:w="120" w:type="dxa"/>
              <w:end w:w="120" w:type="dxa"/>
            </w:tcMar>
          </w:tcPr>
          <w:p>
            <w:pPr>
              <w:jc w:val="center"/>
              <w:spacing w:after="40"/>
            </w:pPr>
            <w:r>
              <w:rPr>
                <w:sz w:val="18"/>
                <w:szCs w:val="18"/>
              </w:rPr>
              <w:t xml:space="preserve">2.58M</w:t>
            </w:r>
          </w:p>
        </w:tc>
        <w:tc>
          <w:tcPr>
            <w:tcW w:w="1350" w:type="dxa"/>
            <w:tcMar>
              <w:top w:w="90" w:type="dxa"/>
              <w:bottom w:w="90" w:type="dxa"/>
              <w:start w:w="120" w:type="dxa"/>
              <w:end w:w="120" w:type="dxa"/>
            </w:tcMar>
          </w:tcPr>
          <w:p>
            <w:pPr>
              <w:jc w:val="center"/>
              <w:spacing w:after="40"/>
            </w:pPr>
            <w:r>
              <w:rPr>
                <w:sz w:val="18"/>
                <w:szCs w:val="18"/>
              </w:rPr>
              <w:t xml:space="preserve">gain 32.9%</w:t>
            </w:r>
          </w:p>
        </w:tc>
        <w:tc>
          <w:tcPr>
            <w:tcW w:w="2110" w:type="dxa"/>
            <w:tcMar>
              <w:top w:w="90" w:type="dxa"/>
              <w:bottom w:w="90" w:type="dxa"/>
              <w:start w:w="120" w:type="dxa"/>
              <w:end w:w="120" w:type="dxa"/>
            </w:tcMar>
          </w:tcPr>
          <w:p>
            <w:pPr>
              <w:jc w:val="center"/>
              <w:spacing w:after="40"/>
            </w:pPr>
            <w:r>
              <w:rPr>
                <w:sz w:val="18"/>
                <w:szCs w:val="18"/>
              </w:rPr>
              <w:t xml:space="preserve">Main scale split.</w:t>
            </w:r>
          </w:p>
        </w:tc>
      </w:tr>
      <w:tr>
        <w:tc>
          <w:tcPr>
            <w:tcW w:w="1300" w:type="dxa"/>
            <w:shd w:fill="FAFBFC"/>
            <w:tcMar>
              <w:top w:w="90" w:type="dxa"/>
              <w:bottom w:w="90" w:type="dxa"/>
              <w:start w:w="120" w:type="dxa"/>
              <w:end w:w="120" w:type="dxa"/>
            </w:tcMar>
          </w:tcPr>
          <w:p>
            <w:pPr>
              <w:spacing w:after="40"/>
            </w:pPr>
            <w:r>
              <w:rPr>
                <w:sz w:val="18"/>
                <w:szCs w:val="18"/>
              </w:rPr>
              <w:t xml:space="preserve">Low savings</w:t>
            </w:r>
          </w:p>
        </w:tc>
        <w:tc>
          <w:tcPr>
            <w:tcW w:w="2450" w:type="dxa"/>
            <w:shd w:fill="FAFBFC"/>
            <w:tcMar>
              <w:top w:w="90" w:type="dxa"/>
              <w:bottom w:w="90" w:type="dxa"/>
              <w:start w:w="120" w:type="dxa"/>
              <w:end w:w="120" w:type="dxa"/>
            </w:tcMar>
          </w:tcPr>
          <w:p>
            <w:pPr>
              <w:jc w:val="center"/>
              <w:spacing w:after="40"/>
            </w:pPr>
            <w:r>
              <w:rPr>
                <w:sz w:val="18"/>
                <w:szCs w:val="18"/>
              </w:rPr>
              <w:t xml:space="preserve">cost_savings &lt;= 1.51M</w:t>
            </w:r>
          </w:p>
        </w:tc>
        <w:tc>
          <w:tcPr>
            <w:tcW w:w="1000" w:type="dxa"/>
            <w:shd w:fill="FAFBFC"/>
            <w:tcMar>
              <w:top w:w="90" w:type="dxa"/>
              <w:bottom w:w="90" w:type="dxa"/>
              <w:start w:w="120" w:type="dxa"/>
              <w:end w:w="120" w:type="dxa"/>
            </w:tcMar>
          </w:tcPr>
          <w:p>
            <w:pPr>
              <w:jc w:val="center"/>
              <w:spacing w:after="40"/>
            </w:pPr>
            <w:r>
              <w:rPr>
                <w:sz w:val="18"/>
                <w:szCs w:val="18"/>
              </w:rPr>
              <w:t xml:space="preserve">116,444</w:t>
            </w:r>
          </w:p>
        </w:tc>
        <w:tc>
          <w:tcPr>
            <w:tcW w:w="1150" w:type="dxa"/>
            <w:shd w:fill="FAFBFC"/>
            <w:tcMar>
              <w:top w:w="90" w:type="dxa"/>
              <w:bottom w:w="90" w:type="dxa"/>
              <w:start w:w="120" w:type="dxa"/>
              <w:end w:w="120" w:type="dxa"/>
            </w:tcMar>
          </w:tcPr>
          <w:p>
            <w:pPr>
              <w:jc w:val="center"/>
              <w:spacing w:after="40"/>
            </w:pPr>
            <w:r>
              <w:rPr>
                <w:sz w:val="18"/>
                <w:szCs w:val="18"/>
              </w:rPr>
              <w:t xml:space="preserve">1.57M</w:t>
            </w:r>
          </w:p>
        </w:tc>
        <w:tc>
          <w:tcPr>
            <w:tcW w:w="1350" w:type="dxa"/>
            <w:shd w:fill="FAFBFC"/>
            <w:tcMar>
              <w:top w:w="90" w:type="dxa"/>
              <w:bottom w:w="90" w:type="dxa"/>
              <w:start w:w="120" w:type="dxa"/>
              <w:end w:w="120" w:type="dxa"/>
            </w:tcMar>
          </w:tcPr>
          <w:p>
            <w:pPr>
              <w:jc w:val="center"/>
              <w:spacing w:after="40"/>
            </w:pPr>
            <w:r>
              <w:rPr>
                <w:sz w:val="18"/>
                <w:szCs w:val="18"/>
              </w:rPr>
              <w:t xml:space="preserve">gain 31.7%</w:t>
            </w:r>
          </w:p>
        </w:tc>
        <w:tc>
          <w:tcPr>
            <w:tcW w:w="2110" w:type="dxa"/>
            <w:shd w:fill="FAFBFC"/>
            <w:tcMar>
              <w:top w:w="90" w:type="dxa"/>
              <w:bottom w:w="90" w:type="dxa"/>
              <w:start w:w="120" w:type="dxa"/>
              <w:end w:w="120" w:type="dxa"/>
            </w:tcMar>
          </w:tcPr>
          <w:p>
            <w:pPr>
              <w:spacing w:after="40"/>
            </w:pPr>
            <w:r>
              <w:rPr>
                <w:sz w:val="18"/>
                <w:szCs w:val="18"/>
              </w:rPr>
              <w:t xml:space="preserve">Separates very low and moderate-low value ranges.</w:t>
            </w:r>
          </w:p>
        </w:tc>
      </w:tr>
      <w:tr>
        <w:tc>
          <w:tcPr>
            <w:tcW w:w="1300" w:type="dxa"/>
            <w:tcMar>
              <w:top w:w="90" w:type="dxa"/>
              <w:bottom w:w="90" w:type="dxa"/>
              <w:start w:w="120" w:type="dxa"/>
              <w:end w:w="120" w:type="dxa"/>
            </w:tcMar>
          </w:tcPr>
          <w:p>
            <w:pPr>
              <w:spacing w:after="40"/>
            </w:pPr>
            <w:r>
              <w:rPr>
                <w:sz w:val="18"/>
                <w:szCs w:val="18"/>
              </w:rPr>
              <w:t xml:space="preserve">Very low savings</w:t>
            </w:r>
          </w:p>
        </w:tc>
        <w:tc>
          <w:tcPr>
            <w:tcW w:w="2450" w:type="dxa"/>
            <w:tcMar>
              <w:top w:w="90" w:type="dxa"/>
              <w:bottom w:w="90" w:type="dxa"/>
              <w:start w:w="120" w:type="dxa"/>
              <w:end w:w="120" w:type="dxa"/>
            </w:tcMar>
          </w:tcPr>
          <w:p>
            <w:pPr>
              <w:jc w:val="center"/>
              <w:spacing w:after="40"/>
            </w:pPr>
            <w:r>
              <w:rPr>
                <w:sz w:val="18"/>
                <w:szCs w:val="18"/>
              </w:rPr>
              <w:t xml:space="preserve">cost_savings &lt;= 247K</w:t>
            </w:r>
          </w:p>
        </w:tc>
        <w:tc>
          <w:tcPr>
            <w:tcW w:w="1000" w:type="dxa"/>
            <w:tcMar>
              <w:top w:w="90" w:type="dxa"/>
              <w:bottom w:w="90" w:type="dxa"/>
              <w:start w:w="120" w:type="dxa"/>
              <w:end w:w="120" w:type="dxa"/>
            </w:tcMar>
          </w:tcPr>
          <w:p>
            <w:pPr>
              <w:jc w:val="center"/>
              <w:spacing w:after="40"/>
            </w:pPr>
            <w:r>
              <w:rPr>
                <w:sz w:val="18"/>
                <w:szCs w:val="18"/>
              </w:rPr>
              <w:t xml:space="preserve">13,614</w:t>
            </w:r>
          </w:p>
        </w:tc>
        <w:tc>
          <w:tcPr>
            <w:tcW w:w="1150" w:type="dxa"/>
            <w:tcMar>
              <w:top w:w="90" w:type="dxa"/>
              <w:bottom w:w="90" w:type="dxa"/>
              <w:start w:w="120" w:type="dxa"/>
              <w:end w:w="120" w:type="dxa"/>
            </w:tcMar>
          </w:tcPr>
          <w:p>
            <w:pPr>
              <w:jc w:val="center"/>
              <w:spacing w:after="40"/>
            </w:pPr>
            <w:r>
              <w:rPr>
                <w:sz w:val="18"/>
                <w:szCs w:val="18"/>
              </w:rPr>
              <w:t xml:space="preserve">162.64K</w:t>
            </w:r>
          </w:p>
        </w:tc>
        <w:tc>
          <w:tcPr>
            <w:tcW w:w="1350" w:type="dxa"/>
            <w:tcMar>
              <w:top w:w="90" w:type="dxa"/>
              <w:bottom w:w="90" w:type="dxa"/>
              <w:start w:w="120" w:type="dxa"/>
              <w:end w:w="120" w:type="dxa"/>
            </w:tcMar>
          </w:tcPr>
          <w:p>
            <w:pPr>
              <w:jc w:val="center"/>
              <w:spacing w:after="40"/>
            </w:pPr>
            <w:r>
              <w:rPr>
                <w:sz w:val="18"/>
                <w:szCs w:val="18"/>
              </w:rPr>
              <w:t xml:space="preserve">leaf</w:t>
            </w:r>
          </w:p>
        </w:tc>
        <w:tc>
          <w:tcPr>
            <w:tcW w:w="2110" w:type="dxa"/>
            <w:tcMar>
              <w:top w:w="90" w:type="dxa"/>
              <w:bottom w:w="90" w:type="dxa"/>
              <w:start w:w="120" w:type="dxa"/>
              <w:end w:w="120" w:type="dxa"/>
            </w:tcMar>
          </w:tcPr>
          <w:p>
            <w:pPr>
              <w:spacing w:after="40"/>
            </w:pPr>
            <w:r>
              <w:rPr>
                <w:sz w:val="18"/>
                <w:szCs w:val="18"/>
              </w:rPr>
              <w:t xml:space="preserve">Lowest expected impact range.</w:t>
            </w:r>
          </w:p>
        </w:tc>
      </w:tr>
      <w:tr>
        <w:tc>
          <w:tcPr>
            <w:tcW w:w="1300" w:type="dxa"/>
            <w:shd w:fill="FAFBFC"/>
            <w:tcMar>
              <w:top w:w="90" w:type="dxa"/>
              <w:bottom w:w="90" w:type="dxa"/>
              <w:start w:w="120" w:type="dxa"/>
              <w:end w:w="120" w:type="dxa"/>
            </w:tcMar>
          </w:tcPr>
          <w:p>
            <w:pPr>
              <w:spacing w:after="40"/>
            </w:pPr>
            <w:r>
              <w:rPr>
                <w:sz w:val="18"/>
                <w:szCs w:val="18"/>
              </w:rPr>
              <w:t xml:space="preserve">Mid-low branch</w:t>
            </w:r>
          </w:p>
        </w:tc>
        <w:tc>
          <w:tcPr>
            <w:tcW w:w="2450" w:type="dxa"/>
            <w:shd w:fill="FAFBFC"/>
            <w:tcMar>
              <w:top w:w="90" w:type="dxa"/>
              <w:bottom w:w="90" w:type="dxa"/>
              <w:start w:w="120" w:type="dxa"/>
              <w:end w:w="120" w:type="dxa"/>
            </w:tcMar>
          </w:tcPr>
          <w:p>
            <w:pPr>
              <w:jc w:val="center"/>
              <w:spacing w:after="40"/>
            </w:pPr>
            <w:r>
              <w:rPr>
                <w:sz w:val="18"/>
                <w:szCs w:val="18"/>
              </w:rPr>
              <w:t xml:space="preserve">AI investment &lt;= 4.35M, then training around 79h</w:t>
            </w:r>
          </w:p>
        </w:tc>
        <w:tc>
          <w:tcPr>
            <w:tcW w:w="1000" w:type="dxa"/>
            <w:shd w:fill="FAFBFC"/>
            <w:tcMar>
              <w:top w:w="90" w:type="dxa"/>
              <w:bottom w:w="90" w:type="dxa"/>
              <w:start w:w="120" w:type="dxa"/>
              <w:end w:w="120" w:type="dxa"/>
            </w:tcMar>
          </w:tcPr>
          <w:p>
            <w:pPr>
              <w:jc w:val="center"/>
              <w:spacing w:after="40"/>
            </w:pPr>
            <w:r>
              <w:rPr>
                <w:sz w:val="18"/>
                <w:szCs w:val="18"/>
              </w:rPr>
              <w:t xml:space="preserve">31,045</w:t>
            </w:r>
          </w:p>
        </w:tc>
        <w:tc>
          <w:tcPr>
            <w:tcW w:w="1150" w:type="dxa"/>
            <w:shd w:fill="FAFBFC"/>
            <w:tcMar>
              <w:top w:w="90" w:type="dxa"/>
              <w:bottom w:w="90" w:type="dxa"/>
              <w:start w:w="120" w:type="dxa"/>
              <w:end w:w="120" w:type="dxa"/>
            </w:tcMar>
          </w:tcPr>
          <w:p>
            <w:pPr>
              <w:jc w:val="center"/>
              <w:spacing w:after="40"/>
            </w:pPr>
            <w:r>
              <w:rPr>
                <w:sz w:val="18"/>
                <w:szCs w:val="18"/>
              </w:rPr>
              <w:t xml:space="preserve">1.07M to 2.26M</w:t>
            </w:r>
          </w:p>
        </w:tc>
        <w:tc>
          <w:tcPr>
            <w:tcW w:w="1350" w:type="dxa"/>
            <w:shd w:fill="FAFBFC"/>
            <w:tcMar>
              <w:top w:w="90" w:type="dxa"/>
              <w:bottom w:w="90" w:type="dxa"/>
              <w:start w:w="120" w:type="dxa"/>
              <w:end w:w="120" w:type="dxa"/>
            </w:tcMar>
          </w:tcPr>
          <w:p>
            <w:pPr>
              <w:jc w:val="center"/>
              <w:spacing w:after="40"/>
            </w:pPr>
            <w:r>
              <w:rPr>
                <w:sz w:val="18"/>
                <w:szCs w:val="18"/>
              </w:rPr>
              <w:t xml:space="preserve">gain 5.2% to 8.7%</w:t>
            </w:r>
          </w:p>
        </w:tc>
        <w:tc>
          <w:tcPr>
            <w:tcW w:w="2110" w:type="dxa"/>
            <w:shd w:fill="FAFBFC"/>
            <w:tcMar>
              <w:top w:w="90" w:type="dxa"/>
              <w:bottom w:w="90" w:type="dxa"/>
              <w:start w:w="120" w:type="dxa"/>
              <w:end w:w="120" w:type="dxa"/>
            </w:tcMar>
          </w:tcPr>
          <w:p>
            <w:pPr>
              <w:spacing w:after="40"/>
            </w:pPr>
            <w:r>
              <w:rPr>
                <w:sz w:val="18"/>
                <w:szCs w:val="18"/>
              </w:rPr>
              <w:t xml:space="preserve">Investment and training refine the low-savings branch.</w:t>
            </w:r>
          </w:p>
        </w:tc>
      </w:tr>
      <w:tr>
        <w:tc>
          <w:tcPr>
            <w:tcW w:w="1300" w:type="dxa"/>
            <w:tcMar>
              <w:top w:w="90" w:type="dxa"/>
              <w:bottom w:w="90" w:type="dxa"/>
              <w:start w:w="120" w:type="dxa"/>
              <w:end w:w="120" w:type="dxa"/>
            </w:tcMar>
          </w:tcPr>
          <w:p>
            <w:pPr>
              <w:spacing w:after="40"/>
            </w:pPr>
            <w:r>
              <w:rPr>
                <w:sz w:val="18"/>
                <w:szCs w:val="18"/>
              </w:rPr>
              <w:t xml:space="preserve">Middle savings</w:t>
            </w:r>
          </w:p>
        </w:tc>
        <w:tc>
          <w:tcPr>
            <w:tcW w:w="2450" w:type="dxa"/>
            <w:tcMar>
              <w:top w:w="90" w:type="dxa"/>
              <w:bottom w:w="90" w:type="dxa"/>
              <w:start w:w="120" w:type="dxa"/>
              <w:end w:w="120" w:type="dxa"/>
            </w:tcMar>
          </w:tcPr>
          <w:p>
            <w:pPr>
              <w:jc w:val="center"/>
              <w:spacing w:after="40"/>
            </w:pPr>
            <w:r>
              <w:rPr>
                <w:sz w:val="18"/>
                <w:szCs w:val="18"/>
              </w:rPr>
              <w:t xml:space="preserve">cost_savings 1.51M to 3.63M; AI investment split at 6.54M</w:t>
            </w:r>
          </w:p>
        </w:tc>
        <w:tc>
          <w:tcPr>
            <w:tcW w:w="1000" w:type="dxa"/>
            <w:tcMar>
              <w:top w:w="90" w:type="dxa"/>
              <w:bottom w:w="90" w:type="dxa"/>
              <w:start w:w="120" w:type="dxa"/>
              <w:end w:w="120" w:type="dxa"/>
            </w:tcMar>
          </w:tcPr>
          <w:p>
            <w:pPr>
              <w:jc w:val="center"/>
              <w:spacing w:after="40"/>
            </w:pPr>
            <w:r>
              <w:rPr>
                <w:sz w:val="18"/>
                <w:szCs w:val="18"/>
              </w:rPr>
              <w:t xml:space="preserve">40,762</w:t>
            </w:r>
          </w:p>
        </w:tc>
        <w:tc>
          <w:tcPr>
            <w:tcW w:w="1150" w:type="dxa"/>
            <w:tcMar>
              <w:top w:w="90" w:type="dxa"/>
              <w:bottom w:w="90" w:type="dxa"/>
              <w:start w:w="120" w:type="dxa"/>
              <w:end w:w="120" w:type="dxa"/>
            </w:tcMar>
          </w:tcPr>
          <w:p>
            <w:pPr>
              <w:jc w:val="center"/>
              <w:spacing w:after="40"/>
            </w:pPr>
            <w:r>
              <w:rPr>
                <w:sz w:val="18"/>
                <w:szCs w:val="18"/>
              </w:rPr>
              <w:t xml:space="preserve">2.47M to 3.91M</w:t>
            </w:r>
          </w:p>
        </w:tc>
        <w:tc>
          <w:tcPr>
            <w:tcW w:w="1350" w:type="dxa"/>
            <w:tcMar>
              <w:top w:w="90" w:type="dxa"/>
              <w:bottom w:w="90" w:type="dxa"/>
              <w:start w:w="120" w:type="dxa"/>
              <w:end w:w="120" w:type="dxa"/>
            </w:tcMar>
          </w:tcPr>
          <w:p>
            <w:pPr>
              <w:jc w:val="center"/>
              <w:spacing w:after="40"/>
            </w:pPr>
            <w:r>
              <w:rPr>
                <w:sz w:val="18"/>
                <w:szCs w:val="18"/>
              </w:rPr>
              <w:t xml:space="preserve">stop 4.6% to 4.9%</w:t>
            </w:r>
          </w:p>
        </w:tc>
        <w:tc>
          <w:tcPr>
            <w:tcW w:w="2110" w:type="dxa"/>
            <w:tcMar>
              <w:top w:w="90" w:type="dxa"/>
              <w:bottom w:w="90" w:type="dxa"/>
              <w:start w:w="120" w:type="dxa"/>
              <w:end w:w="120" w:type="dxa"/>
            </w:tcMar>
          </w:tcPr>
          <w:p>
            <w:pPr>
              <w:spacing w:after="40"/>
            </w:pPr>
            <w:r>
              <w:rPr>
                <w:sz w:val="18"/>
                <w:szCs w:val="18"/>
              </w:rPr>
              <w:t xml:space="preserve">Additional splits fall below the 5% rule.</w:t>
            </w:r>
          </w:p>
        </w:tc>
      </w:tr>
      <w:tr>
        <w:tc>
          <w:tcPr>
            <w:tcW w:w="1300" w:type="dxa"/>
            <w:shd w:fill="FAFBFC"/>
            <w:tcMar>
              <w:top w:w="90" w:type="dxa"/>
              <w:bottom w:w="90" w:type="dxa"/>
              <w:start w:w="120" w:type="dxa"/>
              <w:end w:w="120" w:type="dxa"/>
            </w:tcMar>
          </w:tcPr>
          <w:p>
            <w:pPr>
              <w:spacing w:after="40"/>
            </w:pPr>
            <w:r>
              <w:rPr>
                <w:sz w:val="18"/>
                <w:szCs w:val="18"/>
              </w:rPr>
              <w:t xml:space="preserve">High savings</w:t>
            </w:r>
          </w:p>
        </w:tc>
        <w:tc>
          <w:tcPr>
            <w:tcW w:w="2450" w:type="dxa"/>
            <w:shd w:fill="FAFBFC"/>
            <w:tcMar>
              <w:top w:w="90" w:type="dxa"/>
              <w:bottom w:w="90" w:type="dxa"/>
              <w:start w:w="120" w:type="dxa"/>
              <w:end w:w="120" w:type="dxa"/>
            </w:tcMar>
          </w:tcPr>
          <w:p>
            <w:pPr>
              <w:jc w:val="center"/>
              <w:spacing w:after="40"/>
            </w:pPr>
            <w:r>
              <w:rPr>
                <w:sz w:val="18"/>
                <w:szCs w:val="18"/>
              </w:rPr>
              <w:t xml:space="preserve">cost_savings &gt; 3.63M</w:t>
            </w:r>
          </w:p>
        </w:tc>
        <w:tc>
          <w:tcPr>
            <w:tcW w:w="1000" w:type="dxa"/>
            <w:shd w:fill="FAFBFC"/>
            <w:tcMar>
              <w:top w:w="90" w:type="dxa"/>
              <w:bottom w:w="90" w:type="dxa"/>
              <w:start w:w="120" w:type="dxa"/>
              <w:end w:w="120" w:type="dxa"/>
            </w:tcMar>
          </w:tcPr>
          <w:p>
            <w:pPr>
              <w:jc w:val="center"/>
              <w:spacing w:after="40"/>
            </w:pPr>
            <w:r>
              <w:rPr>
                <w:sz w:val="18"/>
                <w:szCs w:val="18"/>
              </w:rPr>
              <w:t xml:space="preserve">23,556</w:t>
            </w:r>
          </w:p>
        </w:tc>
        <w:tc>
          <w:tcPr>
            <w:tcW w:w="1150" w:type="dxa"/>
            <w:shd w:fill="FAFBFC"/>
            <w:tcMar>
              <w:top w:w="90" w:type="dxa"/>
              <w:bottom w:w="90" w:type="dxa"/>
              <w:start w:w="120" w:type="dxa"/>
              <w:end w:w="120" w:type="dxa"/>
            </w:tcMar>
          </w:tcPr>
          <w:p>
            <w:pPr>
              <w:jc w:val="center"/>
              <w:spacing w:after="40"/>
            </w:pPr>
            <w:r>
              <w:rPr>
                <w:sz w:val="18"/>
                <w:szCs w:val="18"/>
              </w:rPr>
              <w:t xml:space="preserve">7.60M</w:t>
            </w:r>
          </w:p>
        </w:tc>
        <w:tc>
          <w:tcPr>
            <w:tcW w:w="1350" w:type="dxa"/>
            <w:shd w:fill="FAFBFC"/>
            <w:tcMar>
              <w:top w:w="90" w:type="dxa"/>
              <w:bottom w:w="90" w:type="dxa"/>
              <w:start w:w="120" w:type="dxa"/>
              <w:end w:w="120" w:type="dxa"/>
            </w:tcMar>
          </w:tcPr>
          <w:p>
            <w:pPr>
              <w:jc w:val="center"/>
              <w:spacing w:after="40"/>
            </w:pPr>
            <w:r>
              <w:rPr>
                <w:sz w:val="18"/>
                <w:szCs w:val="18"/>
              </w:rPr>
              <w:t xml:space="preserve">gain 13.7%</w:t>
            </w:r>
          </w:p>
        </w:tc>
        <w:tc>
          <w:tcPr>
            <w:tcW w:w="2110" w:type="dxa"/>
            <w:shd w:fill="FAFBFC"/>
            <w:tcMar>
              <w:top w:w="90" w:type="dxa"/>
              <w:bottom w:w="90" w:type="dxa"/>
              <w:start w:w="120" w:type="dxa"/>
              <w:end w:w="120" w:type="dxa"/>
            </w:tcMar>
          </w:tcPr>
          <w:p>
            <w:pPr>
              <w:spacing w:after="40"/>
            </w:pPr>
            <w:r>
              <w:rPr>
                <w:sz w:val="18"/>
                <w:szCs w:val="18"/>
              </w:rPr>
              <w:t xml:space="preserve">High-savings cases are already high impact.</w:t>
            </w:r>
          </w:p>
        </w:tc>
      </w:tr>
      <w:tr>
        <w:tc>
          <w:tcPr>
            <w:tcW w:w="1300" w:type="dxa"/>
            <w:tcMar>
              <w:top w:w="90" w:type="dxa"/>
              <w:bottom w:w="90" w:type="dxa"/>
              <w:start w:w="120" w:type="dxa"/>
              <w:end w:w="120" w:type="dxa"/>
            </w:tcMar>
          </w:tcPr>
          <w:p>
            <w:pPr>
              <w:spacing w:after="40"/>
            </w:pPr>
            <w:r>
              <w:rPr>
                <w:sz w:val="18"/>
                <w:szCs w:val="18"/>
              </w:rPr>
              <w:t xml:space="preserve">Extreme savings</w:t>
            </w:r>
          </w:p>
        </w:tc>
        <w:tc>
          <w:tcPr>
            <w:tcW w:w="2450" w:type="dxa"/>
            <w:tcMar>
              <w:top w:w="90" w:type="dxa"/>
              <w:bottom w:w="90" w:type="dxa"/>
              <w:start w:w="120" w:type="dxa"/>
              <w:end w:w="120" w:type="dxa"/>
            </w:tcMar>
          </w:tcPr>
          <w:p>
            <w:pPr>
              <w:jc w:val="center"/>
              <w:spacing w:after="40"/>
            </w:pPr>
            <w:r>
              <w:rPr>
                <w:sz w:val="18"/>
                <w:szCs w:val="18"/>
              </w:rPr>
              <w:t xml:space="preserve">cost_savings &gt; 12.55M</w:t>
            </w:r>
          </w:p>
        </w:tc>
        <w:tc>
          <w:tcPr>
            <w:tcW w:w="1000" w:type="dxa"/>
            <w:tcMar>
              <w:top w:w="90" w:type="dxa"/>
              <w:bottom w:w="90" w:type="dxa"/>
              <w:start w:w="120" w:type="dxa"/>
              <w:end w:w="120" w:type="dxa"/>
            </w:tcMar>
          </w:tcPr>
          <w:p>
            <w:pPr>
              <w:jc w:val="center"/>
              <w:spacing w:after="40"/>
            </w:pPr>
            <w:r>
              <w:rPr>
                <w:sz w:val="18"/>
                <w:szCs w:val="18"/>
              </w:rPr>
              <w:t xml:space="preserve">1,034</w:t>
            </w:r>
          </w:p>
        </w:tc>
        <w:tc>
          <w:tcPr>
            <w:tcW w:w="1150" w:type="dxa"/>
            <w:tcMar>
              <w:top w:w="90" w:type="dxa"/>
              <w:bottom w:w="90" w:type="dxa"/>
              <w:start w:w="120" w:type="dxa"/>
              <w:end w:w="120" w:type="dxa"/>
            </w:tcMar>
          </w:tcPr>
          <w:p>
            <w:pPr>
              <w:jc w:val="center"/>
              <w:spacing w:after="40"/>
            </w:pPr>
            <w:r>
              <w:rPr>
                <w:sz w:val="18"/>
                <w:szCs w:val="18"/>
              </w:rPr>
              <w:t xml:space="preserve">16.65M</w:t>
            </w:r>
          </w:p>
        </w:tc>
        <w:tc>
          <w:tcPr>
            <w:tcW w:w="1350" w:type="dxa"/>
            <w:tcMar>
              <w:top w:w="90" w:type="dxa"/>
              <w:bottom w:w="90" w:type="dxa"/>
              <w:start w:w="120" w:type="dxa"/>
              <w:end w:w="120" w:type="dxa"/>
            </w:tcMar>
          </w:tcPr>
          <w:p>
            <w:pPr>
              <w:jc w:val="center"/>
              <w:spacing w:after="40"/>
            </w:pPr>
            <w:r>
              <w:rPr>
                <w:sz w:val="18"/>
                <w:szCs w:val="18"/>
              </w:rPr>
              <w:t xml:space="preserve">stop 2.7%</w:t>
            </w:r>
          </w:p>
        </w:tc>
        <w:tc>
          <w:tcPr>
            <w:tcW w:w="2110" w:type="dxa"/>
            <w:tcMar>
              <w:top w:w="90" w:type="dxa"/>
              <w:bottom w:w="90" w:type="dxa"/>
              <w:start w:w="120" w:type="dxa"/>
              <w:end w:w="120" w:type="dxa"/>
            </w:tcMar>
          </w:tcPr>
          <w:p>
            <w:pPr>
              <w:spacing w:after="40"/>
            </w:pPr>
            <w:r>
              <w:rPr>
                <w:sz w:val="18"/>
                <w:szCs w:val="18"/>
              </w:rPr>
              <w:t xml:space="preserve">Highest predicted diagnostic-tree leaf.</w:t>
            </w:r>
          </w:p>
        </w:tc>
      </w:tr>
    </w:tbl>
    <w:p>
      <w:pPr>
        <w:spacing w:after="160"/>
      </w:pPr>
    </w:p>
    <w:p>
      <w:r>
        <w:t xml:space="preserve">The repeated cost_savings splits are not a mistake. They show that the first few layers are mostly learning financial scale. AI investment appears when the tree needs to separate middle branches. Training hours appears later, where operational maturity helps refine predictions after the main financial scale has already been established.</w:t>
      </w:r>
    </w:p>
    <w:p>
      <w:r>
        <w:br w:type="page"/>
      </w:r>
    </w:p>
    <w:p>
      <w:pPr>
        <w:spacing w:after="60"/>
      </w:pPr>
    </w:p>
    <w:tbl>
      <w:tblPr>
        <w:tblW w:w="9360" w:type="dxa"/>
        <w:tblInd w:w="120" w:type="dxa"/>
        <w:tblLayout w:type="fixed"/>
        <w:shd w:fill="F4F6F9"/>
        <w:tblBorders>
          <w:top w:val="single" w:sz="6" w:space="0" w:color="A9B7C6"/>
          <w:left w:val="single" w:sz="6" w:space="0" w:color="A9B7C6"/>
          <w:bottom w:val="single" w:sz="6" w:space="0" w:color="A9B7C6"/>
          <w:right w:val="single" w:sz="6" w:space="0" w:color="A9B7C6"/>
          <w:insideH w:val="single" w:sz="4" w:space="0" w:color="E5E7EB"/>
          <w:insideV w:val="single" w:sz="4" w:space="0" w:color="E5E7EB"/>
        </w:tblBorders>
      </w:tblPr>
      <w:tblGrid>
        <w:gridCol w:w="9360"/>
      </w:tblGrid>
      <w:tr>
        <w:tc>
          <w:tcPr>
            <w:tcW w:w="9360" w:type="dxa"/>
            <w:shd w:fill="F4F6F9"/>
            <w:tcMar>
              <w:top w:w="140" w:type="dxa"/>
              <w:bottom w:w="140" w:type="dxa"/>
              <w:start w:w="160" w:type="dxa"/>
              <w:end w:w="160" w:type="dxa"/>
            </w:tcMar>
          </w:tcPr>
          <w:p>
            <w:pPr>
              <w:spacing w:after="40"/>
            </w:pPr>
            <w:r>
              <w:rPr>
                <w:b/>
                <w:sz w:val="21"/>
                <w:szCs w:val="21"/>
                <w:color w:val="0B2545"/>
              </w:rPr>
              <w:t xml:space="preserve">Final key takeaway: </w:t>
            </w:r>
            <w:r>
              <w:rPr>
                <w:sz w:val="21"/>
                <w:szCs w:val="21"/>
              </w:rPr>
              <w:t xml:space="preserve">The single tree is a readable threshold map. The root cost-savings split at 3.63M creates the main scale separation, and the highest diagnostic leaf predicts 16.65M. Treat this as explanation, not the final predictive engine.</w:t>
            </w:r>
          </w:p>
        </w:tc>
      </w:tr>
    </w:tbl>
    <w:p>
      <w:pPr>
        <w:spacing w:after="120"/>
      </w:pPr>
    </w:p>
    <w:p>
      <w:pPr>
        <w:pStyle w:val="Heading1"/>
      </w:pPr>
      <w:r>
        <w:t xml:space="preserve">7. Full Feature Range: Separate One-Variable Trees</w:t>
      </w:r>
    </w:p>
    <w:p>
      <w:r>
        <w:t xml:space="preserve">The interaction tree only displays variables that win a greedy split at a specific node. That is why automation rate and deployment count may not appear in the compact tree view. They were not disregarded: each feature was also tested as its own one-variable tree, and all five features created a split. This separates two questions: whether a variable has standalone threshold value, and whether it remains the best split after stronger variables have already split the data.</w:t>
      </w:r>
    </w:p>
    <w:p>
      <w:pPr>
        <w:jc w:val="center"/>
        <w:spacing w:before="80" w:after="60"/>
      </w:pPr>
      <w:r>
        <w:drawing>
          <wp:inline distT="0" distB="0" distL="0" distR="0">
            <wp:extent cx="5715000" cy="2479274"/>
            <wp:effectExtent l="0" t="0" r="0" b="0"/>
            <wp:docPr id="6" name="single.png"/>
            <wp:cNvGraphicFramePr>
              <a:graphicFrameLocks noChangeAspect="1"/>
            </wp:cNvGraphicFramePr>
            <a:graphic>
              <a:graphicData uri="http://schemas.openxmlformats.org/drawingml/2006/picture">
                <pic:pic>
                  <pic:nvPicPr>
                    <pic:cNvPr id="0" name="single.png"/>
                    <pic:cNvPicPr/>
                  </pic:nvPicPr>
                  <pic:blipFill>
                    <a:blip r:embed="rIdImg6"/>
                    <a:stretch>
                      <a:fillRect/>
                    </a:stretch>
                  </pic:blipFill>
                  <pic:spPr>
                    <a:xfrm>
                      <a:off x="0" y="0"/>
                      <a:ext cx="5715000" cy="2479274"/>
                    </a:xfrm>
                    <a:prstGeom prst="rect">
                      <a:avLst/>
                    </a:prstGeom>
                  </pic:spPr>
                </pic:pic>
              </a:graphicData>
            </a:graphic>
          </wp:inline>
        </w:drawing>
      </w:r>
    </w:p>
    <w:p>
      <w:pPr>
        <w:pStyle w:val="Caption"/>
        <w:jc w:val="center"/>
      </w:pPr>
      <w:r>
        <w:t xml:space="preserve">Figure 6. All five model variables have individual split value; automation and deployment are weaker, not ignored.</w:t>
      </w:r>
    </w:p>
    <w:tbl>
      <w:tblPr>
        <w:tblW w:w="9360" w:type="dxa"/>
        <w:tblInd w:w="120" w:type="dxa"/>
        <w:tblLayout w:type="fixed"/>
        <w:tblBorders>
          <w:top w:val="single" w:sz="4" w:space="0" w:color="D0D7DE"/>
          <w:left w:val="single" w:sz="4" w:space="0" w:color="D0D7DE"/>
          <w:bottom w:val="single" w:sz="4" w:space="0" w:color="D0D7DE"/>
          <w:right w:val="single" w:sz="4" w:space="0" w:color="D0D7DE"/>
          <w:insideH w:val="single" w:sz="4" w:space="0" w:color="E5E7EB"/>
          <w:insideV w:val="single" w:sz="4" w:space="0" w:color="E5E7EB"/>
        </w:tblBorders>
      </w:tblPr>
      <w:tblGrid>
        <w:gridCol w:w="2050"/>
        <w:gridCol w:w="1400"/>
        <w:gridCol w:w="1200"/>
        <w:gridCol w:w="1200"/>
        <w:gridCol w:w="1900"/>
        <w:gridCol w:w="1610"/>
      </w:tblGrid>
      <w:tr>
        <w:tc>
          <w:tcPr>
            <w:tcW w:w="2050" w:type="dxa"/>
            <w:shd w:fill="F2F4F7"/>
            <w:tcMar>
              <w:top w:w="90" w:type="dxa"/>
              <w:bottom w:w="90" w:type="dxa"/>
              <w:start w:w="120" w:type="dxa"/>
              <w:end w:w="120" w:type="dxa"/>
            </w:tcMar>
          </w:tcPr>
          <w:p>
            <w:pPr>
              <w:spacing w:after="40"/>
            </w:pPr>
            <w:r>
              <w:rPr>
                <w:b/>
                <w:sz w:val="18"/>
                <w:szCs w:val="18"/>
              </w:rPr>
              <w:t xml:space="preserve">Variable</w:t>
            </w:r>
          </w:p>
        </w:tc>
        <w:tc>
          <w:tcPr>
            <w:tcW w:w="1400" w:type="dxa"/>
            <w:shd w:fill="F2F4F7"/>
            <w:tcMar>
              <w:top w:w="90" w:type="dxa"/>
              <w:bottom w:w="90" w:type="dxa"/>
              <w:start w:w="120" w:type="dxa"/>
              <w:end w:w="120" w:type="dxa"/>
            </w:tcMar>
          </w:tcPr>
          <w:p>
            <w:pPr>
              <w:jc w:val="center"/>
              <w:spacing w:after="40"/>
            </w:pPr>
            <w:r>
              <w:rPr>
                <w:b/>
                <w:sz w:val="18"/>
                <w:szCs w:val="18"/>
              </w:rPr>
              <w:t xml:space="preserve">Split threshold</w:t>
            </w:r>
          </w:p>
        </w:tc>
        <w:tc>
          <w:tcPr>
            <w:tcW w:w="1200" w:type="dxa"/>
            <w:shd w:fill="F2F4F7"/>
            <w:tcMar>
              <w:top w:w="90" w:type="dxa"/>
              <w:bottom w:w="90" w:type="dxa"/>
              <w:start w:w="120" w:type="dxa"/>
              <w:end w:w="120" w:type="dxa"/>
            </w:tcMar>
          </w:tcPr>
          <w:p>
            <w:pPr>
              <w:jc w:val="center"/>
              <w:spacing w:after="40"/>
            </w:pPr>
            <w:r>
              <w:rPr>
                <w:b/>
                <w:sz w:val="18"/>
                <w:szCs w:val="18"/>
              </w:rPr>
              <w:t xml:space="preserve">Node gain</w:t>
            </w:r>
          </w:p>
        </w:tc>
        <w:tc>
          <w:tcPr>
            <w:tcW w:w="1200" w:type="dxa"/>
            <w:shd w:fill="F2F4F7"/>
            <w:tcMar>
              <w:top w:w="90" w:type="dxa"/>
              <w:bottom w:w="90" w:type="dxa"/>
              <w:start w:w="120" w:type="dxa"/>
              <w:end w:w="120" w:type="dxa"/>
            </w:tcMar>
          </w:tcPr>
          <w:p>
            <w:pPr>
              <w:jc w:val="center"/>
              <w:spacing w:after="40"/>
            </w:pPr>
            <w:r>
              <w:rPr>
                <w:b/>
                <w:sz w:val="18"/>
                <w:szCs w:val="18"/>
              </w:rPr>
              <w:t xml:space="preserve">Test R Square</w:t>
            </w:r>
          </w:p>
        </w:tc>
        <w:tc>
          <w:tcPr>
            <w:tcW w:w="1900" w:type="dxa"/>
            <w:shd w:fill="F2F4F7"/>
            <w:tcMar>
              <w:top w:w="90" w:type="dxa"/>
              <w:bottom w:w="90" w:type="dxa"/>
              <w:start w:w="120" w:type="dxa"/>
              <w:end w:w="120" w:type="dxa"/>
            </w:tcMar>
          </w:tcPr>
          <w:p>
            <w:pPr>
              <w:jc w:val="center"/>
              <w:spacing w:after="40"/>
            </w:pPr>
            <w:r>
              <w:rPr>
                <w:b/>
                <w:sz w:val="18"/>
                <w:szCs w:val="18"/>
              </w:rPr>
              <w:t xml:space="preserve">Prediction shift</w:t>
            </w:r>
          </w:p>
        </w:tc>
        <w:tc>
          <w:tcPr>
            <w:tcW w:w="1610" w:type="dxa"/>
            <w:shd w:fill="F2F4F7"/>
            <w:tcMar>
              <w:top w:w="90" w:type="dxa"/>
              <w:bottom w:w="90" w:type="dxa"/>
              <w:start w:w="120" w:type="dxa"/>
              <w:end w:w="120" w:type="dxa"/>
            </w:tcMar>
          </w:tcPr>
          <w:p>
            <w:pPr>
              <w:jc w:val="center"/>
              <w:spacing w:after="40"/>
            </w:pPr>
            <w:r>
              <w:rPr>
                <w:b/>
                <w:sz w:val="18"/>
                <w:szCs w:val="18"/>
              </w:rPr>
              <w:t xml:space="preserve">Reading</w:t>
            </w:r>
          </w:p>
        </w:tc>
      </w:tr>
      <w:tr>
        <w:tc>
          <w:tcPr>
            <w:tcW w:w="2050" w:type="dxa"/>
            <w:tcMar>
              <w:top w:w="90" w:type="dxa"/>
              <w:bottom w:w="90" w:type="dxa"/>
              <w:start w:w="120" w:type="dxa"/>
              <w:end w:w="120" w:type="dxa"/>
            </w:tcMar>
          </w:tcPr>
          <w:p>
            <w:pPr>
              <w:spacing w:after="40"/>
            </w:pPr>
            <w:r>
              <w:rPr>
                <w:sz w:val="18"/>
                <w:szCs w:val="18"/>
              </w:rPr>
              <w:t xml:space="preserve">cost_savings</w:t>
            </w:r>
          </w:p>
        </w:tc>
        <w:tc>
          <w:tcPr>
            <w:tcW w:w="1400" w:type="dxa"/>
            <w:tcMar>
              <w:top w:w="90" w:type="dxa"/>
              <w:bottom w:w="90" w:type="dxa"/>
              <w:start w:w="120" w:type="dxa"/>
              <w:end w:w="120" w:type="dxa"/>
            </w:tcMar>
          </w:tcPr>
          <w:p>
            <w:pPr>
              <w:jc w:val="center"/>
              <w:spacing w:after="40"/>
            </w:pPr>
            <w:r>
              <w:rPr>
                <w:sz w:val="18"/>
                <w:szCs w:val="18"/>
              </w:rPr>
              <w:t xml:space="preserve">3.63M</w:t>
            </w:r>
          </w:p>
        </w:tc>
        <w:tc>
          <w:tcPr>
            <w:tcW w:w="1200" w:type="dxa"/>
            <w:tcMar>
              <w:top w:w="90" w:type="dxa"/>
              <w:bottom w:w="90" w:type="dxa"/>
              <w:start w:w="120" w:type="dxa"/>
              <w:end w:w="120" w:type="dxa"/>
            </w:tcMar>
          </w:tcPr>
          <w:p>
            <w:pPr>
              <w:jc w:val="center"/>
              <w:spacing w:after="40"/>
            </w:pPr>
            <w:r>
              <w:rPr>
                <w:sz w:val="18"/>
                <w:szCs w:val="18"/>
              </w:rPr>
              <w:t xml:space="preserve">32.9%</w:t>
            </w:r>
          </w:p>
        </w:tc>
        <w:tc>
          <w:tcPr>
            <w:tcW w:w="1200" w:type="dxa"/>
            <w:tcMar>
              <w:top w:w="90" w:type="dxa"/>
              <w:bottom w:w="90" w:type="dxa"/>
              <w:start w:w="120" w:type="dxa"/>
              <w:end w:w="120" w:type="dxa"/>
            </w:tcMar>
          </w:tcPr>
          <w:p>
            <w:pPr>
              <w:jc w:val="center"/>
              <w:spacing w:after="40"/>
            </w:pPr>
            <w:r>
              <w:rPr>
                <w:sz w:val="18"/>
                <w:szCs w:val="18"/>
              </w:rPr>
              <w:t xml:space="preserve">0.318</w:t>
            </w:r>
          </w:p>
        </w:tc>
        <w:tc>
          <w:tcPr>
            <w:tcW w:w="1900" w:type="dxa"/>
            <w:tcMar>
              <w:top w:w="90" w:type="dxa"/>
              <w:bottom w:w="90" w:type="dxa"/>
              <w:start w:w="120" w:type="dxa"/>
              <w:end w:w="120" w:type="dxa"/>
            </w:tcMar>
          </w:tcPr>
          <w:p>
            <w:pPr>
              <w:jc w:val="center"/>
              <w:spacing w:after="40"/>
            </w:pPr>
            <w:r>
              <w:rPr>
                <w:sz w:val="18"/>
                <w:szCs w:val="18"/>
              </w:rPr>
              <w:t xml:space="preserve">1.57M to 7.60M</w:t>
            </w:r>
          </w:p>
        </w:tc>
        <w:tc>
          <w:tcPr>
            <w:tcW w:w="1610" w:type="dxa"/>
            <w:tcMar>
              <w:top w:w="90" w:type="dxa"/>
              <w:bottom w:w="90" w:type="dxa"/>
              <w:start w:w="120" w:type="dxa"/>
              <w:end w:w="120" w:type="dxa"/>
            </w:tcMar>
          </w:tcPr>
          <w:p>
            <w:pPr>
              <w:jc w:val="center"/>
              <w:spacing w:after="40"/>
            </w:pPr>
            <w:r>
              <w:rPr>
                <w:sz w:val="18"/>
                <w:szCs w:val="18"/>
              </w:rPr>
              <w:t xml:space="preserve">dominant financial scale</w:t>
            </w:r>
          </w:p>
        </w:tc>
      </w:tr>
      <w:tr>
        <w:tc>
          <w:tcPr>
            <w:tcW w:w="2050" w:type="dxa"/>
            <w:shd w:fill="FAFBFC"/>
            <w:tcMar>
              <w:top w:w="90" w:type="dxa"/>
              <w:bottom w:w="90" w:type="dxa"/>
              <w:start w:w="120" w:type="dxa"/>
              <w:end w:w="120" w:type="dxa"/>
            </w:tcMar>
          </w:tcPr>
          <w:p>
            <w:pPr>
              <w:spacing w:after="40"/>
            </w:pPr>
            <w:r>
              <w:rPr>
                <w:sz w:val="18"/>
                <w:szCs w:val="18"/>
              </w:rPr>
              <w:t xml:space="preserve">ai_investment_usd</w:t>
            </w:r>
          </w:p>
        </w:tc>
        <w:tc>
          <w:tcPr>
            <w:tcW w:w="1400" w:type="dxa"/>
            <w:shd w:fill="FAFBFC"/>
            <w:tcMar>
              <w:top w:w="90" w:type="dxa"/>
              <w:bottom w:w="90" w:type="dxa"/>
              <w:start w:w="120" w:type="dxa"/>
              <w:end w:w="120" w:type="dxa"/>
            </w:tcMar>
          </w:tcPr>
          <w:p>
            <w:pPr>
              <w:jc w:val="center"/>
              <w:spacing w:after="40"/>
            </w:pPr>
            <w:r>
              <w:rPr>
                <w:sz w:val="18"/>
                <w:szCs w:val="18"/>
              </w:rPr>
              <w:t xml:space="preserve">7.52M</w:t>
            </w:r>
          </w:p>
        </w:tc>
        <w:tc>
          <w:tcPr>
            <w:tcW w:w="1200" w:type="dxa"/>
            <w:shd w:fill="FAFBFC"/>
            <w:tcMar>
              <w:top w:w="90" w:type="dxa"/>
              <w:bottom w:w="90" w:type="dxa"/>
              <w:start w:w="120" w:type="dxa"/>
              <w:end w:w="120" w:type="dxa"/>
            </w:tcMar>
          </w:tcPr>
          <w:p>
            <w:pPr>
              <w:jc w:val="center"/>
              <w:spacing w:after="40"/>
            </w:pPr>
            <w:r>
              <w:rPr>
                <w:sz w:val="18"/>
                <w:szCs w:val="18"/>
              </w:rPr>
              <w:t xml:space="preserve">31.0%</w:t>
            </w:r>
          </w:p>
        </w:tc>
        <w:tc>
          <w:tcPr>
            <w:tcW w:w="1200" w:type="dxa"/>
            <w:shd w:fill="FAFBFC"/>
            <w:tcMar>
              <w:top w:w="90" w:type="dxa"/>
              <w:bottom w:w="90" w:type="dxa"/>
              <w:start w:w="120" w:type="dxa"/>
              <w:end w:w="120" w:type="dxa"/>
            </w:tcMar>
          </w:tcPr>
          <w:p>
            <w:pPr>
              <w:jc w:val="center"/>
              <w:spacing w:after="40"/>
            </w:pPr>
            <w:r>
              <w:rPr>
                <w:sz w:val="18"/>
                <w:szCs w:val="18"/>
              </w:rPr>
              <w:t xml:space="preserve">0.299</w:t>
            </w:r>
          </w:p>
        </w:tc>
        <w:tc>
          <w:tcPr>
            <w:tcW w:w="1900" w:type="dxa"/>
            <w:shd w:fill="FAFBFC"/>
            <w:tcMar>
              <w:top w:w="90" w:type="dxa"/>
              <w:bottom w:w="90" w:type="dxa"/>
              <w:start w:w="120" w:type="dxa"/>
              <w:end w:w="120" w:type="dxa"/>
            </w:tcMar>
          </w:tcPr>
          <w:p>
            <w:pPr>
              <w:jc w:val="center"/>
              <w:spacing w:after="40"/>
            </w:pPr>
            <w:r>
              <w:rPr>
                <w:sz w:val="18"/>
                <w:szCs w:val="18"/>
              </w:rPr>
              <w:t xml:space="preserve">1.53M to 7.17M</w:t>
            </w:r>
          </w:p>
        </w:tc>
        <w:tc>
          <w:tcPr>
            <w:tcW w:w="1610" w:type="dxa"/>
            <w:shd w:fill="FAFBFC"/>
            <w:tcMar>
              <w:top w:w="90" w:type="dxa"/>
              <w:bottom w:w="90" w:type="dxa"/>
              <w:start w:w="120" w:type="dxa"/>
              <w:end w:w="120" w:type="dxa"/>
            </w:tcMar>
          </w:tcPr>
          <w:p>
            <w:pPr>
              <w:jc w:val="center"/>
              <w:spacing w:after="40"/>
            </w:pPr>
            <w:r>
              <w:rPr>
                <w:sz w:val="18"/>
                <w:szCs w:val="18"/>
              </w:rPr>
              <w:t xml:space="preserve">second financial scale</w:t>
            </w:r>
          </w:p>
        </w:tc>
      </w:tr>
      <w:tr>
        <w:tc>
          <w:tcPr>
            <w:tcW w:w="2050" w:type="dxa"/>
            <w:tcMar>
              <w:top w:w="90" w:type="dxa"/>
              <w:bottom w:w="90" w:type="dxa"/>
              <w:start w:w="120" w:type="dxa"/>
              <w:end w:w="120" w:type="dxa"/>
            </w:tcMar>
          </w:tcPr>
          <w:p>
            <w:pPr>
              <w:spacing w:after="40"/>
            </w:pPr>
            <w:r>
              <w:rPr>
                <w:sz w:val="18"/>
                <w:szCs w:val="18"/>
              </w:rPr>
              <w:t xml:space="preserve">employee_ai_training_hours</w:t>
            </w:r>
          </w:p>
        </w:tc>
        <w:tc>
          <w:tcPr>
            <w:tcW w:w="1400" w:type="dxa"/>
            <w:tcMar>
              <w:top w:w="90" w:type="dxa"/>
              <w:bottom w:w="90" w:type="dxa"/>
              <w:start w:w="120" w:type="dxa"/>
              <w:end w:w="120" w:type="dxa"/>
            </w:tcMar>
          </w:tcPr>
          <w:p>
            <w:pPr>
              <w:jc w:val="center"/>
              <w:spacing w:after="40"/>
            </w:pPr>
            <w:r>
              <w:rPr>
                <w:sz w:val="18"/>
                <w:szCs w:val="18"/>
              </w:rPr>
              <w:t xml:space="preserve">97.5</w:t>
            </w:r>
          </w:p>
        </w:tc>
        <w:tc>
          <w:tcPr>
            <w:tcW w:w="1200" w:type="dxa"/>
            <w:tcMar>
              <w:top w:w="90" w:type="dxa"/>
              <w:bottom w:w="90" w:type="dxa"/>
              <w:start w:w="120" w:type="dxa"/>
              <w:end w:w="120" w:type="dxa"/>
            </w:tcMar>
          </w:tcPr>
          <w:p>
            <w:pPr>
              <w:jc w:val="center"/>
              <w:spacing w:after="40"/>
            </w:pPr>
            <w:r>
              <w:rPr>
                <w:sz w:val="18"/>
                <w:szCs w:val="18"/>
              </w:rPr>
              <w:t xml:space="preserve">14.1%</w:t>
            </w:r>
          </w:p>
        </w:tc>
        <w:tc>
          <w:tcPr>
            <w:tcW w:w="1200" w:type="dxa"/>
            <w:tcMar>
              <w:top w:w="90" w:type="dxa"/>
              <w:bottom w:w="90" w:type="dxa"/>
              <w:start w:w="120" w:type="dxa"/>
              <w:end w:w="120" w:type="dxa"/>
            </w:tcMar>
          </w:tcPr>
          <w:p>
            <w:pPr>
              <w:jc w:val="center"/>
              <w:spacing w:after="40"/>
            </w:pPr>
            <w:r>
              <w:rPr>
                <w:sz w:val="18"/>
                <w:szCs w:val="18"/>
              </w:rPr>
              <w:t xml:space="preserve">0.139</w:t>
            </w:r>
          </w:p>
        </w:tc>
        <w:tc>
          <w:tcPr>
            <w:tcW w:w="1900" w:type="dxa"/>
            <w:tcMar>
              <w:top w:w="90" w:type="dxa"/>
              <w:bottom w:w="90" w:type="dxa"/>
              <w:start w:w="120" w:type="dxa"/>
              <w:end w:w="120" w:type="dxa"/>
            </w:tcMar>
          </w:tcPr>
          <w:p>
            <w:pPr>
              <w:jc w:val="center"/>
              <w:spacing w:after="40"/>
            </w:pPr>
            <w:r>
              <w:rPr>
                <w:sz w:val="18"/>
                <w:szCs w:val="18"/>
              </w:rPr>
              <w:t xml:space="preserve">1.59M to 4.78M</w:t>
            </w:r>
          </w:p>
        </w:tc>
        <w:tc>
          <w:tcPr>
            <w:tcW w:w="1610" w:type="dxa"/>
            <w:tcMar>
              <w:top w:w="90" w:type="dxa"/>
              <w:bottom w:w="90" w:type="dxa"/>
              <w:start w:w="120" w:type="dxa"/>
              <w:end w:w="120" w:type="dxa"/>
            </w:tcMar>
          </w:tcPr>
          <w:p>
            <w:pPr>
              <w:spacing w:after="40"/>
            </w:pPr>
            <w:r>
              <w:rPr>
                <w:sz w:val="18"/>
                <w:szCs w:val="18"/>
              </w:rPr>
              <w:t xml:space="preserve">operational maturity refinement</w:t>
            </w:r>
          </w:p>
        </w:tc>
      </w:tr>
      <w:tr>
        <w:tc>
          <w:tcPr>
            <w:tcW w:w="2050" w:type="dxa"/>
            <w:shd w:fill="FAFBFC"/>
            <w:tcMar>
              <w:top w:w="90" w:type="dxa"/>
              <w:bottom w:w="90" w:type="dxa"/>
              <w:start w:w="120" w:type="dxa"/>
              <w:end w:w="120" w:type="dxa"/>
            </w:tcMar>
          </w:tcPr>
          <w:p>
            <w:pPr>
              <w:spacing w:after="40"/>
            </w:pPr>
            <w:r>
              <w:rPr>
                <w:sz w:val="18"/>
                <w:szCs w:val="18"/>
              </w:rPr>
              <w:t xml:space="preserve">automation_rate</w:t>
            </w:r>
          </w:p>
        </w:tc>
        <w:tc>
          <w:tcPr>
            <w:tcW w:w="1400" w:type="dxa"/>
            <w:shd w:fill="FAFBFC"/>
            <w:tcMar>
              <w:top w:w="90" w:type="dxa"/>
              <w:bottom w:w="90" w:type="dxa"/>
              <w:start w:w="120" w:type="dxa"/>
              <w:end w:w="120" w:type="dxa"/>
            </w:tcMar>
          </w:tcPr>
          <w:p>
            <w:pPr>
              <w:jc w:val="center"/>
              <w:spacing w:after="40"/>
            </w:pPr>
            <w:r>
              <w:rPr>
                <w:sz w:val="18"/>
                <w:szCs w:val="18"/>
              </w:rPr>
              <w:t xml:space="preserve">0.4833</w:t>
            </w:r>
          </w:p>
        </w:tc>
        <w:tc>
          <w:tcPr>
            <w:tcW w:w="1200" w:type="dxa"/>
            <w:shd w:fill="FAFBFC"/>
            <w:tcMar>
              <w:top w:w="90" w:type="dxa"/>
              <w:bottom w:w="90" w:type="dxa"/>
              <w:start w:w="120" w:type="dxa"/>
              <w:end w:w="120" w:type="dxa"/>
            </w:tcMar>
          </w:tcPr>
          <w:p>
            <w:pPr>
              <w:jc w:val="center"/>
              <w:spacing w:after="40"/>
            </w:pPr>
            <w:r>
              <w:rPr>
                <w:sz w:val="18"/>
                <w:szCs w:val="18"/>
              </w:rPr>
              <w:t xml:space="preserve">13.3%</w:t>
            </w:r>
          </w:p>
        </w:tc>
        <w:tc>
          <w:tcPr>
            <w:tcW w:w="1200" w:type="dxa"/>
            <w:shd w:fill="FAFBFC"/>
            <w:tcMar>
              <w:top w:w="90" w:type="dxa"/>
              <w:bottom w:w="90" w:type="dxa"/>
              <w:start w:w="120" w:type="dxa"/>
              <w:end w:w="120" w:type="dxa"/>
            </w:tcMar>
          </w:tcPr>
          <w:p>
            <w:pPr>
              <w:jc w:val="center"/>
              <w:spacing w:after="40"/>
            </w:pPr>
            <w:r>
              <w:rPr>
                <w:sz w:val="18"/>
                <w:szCs w:val="18"/>
              </w:rPr>
              <w:t xml:space="preserve">0.126</w:t>
            </w:r>
          </w:p>
        </w:tc>
        <w:tc>
          <w:tcPr>
            <w:tcW w:w="1900" w:type="dxa"/>
            <w:shd w:fill="FAFBFC"/>
            <w:tcMar>
              <w:top w:w="90" w:type="dxa"/>
              <w:bottom w:w="90" w:type="dxa"/>
              <w:start w:w="120" w:type="dxa"/>
              <w:end w:w="120" w:type="dxa"/>
            </w:tcMar>
          </w:tcPr>
          <w:p>
            <w:pPr>
              <w:jc w:val="center"/>
              <w:spacing w:after="40"/>
            </w:pPr>
            <w:r>
              <w:rPr>
                <w:sz w:val="18"/>
                <w:szCs w:val="18"/>
              </w:rPr>
              <w:t xml:space="preserve">1.39M to 4.31M</w:t>
            </w:r>
          </w:p>
        </w:tc>
        <w:tc>
          <w:tcPr>
            <w:tcW w:w="1610" w:type="dxa"/>
            <w:shd w:fill="FAFBFC"/>
            <w:tcMar>
              <w:top w:w="90" w:type="dxa"/>
              <w:bottom w:w="90" w:type="dxa"/>
              <w:start w:w="120" w:type="dxa"/>
              <w:end w:w="120" w:type="dxa"/>
            </w:tcMar>
          </w:tcPr>
          <w:p>
            <w:pPr>
              <w:spacing w:after="40"/>
            </w:pPr>
            <w:r>
              <w:rPr>
                <w:sz w:val="18"/>
                <w:szCs w:val="18"/>
              </w:rPr>
              <w:t xml:space="preserve">operational maturity refinement</w:t>
            </w:r>
          </w:p>
        </w:tc>
      </w:tr>
      <w:tr>
        <w:tc>
          <w:tcPr>
            <w:tcW w:w="2050" w:type="dxa"/>
            <w:tcMar>
              <w:top w:w="90" w:type="dxa"/>
              <w:bottom w:w="90" w:type="dxa"/>
              <w:start w:w="120" w:type="dxa"/>
              <w:end w:w="120" w:type="dxa"/>
            </w:tcMar>
          </w:tcPr>
          <w:p>
            <w:pPr>
              <w:spacing w:after="40"/>
            </w:pPr>
            <w:r>
              <w:rPr>
                <w:sz w:val="18"/>
                <w:szCs w:val="18"/>
              </w:rPr>
              <w:t xml:space="preserve">deployment_count</w:t>
            </w:r>
          </w:p>
        </w:tc>
        <w:tc>
          <w:tcPr>
            <w:tcW w:w="1400" w:type="dxa"/>
            <w:tcMar>
              <w:top w:w="90" w:type="dxa"/>
              <w:bottom w:w="90" w:type="dxa"/>
              <w:start w:w="120" w:type="dxa"/>
              <w:end w:w="120" w:type="dxa"/>
            </w:tcMar>
          </w:tcPr>
          <w:p>
            <w:pPr>
              <w:jc w:val="center"/>
              <w:spacing w:after="40"/>
            </w:pPr>
            <w:r>
              <w:rPr>
                <w:sz w:val="18"/>
                <w:szCs w:val="18"/>
              </w:rPr>
              <w:t xml:space="preserve">29.5</w:t>
            </w:r>
          </w:p>
        </w:tc>
        <w:tc>
          <w:tcPr>
            <w:tcW w:w="1200" w:type="dxa"/>
            <w:tcMar>
              <w:top w:w="90" w:type="dxa"/>
              <w:bottom w:w="90" w:type="dxa"/>
              <w:start w:w="120" w:type="dxa"/>
              <w:end w:w="120" w:type="dxa"/>
            </w:tcMar>
          </w:tcPr>
          <w:p>
            <w:pPr>
              <w:jc w:val="center"/>
              <w:spacing w:after="40"/>
            </w:pPr>
            <w:r>
              <w:rPr>
                <w:sz w:val="18"/>
                <w:szCs w:val="18"/>
              </w:rPr>
              <w:t xml:space="preserve">11.7%</w:t>
            </w:r>
          </w:p>
        </w:tc>
        <w:tc>
          <w:tcPr>
            <w:tcW w:w="1200" w:type="dxa"/>
            <w:tcMar>
              <w:top w:w="90" w:type="dxa"/>
              <w:bottom w:w="90" w:type="dxa"/>
              <w:start w:w="120" w:type="dxa"/>
              <w:end w:w="120" w:type="dxa"/>
            </w:tcMar>
          </w:tcPr>
          <w:p>
            <w:pPr>
              <w:jc w:val="center"/>
              <w:spacing w:after="40"/>
            </w:pPr>
            <w:r>
              <w:rPr>
                <w:sz w:val="18"/>
                <w:szCs w:val="18"/>
              </w:rPr>
              <w:t xml:space="preserve">0.112</w:t>
            </w:r>
          </w:p>
        </w:tc>
        <w:tc>
          <w:tcPr>
            <w:tcW w:w="1900" w:type="dxa"/>
            <w:tcMar>
              <w:top w:w="90" w:type="dxa"/>
              <w:bottom w:w="90" w:type="dxa"/>
              <w:start w:w="120" w:type="dxa"/>
              <w:end w:w="120" w:type="dxa"/>
            </w:tcMar>
          </w:tcPr>
          <w:p>
            <w:pPr>
              <w:jc w:val="center"/>
              <w:spacing w:after="40"/>
            </w:pPr>
            <w:r>
              <w:rPr>
                <w:sz w:val="18"/>
                <w:szCs w:val="18"/>
              </w:rPr>
              <w:t xml:space="preserve">1.51M to 4.26M</w:t>
            </w:r>
          </w:p>
        </w:tc>
        <w:tc>
          <w:tcPr>
            <w:tcW w:w="1610" w:type="dxa"/>
            <w:tcMar>
              <w:top w:w="90" w:type="dxa"/>
              <w:bottom w:w="90" w:type="dxa"/>
              <w:start w:w="120" w:type="dxa"/>
              <w:end w:w="120" w:type="dxa"/>
            </w:tcMar>
          </w:tcPr>
          <w:p>
            <w:pPr>
              <w:spacing w:after="40"/>
            </w:pPr>
            <w:r>
              <w:rPr>
                <w:sz w:val="18"/>
                <w:szCs w:val="18"/>
              </w:rPr>
              <w:t xml:space="preserve">operational maturity refinement</w:t>
            </w:r>
          </w:p>
        </w:tc>
      </w:tr>
    </w:tbl>
    <w:p>
      <w:pPr>
        <w:spacing w:after="160"/>
      </w:pPr>
    </w:p>
    <w:tbl>
      <w:tblPr>
        <w:tblW w:w="9360" w:type="dxa"/>
        <w:tblInd w:w="120" w:type="dxa"/>
        <w:tblLayout w:type="fixed"/>
        <w:shd w:fill="F4F6F9"/>
        <w:tblBorders>
          <w:top w:val="single" w:sz="4" w:space="0" w:color="D0D7DE"/>
          <w:left w:val="single" w:sz="4" w:space="0" w:color="D0D7DE"/>
          <w:bottom w:val="single" w:sz="4" w:space="0" w:color="D0D7DE"/>
          <w:right w:val="single" w:sz="4" w:space="0" w:color="D0D7DE"/>
          <w:insideH w:val="single" w:sz="4" w:space="0" w:color="E5E7EB"/>
          <w:insideV w:val="single" w:sz="4" w:space="0" w:color="E5E7EB"/>
        </w:tblBorders>
      </w:tblPr>
      <w:tblGrid>
        <w:gridCol w:w="9360"/>
      </w:tblGrid>
      <w:tr>
        <w:tc>
          <w:tcPr>
            <w:tcW w:w="9360" w:type="dxa"/>
            <w:tcMar>
              <w:top w:w="90" w:type="dxa"/>
              <w:bottom w:w="90" w:type="dxa"/>
              <w:start w:w="120" w:type="dxa"/>
              <w:end w:w="120" w:type="dxa"/>
            </w:tcMar>
          </w:tcPr>
          <w:p>
            <w:pPr>
              <w:spacing w:after="40"/>
            </w:pPr>
            <w:r>
              <w:rPr>
                <w:sz w:val="20"/>
                <w:szCs w:val="20"/>
              </w:rPr>
              <w:t xml:space="preserve">Why automation and deployment are smaller: Automation and deployment have useful individual thresholds, but their incremental gain is lower once cost savings and AI investment already explain most of the financial scale. In the ensemble they remain present as small supporting signals.</w:t>
            </w:r>
          </w:p>
        </w:tc>
      </w:tr>
    </w:tbl>
    <w:p>
      <w:pPr>
        <w:spacing w:after="160"/>
      </w:pPr>
    </w:p>
    <w:p>
      <w:pPr>
        <w:spacing w:after="60"/>
      </w:pPr>
    </w:p>
    <w:tbl>
      <w:tblPr>
        <w:tblW w:w="9360" w:type="dxa"/>
        <w:tblInd w:w="120" w:type="dxa"/>
        <w:tblLayout w:type="fixed"/>
        <w:shd w:fill="F4F6F9"/>
        <w:tblBorders>
          <w:top w:val="single" w:sz="6" w:space="0" w:color="A9B7C6"/>
          <w:left w:val="single" w:sz="6" w:space="0" w:color="A9B7C6"/>
          <w:bottom w:val="single" w:sz="6" w:space="0" w:color="A9B7C6"/>
          <w:right w:val="single" w:sz="6" w:space="0" w:color="A9B7C6"/>
          <w:insideH w:val="single" w:sz="4" w:space="0" w:color="E5E7EB"/>
          <w:insideV w:val="single" w:sz="4" w:space="0" w:color="E5E7EB"/>
        </w:tblBorders>
      </w:tblPr>
      <w:tblGrid>
        <w:gridCol w:w="9360"/>
      </w:tblGrid>
      <w:tr>
        <w:tc>
          <w:tcPr>
            <w:tcW w:w="9360" w:type="dxa"/>
            <w:shd w:fill="F4F6F9"/>
            <w:tcMar>
              <w:top w:w="140" w:type="dxa"/>
              <w:bottom w:w="140" w:type="dxa"/>
              <w:start w:w="160" w:type="dxa"/>
              <w:end w:w="160" w:type="dxa"/>
            </w:tcMar>
          </w:tcPr>
          <w:p>
            <w:pPr>
              <w:spacing w:after="40"/>
            </w:pPr>
            <w:r>
              <w:rPr>
                <w:b/>
                <w:sz w:val="21"/>
                <w:szCs w:val="21"/>
                <w:color w:val="0B2545"/>
              </w:rPr>
              <w:t xml:space="preserve">Final key takeaway: </w:t>
            </w:r>
            <w:r>
              <w:rPr>
                <w:sz w:val="21"/>
                <w:szCs w:val="21"/>
              </w:rPr>
              <w:t xml:space="preserve">Automation and deployment were not disregarded. They simply lost priority inside the greedy interaction tree after stronger financial splits were selected. Individually, automation still splits around 0.430-0.733 scale behavior, and deployment still has a one-variable split at 29.5 deployments.</w:t>
            </w:r>
          </w:p>
        </w:tc>
      </w:tr>
    </w:tbl>
    <w:p>
      <w:pPr>
        <w:spacing w:after="120"/>
      </w:pPr>
    </w:p>
    <w:p>
      <w:pPr>
        <w:pStyle w:val="Heading1"/>
      </w:pPr>
      <w:r>
        <w:t xml:space="preserve">8. XGBoost Interpretation</w:t>
      </w:r>
    </w:p>
    <w:p>
      <w:r>
        <w:t xml:space="preserve">XGBoost is the final nonlinear model because it combines many shallow threshold trees instead of relying on one diagnostic tree. Each tree adds a correction to the previous prediction. Feature importance measures how much each feature contributes to reducing ensemble error, not causal impact. The implementation uses log1p-transformed cost savings and AI investment, keeps low-skew operational variables raw, and enforces the native split-gain threshold through gamma.</w:t>
      </w:r>
    </w:p>
    <w:p>
      <w:pPr>
        <w:jc w:val="center"/>
        <w:spacing w:before="80" w:after="60"/>
      </w:pPr>
      <w:r>
        <w:drawing>
          <wp:inline distT="0" distB="0" distL="0" distR="0">
            <wp:extent cx="5715000" cy="2120534"/>
            <wp:effectExtent l="0" t="0" r="0" b="0"/>
            <wp:docPr id="7" name="xgb.png"/>
            <wp:cNvGraphicFramePr>
              <a:graphicFrameLocks noChangeAspect="1"/>
            </wp:cNvGraphicFramePr>
            <a:graphic>
              <a:graphicData uri="http://schemas.openxmlformats.org/drawingml/2006/picture">
                <pic:pic>
                  <pic:nvPicPr>
                    <pic:cNvPr id="0" name="xgb.png"/>
                    <pic:cNvPicPr/>
                  </pic:nvPicPr>
                  <pic:blipFill>
                    <a:blip r:embed="rIdImg7"/>
                    <a:stretch>
                      <a:fillRect/>
                    </a:stretch>
                  </pic:blipFill>
                  <pic:spPr>
                    <a:xfrm>
                      <a:off x="0" y="0"/>
                      <a:ext cx="5715000" cy="2120534"/>
                    </a:xfrm>
                    <a:prstGeom prst="rect">
                      <a:avLst/>
                    </a:prstGeom>
                  </pic:spPr>
                </pic:pic>
              </a:graphicData>
            </a:graphic>
          </wp:inline>
        </w:drawing>
      </w:r>
    </w:p>
    <w:p>
      <w:pPr>
        <w:pStyle w:val="Caption"/>
        <w:jc w:val="center"/>
      </w:pPr>
      <w:r>
        <w:t xml:space="preserve">Figure 7. XGBoost confirms the hierarchy: cost savings first, AI investment second, operational variables third.</w:t>
      </w:r>
    </w:p>
    <w:tbl>
      <w:tblPr>
        <w:tblW w:w="9360" w:type="dxa"/>
        <w:tblInd w:w="120" w:type="dxa"/>
        <w:tblLayout w:type="fixed"/>
        <w:tblBorders>
          <w:top w:val="single" w:sz="4" w:space="0" w:color="D0D7DE"/>
          <w:left w:val="single" w:sz="4" w:space="0" w:color="D0D7DE"/>
          <w:bottom w:val="single" w:sz="4" w:space="0" w:color="D0D7DE"/>
          <w:right w:val="single" w:sz="4" w:space="0" w:color="D0D7DE"/>
          <w:insideH w:val="single" w:sz="4" w:space="0" w:color="E5E7EB"/>
          <w:insideV w:val="single" w:sz="4" w:space="0" w:color="E5E7EB"/>
        </w:tblBorders>
      </w:tblPr>
      <w:tblGrid>
        <w:gridCol w:w="2300"/>
        <w:gridCol w:w="1200"/>
        <w:gridCol w:w="2200"/>
        <w:gridCol w:w="1100"/>
        <w:gridCol w:w="2560"/>
      </w:tblGrid>
      <w:tr>
        <w:tc>
          <w:tcPr>
            <w:tcW w:w="2300" w:type="dxa"/>
            <w:shd w:fill="F2F4F7"/>
            <w:tcMar>
              <w:top w:w="90" w:type="dxa"/>
              <w:bottom w:w="90" w:type="dxa"/>
              <w:start w:w="120" w:type="dxa"/>
              <w:end w:w="120" w:type="dxa"/>
            </w:tcMar>
          </w:tcPr>
          <w:p>
            <w:pPr>
              <w:spacing w:after="40"/>
            </w:pPr>
            <w:r>
              <w:rPr>
                <w:b/>
                <w:sz w:val="18"/>
                <w:szCs w:val="18"/>
              </w:rPr>
              <w:t xml:space="preserve">Feature</w:t>
            </w:r>
          </w:p>
        </w:tc>
        <w:tc>
          <w:tcPr>
            <w:tcW w:w="1200" w:type="dxa"/>
            <w:shd w:fill="F2F4F7"/>
            <w:tcMar>
              <w:top w:w="90" w:type="dxa"/>
              <w:bottom w:w="90" w:type="dxa"/>
              <w:start w:w="120" w:type="dxa"/>
              <w:end w:w="120" w:type="dxa"/>
            </w:tcMar>
          </w:tcPr>
          <w:p>
            <w:pPr>
              <w:jc w:val="center"/>
              <w:spacing w:after="40"/>
            </w:pPr>
            <w:r>
              <w:rPr>
                <w:b/>
                <w:sz w:val="18"/>
                <w:szCs w:val="18"/>
              </w:rPr>
              <w:t xml:space="preserve">Importance</w:t>
            </w:r>
          </w:p>
        </w:tc>
        <w:tc>
          <w:tcPr>
            <w:tcW w:w="2200" w:type="dxa"/>
            <w:shd w:fill="F2F4F7"/>
            <w:tcMar>
              <w:top w:w="90" w:type="dxa"/>
              <w:bottom w:w="90" w:type="dxa"/>
              <w:start w:w="120" w:type="dxa"/>
              <w:end w:w="120" w:type="dxa"/>
            </w:tcMar>
          </w:tcPr>
          <w:p>
            <w:pPr>
              <w:jc w:val="center"/>
              <w:spacing w:after="40"/>
            </w:pPr>
            <w:r>
              <w:rPr>
                <w:b/>
                <w:sz w:val="18"/>
                <w:szCs w:val="18"/>
              </w:rPr>
              <w:t xml:space="preserve">Input treatment</w:t>
            </w:r>
          </w:p>
        </w:tc>
        <w:tc>
          <w:tcPr>
            <w:tcW w:w="1100" w:type="dxa"/>
            <w:shd w:fill="F2F4F7"/>
            <w:tcMar>
              <w:top w:w="90" w:type="dxa"/>
              <w:bottom w:w="90" w:type="dxa"/>
              <w:start w:w="120" w:type="dxa"/>
              <w:end w:w="120" w:type="dxa"/>
            </w:tcMar>
          </w:tcPr>
          <w:p>
            <w:pPr>
              <w:jc w:val="center"/>
              <w:spacing w:after="40"/>
            </w:pPr>
            <w:r>
              <w:rPr>
                <w:b/>
                <w:sz w:val="18"/>
                <w:szCs w:val="18"/>
              </w:rPr>
              <w:t xml:space="preserve">Skewness</w:t>
            </w:r>
          </w:p>
        </w:tc>
        <w:tc>
          <w:tcPr>
            <w:tcW w:w="2560" w:type="dxa"/>
            <w:shd w:fill="F2F4F7"/>
            <w:tcMar>
              <w:top w:w="90" w:type="dxa"/>
              <w:bottom w:w="90" w:type="dxa"/>
              <w:start w:w="120" w:type="dxa"/>
              <w:end w:w="120" w:type="dxa"/>
            </w:tcMar>
          </w:tcPr>
          <w:p>
            <w:pPr>
              <w:jc w:val="center"/>
              <w:spacing w:after="40"/>
            </w:pPr>
            <w:r>
              <w:rPr>
                <w:b/>
                <w:sz w:val="18"/>
                <w:szCs w:val="18"/>
              </w:rPr>
              <w:t xml:space="preserve">Interpretation</w:t>
            </w:r>
          </w:p>
        </w:tc>
      </w:tr>
      <w:tr>
        <w:tc>
          <w:tcPr>
            <w:tcW w:w="2300" w:type="dxa"/>
            <w:tcMar>
              <w:top w:w="90" w:type="dxa"/>
              <w:bottom w:w="90" w:type="dxa"/>
              <w:start w:w="120" w:type="dxa"/>
              <w:end w:w="120" w:type="dxa"/>
            </w:tcMar>
          </w:tcPr>
          <w:p>
            <w:pPr>
              <w:spacing w:after="40"/>
            </w:pPr>
            <w:r>
              <w:rPr>
                <w:sz w:val="18"/>
                <w:szCs w:val="18"/>
              </w:rPr>
              <w:t xml:space="preserve">cost_savings</w:t>
            </w:r>
          </w:p>
        </w:tc>
        <w:tc>
          <w:tcPr>
            <w:tcW w:w="1200" w:type="dxa"/>
            <w:tcMar>
              <w:top w:w="90" w:type="dxa"/>
              <w:bottom w:w="90" w:type="dxa"/>
              <w:start w:w="120" w:type="dxa"/>
              <w:end w:w="120" w:type="dxa"/>
            </w:tcMar>
          </w:tcPr>
          <w:p>
            <w:pPr>
              <w:jc w:val="center"/>
              <w:spacing w:after="40"/>
            </w:pPr>
            <w:r>
              <w:rPr>
                <w:sz w:val="18"/>
                <w:szCs w:val="18"/>
              </w:rPr>
              <w:t xml:space="preserve">67.0%</w:t>
            </w:r>
          </w:p>
        </w:tc>
        <w:tc>
          <w:tcPr>
            <w:tcW w:w="2200" w:type="dxa"/>
            <w:tcMar>
              <w:top w:w="90" w:type="dxa"/>
              <w:bottom w:w="90" w:type="dxa"/>
              <w:start w:w="120" w:type="dxa"/>
              <w:end w:w="120" w:type="dxa"/>
            </w:tcMar>
          </w:tcPr>
          <w:p>
            <w:pPr>
              <w:jc w:val="center"/>
              <w:spacing w:after="40"/>
            </w:pPr>
            <w:r>
              <w:rPr>
                <w:sz w:val="18"/>
                <w:szCs w:val="18"/>
              </w:rPr>
              <w:t xml:space="preserve">log1p (high right skew)</w:t>
            </w:r>
          </w:p>
        </w:tc>
        <w:tc>
          <w:tcPr>
            <w:tcW w:w="1100" w:type="dxa"/>
            <w:tcMar>
              <w:top w:w="90" w:type="dxa"/>
              <w:bottom w:w="90" w:type="dxa"/>
              <w:start w:w="120" w:type="dxa"/>
              <w:end w:w="120" w:type="dxa"/>
            </w:tcMar>
          </w:tcPr>
          <w:p>
            <w:pPr>
              <w:jc w:val="center"/>
              <w:spacing w:after="40"/>
            </w:pPr>
            <w:r>
              <w:rPr>
                <w:sz w:val="18"/>
                <w:szCs w:val="18"/>
              </w:rPr>
              <w:t xml:space="preserve">2.90</w:t>
            </w:r>
          </w:p>
        </w:tc>
        <w:tc>
          <w:tcPr>
            <w:tcW w:w="2560" w:type="dxa"/>
            <w:tcMar>
              <w:top w:w="90" w:type="dxa"/>
              <w:bottom w:w="90" w:type="dxa"/>
              <w:start w:w="120" w:type="dxa"/>
              <w:end w:w="120" w:type="dxa"/>
            </w:tcMar>
          </w:tcPr>
          <w:p>
            <w:pPr>
              <w:jc w:val="center"/>
              <w:spacing w:after="40"/>
            </w:pPr>
            <w:r>
              <w:rPr>
                <w:sz w:val="18"/>
                <w:szCs w:val="18"/>
              </w:rPr>
              <w:t xml:space="preserve">dominant signal</w:t>
            </w:r>
          </w:p>
        </w:tc>
      </w:tr>
      <w:tr>
        <w:tc>
          <w:tcPr>
            <w:tcW w:w="2300" w:type="dxa"/>
            <w:shd w:fill="FAFBFC"/>
            <w:tcMar>
              <w:top w:w="90" w:type="dxa"/>
              <w:bottom w:w="90" w:type="dxa"/>
              <w:start w:w="120" w:type="dxa"/>
              <w:end w:w="120" w:type="dxa"/>
            </w:tcMar>
          </w:tcPr>
          <w:p>
            <w:pPr>
              <w:spacing w:after="40"/>
            </w:pPr>
            <w:r>
              <w:rPr>
                <w:sz w:val="18"/>
                <w:szCs w:val="18"/>
              </w:rPr>
              <w:t xml:space="preserve">ai_investment_usd</w:t>
            </w:r>
          </w:p>
        </w:tc>
        <w:tc>
          <w:tcPr>
            <w:tcW w:w="1200" w:type="dxa"/>
            <w:shd w:fill="FAFBFC"/>
            <w:tcMar>
              <w:top w:w="90" w:type="dxa"/>
              <w:bottom w:w="90" w:type="dxa"/>
              <w:start w:w="120" w:type="dxa"/>
              <w:end w:w="120" w:type="dxa"/>
            </w:tcMar>
          </w:tcPr>
          <w:p>
            <w:pPr>
              <w:jc w:val="center"/>
              <w:spacing w:after="40"/>
            </w:pPr>
            <w:r>
              <w:rPr>
                <w:sz w:val="18"/>
                <w:szCs w:val="18"/>
              </w:rPr>
              <w:t xml:space="preserve">24.8%</w:t>
            </w:r>
          </w:p>
        </w:tc>
        <w:tc>
          <w:tcPr>
            <w:tcW w:w="2200" w:type="dxa"/>
            <w:shd w:fill="FAFBFC"/>
            <w:tcMar>
              <w:top w:w="90" w:type="dxa"/>
              <w:bottom w:w="90" w:type="dxa"/>
              <w:start w:w="120" w:type="dxa"/>
              <w:end w:w="120" w:type="dxa"/>
            </w:tcMar>
          </w:tcPr>
          <w:p>
            <w:pPr>
              <w:jc w:val="center"/>
              <w:spacing w:after="40"/>
            </w:pPr>
            <w:r>
              <w:rPr>
                <w:sz w:val="18"/>
                <w:szCs w:val="18"/>
              </w:rPr>
              <w:t xml:space="preserve">log1p (high right skew)</w:t>
            </w:r>
          </w:p>
        </w:tc>
        <w:tc>
          <w:tcPr>
            <w:tcW w:w="1100" w:type="dxa"/>
            <w:shd w:fill="FAFBFC"/>
            <w:tcMar>
              <w:top w:w="90" w:type="dxa"/>
              <w:bottom w:w="90" w:type="dxa"/>
              <w:start w:w="120" w:type="dxa"/>
              <w:end w:w="120" w:type="dxa"/>
            </w:tcMar>
          </w:tcPr>
          <w:p>
            <w:pPr>
              <w:jc w:val="center"/>
              <w:spacing w:after="40"/>
            </w:pPr>
            <w:r>
              <w:rPr>
                <w:sz w:val="18"/>
                <w:szCs w:val="18"/>
              </w:rPr>
              <w:t xml:space="preserve">1.68</w:t>
            </w:r>
          </w:p>
        </w:tc>
        <w:tc>
          <w:tcPr>
            <w:tcW w:w="2560" w:type="dxa"/>
            <w:shd w:fill="FAFBFC"/>
            <w:tcMar>
              <w:top w:w="90" w:type="dxa"/>
              <w:bottom w:w="90" w:type="dxa"/>
              <w:start w:w="120" w:type="dxa"/>
              <w:end w:w="120" w:type="dxa"/>
            </w:tcMar>
          </w:tcPr>
          <w:p>
            <w:pPr>
              <w:jc w:val="center"/>
              <w:spacing w:after="40"/>
            </w:pPr>
            <w:r>
              <w:rPr>
                <w:sz w:val="18"/>
                <w:szCs w:val="18"/>
              </w:rPr>
              <w:t xml:space="preserve">major secondary signal</w:t>
            </w:r>
          </w:p>
        </w:tc>
      </w:tr>
      <w:tr>
        <w:tc>
          <w:tcPr>
            <w:tcW w:w="2300" w:type="dxa"/>
            <w:tcMar>
              <w:top w:w="90" w:type="dxa"/>
              <w:bottom w:w="90" w:type="dxa"/>
              <w:start w:w="120" w:type="dxa"/>
              <w:end w:w="120" w:type="dxa"/>
            </w:tcMar>
          </w:tcPr>
          <w:p>
            <w:pPr>
              <w:spacing w:after="40"/>
            </w:pPr>
            <w:r>
              <w:rPr>
                <w:sz w:val="18"/>
                <w:szCs w:val="18"/>
              </w:rPr>
              <w:t xml:space="preserve">employee_ai_training_hours</w:t>
            </w:r>
          </w:p>
        </w:tc>
        <w:tc>
          <w:tcPr>
            <w:tcW w:w="1200" w:type="dxa"/>
            <w:tcMar>
              <w:top w:w="90" w:type="dxa"/>
              <w:bottom w:w="90" w:type="dxa"/>
              <w:start w:w="120" w:type="dxa"/>
              <w:end w:w="120" w:type="dxa"/>
            </w:tcMar>
          </w:tcPr>
          <w:p>
            <w:pPr>
              <w:jc w:val="center"/>
              <w:spacing w:after="40"/>
            </w:pPr>
            <w:r>
              <w:rPr>
                <w:sz w:val="18"/>
                <w:szCs w:val="18"/>
              </w:rPr>
              <w:t xml:space="preserve">3.5%</w:t>
            </w:r>
          </w:p>
        </w:tc>
        <w:tc>
          <w:tcPr>
            <w:tcW w:w="2200" w:type="dxa"/>
            <w:tcMar>
              <w:top w:w="90" w:type="dxa"/>
              <w:bottom w:w="90" w:type="dxa"/>
              <w:start w:w="120" w:type="dxa"/>
              <w:end w:w="120" w:type="dxa"/>
            </w:tcMar>
          </w:tcPr>
          <w:p>
            <w:pPr>
              <w:jc w:val="center"/>
              <w:spacing w:after="40"/>
            </w:pPr>
            <w:r>
              <w:rPr>
                <w:sz w:val="18"/>
                <w:szCs w:val="18"/>
              </w:rPr>
              <w:t xml:space="preserve">raw</w:t>
            </w:r>
          </w:p>
        </w:tc>
        <w:tc>
          <w:tcPr>
            <w:tcW w:w="1100" w:type="dxa"/>
            <w:tcMar>
              <w:top w:w="90" w:type="dxa"/>
              <w:bottom w:w="90" w:type="dxa"/>
              <w:start w:w="120" w:type="dxa"/>
              <w:end w:w="120" w:type="dxa"/>
            </w:tcMar>
          </w:tcPr>
          <w:p>
            <w:pPr>
              <w:jc w:val="center"/>
              <w:spacing w:after="40"/>
            </w:pPr>
            <w:r>
              <w:rPr>
                <w:sz w:val="18"/>
                <w:szCs w:val="18"/>
              </w:rPr>
              <w:t xml:space="preserve">0.16</w:t>
            </w:r>
          </w:p>
        </w:tc>
        <w:tc>
          <w:tcPr>
            <w:tcW w:w="2560" w:type="dxa"/>
            <w:tcMar>
              <w:top w:w="90" w:type="dxa"/>
              <w:bottom w:w="90" w:type="dxa"/>
              <w:start w:w="120" w:type="dxa"/>
              <w:end w:w="120" w:type="dxa"/>
            </w:tcMar>
          </w:tcPr>
          <w:p>
            <w:pPr>
              <w:spacing w:after="40"/>
            </w:pPr>
            <w:r>
              <w:rPr>
                <w:sz w:val="18"/>
                <w:szCs w:val="18"/>
              </w:rPr>
              <w:t xml:space="preserve">supporting nonlinear signal</w:t>
            </w:r>
          </w:p>
        </w:tc>
      </w:tr>
      <w:tr>
        <w:tc>
          <w:tcPr>
            <w:tcW w:w="2300" w:type="dxa"/>
            <w:shd w:fill="FAFBFC"/>
            <w:tcMar>
              <w:top w:w="90" w:type="dxa"/>
              <w:bottom w:w="90" w:type="dxa"/>
              <w:start w:w="120" w:type="dxa"/>
              <w:end w:w="120" w:type="dxa"/>
            </w:tcMar>
          </w:tcPr>
          <w:p>
            <w:pPr>
              <w:spacing w:after="40"/>
            </w:pPr>
            <w:r>
              <w:rPr>
                <w:sz w:val="18"/>
                <w:szCs w:val="18"/>
              </w:rPr>
              <w:t xml:space="preserve">deployment_count</w:t>
            </w:r>
          </w:p>
        </w:tc>
        <w:tc>
          <w:tcPr>
            <w:tcW w:w="1200" w:type="dxa"/>
            <w:shd w:fill="FAFBFC"/>
            <w:tcMar>
              <w:top w:w="90" w:type="dxa"/>
              <w:bottom w:w="90" w:type="dxa"/>
              <w:start w:w="120" w:type="dxa"/>
              <w:end w:w="120" w:type="dxa"/>
            </w:tcMar>
          </w:tcPr>
          <w:p>
            <w:pPr>
              <w:jc w:val="center"/>
              <w:spacing w:after="40"/>
            </w:pPr>
            <w:r>
              <w:rPr>
                <w:sz w:val="18"/>
                <w:szCs w:val="18"/>
              </w:rPr>
              <w:t xml:space="preserve">2.4%</w:t>
            </w:r>
          </w:p>
        </w:tc>
        <w:tc>
          <w:tcPr>
            <w:tcW w:w="2200" w:type="dxa"/>
            <w:shd w:fill="FAFBFC"/>
            <w:tcMar>
              <w:top w:w="90" w:type="dxa"/>
              <w:bottom w:w="90" w:type="dxa"/>
              <w:start w:w="120" w:type="dxa"/>
              <w:end w:w="120" w:type="dxa"/>
            </w:tcMar>
          </w:tcPr>
          <w:p>
            <w:pPr>
              <w:jc w:val="center"/>
              <w:spacing w:after="40"/>
            </w:pPr>
            <w:r>
              <w:rPr>
                <w:sz w:val="18"/>
                <w:szCs w:val="18"/>
              </w:rPr>
              <w:t xml:space="preserve">raw</w:t>
            </w:r>
          </w:p>
        </w:tc>
        <w:tc>
          <w:tcPr>
            <w:tcW w:w="1100" w:type="dxa"/>
            <w:shd w:fill="FAFBFC"/>
            <w:tcMar>
              <w:top w:w="90" w:type="dxa"/>
              <w:bottom w:w="90" w:type="dxa"/>
              <w:start w:w="120" w:type="dxa"/>
              <w:end w:w="120" w:type="dxa"/>
            </w:tcMar>
          </w:tcPr>
          <w:p>
            <w:pPr>
              <w:jc w:val="center"/>
              <w:spacing w:after="40"/>
            </w:pPr>
            <w:r>
              <w:rPr>
                <w:sz w:val="18"/>
                <w:szCs w:val="18"/>
              </w:rPr>
              <w:t xml:space="preserve">0.29</w:t>
            </w:r>
          </w:p>
        </w:tc>
        <w:tc>
          <w:tcPr>
            <w:tcW w:w="2560" w:type="dxa"/>
            <w:shd w:fill="FAFBFC"/>
            <w:tcMar>
              <w:top w:w="90" w:type="dxa"/>
              <w:bottom w:w="90" w:type="dxa"/>
              <w:start w:w="120" w:type="dxa"/>
              <w:end w:w="120" w:type="dxa"/>
            </w:tcMar>
          </w:tcPr>
          <w:p>
            <w:pPr>
              <w:spacing w:after="40"/>
            </w:pPr>
            <w:r>
              <w:rPr>
                <w:sz w:val="18"/>
                <w:szCs w:val="18"/>
              </w:rPr>
              <w:t xml:space="preserve">supporting nonlinear signal</w:t>
            </w:r>
          </w:p>
        </w:tc>
      </w:tr>
      <w:tr>
        <w:tc>
          <w:tcPr>
            <w:tcW w:w="2300" w:type="dxa"/>
            <w:tcMar>
              <w:top w:w="90" w:type="dxa"/>
              <w:bottom w:w="90" w:type="dxa"/>
              <w:start w:w="120" w:type="dxa"/>
              <w:end w:w="120" w:type="dxa"/>
            </w:tcMar>
          </w:tcPr>
          <w:p>
            <w:pPr>
              <w:spacing w:after="40"/>
            </w:pPr>
            <w:r>
              <w:rPr>
                <w:sz w:val="18"/>
                <w:szCs w:val="18"/>
              </w:rPr>
              <w:t xml:space="preserve">automation_rate</w:t>
            </w:r>
          </w:p>
        </w:tc>
        <w:tc>
          <w:tcPr>
            <w:tcW w:w="1200" w:type="dxa"/>
            <w:tcMar>
              <w:top w:w="90" w:type="dxa"/>
              <w:bottom w:w="90" w:type="dxa"/>
              <w:start w:w="120" w:type="dxa"/>
              <w:end w:w="120" w:type="dxa"/>
            </w:tcMar>
          </w:tcPr>
          <w:p>
            <w:pPr>
              <w:jc w:val="center"/>
              <w:spacing w:after="40"/>
            </w:pPr>
            <w:r>
              <w:rPr>
                <w:sz w:val="18"/>
                <w:szCs w:val="18"/>
              </w:rPr>
              <w:t xml:space="preserve">2.3%</w:t>
            </w:r>
          </w:p>
        </w:tc>
        <w:tc>
          <w:tcPr>
            <w:tcW w:w="2200" w:type="dxa"/>
            <w:tcMar>
              <w:top w:w="90" w:type="dxa"/>
              <w:bottom w:w="90" w:type="dxa"/>
              <w:start w:w="120" w:type="dxa"/>
              <w:end w:w="120" w:type="dxa"/>
            </w:tcMar>
          </w:tcPr>
          <w:p>
            <w:pPr>
              <w:jc w:val="center"/>
              <w:spacing w:after="40"/>
            </w:pPr>
            <w:r>
              <w:rPr>
                <w:sz w:val="18"/>
                <w:szCs w:val="18"/>
              </w:rPr>
              <w:t xml:space="preserve">raw</w:t>
            </w:r>
          </w:p>
        </w:tc>
        <w:tc>
          <w:tcPr>
            <w:tcW w:w="1100" w:type="dxa"/>
            <w:tcMar>
              <w:top w:w="90" w:type="dxa"/>
              <w:bottom w:w="90" w:type="dxa"/>
              <w:start w:w="120" w:type="dxa"/>
              <w:end w:w="120" w:type="dxa"/>
            </w:tcMar>
          </w:tcPr>
          <w:p>
            <w:pPr>
              <w:jc w:val="center"/>
              <w:spacing w:after="40"/>
            </w:pPr>
            <w:r>
              <w:rPr>
                <w:sz w:val="18"/>
                <w:szCs w:val="18"/>
              </w:rPr>
              <w:t xml:space="preserve">0.17</w:t>
            </w:r>
          </w:p>
        </w:tc>
        <w:tc>
          <w:tcPr>
            <w:tcW w:w="2560" w:type="dxa"/>
            <w:tcMar>
              <w:top w:w="90" w:type="dxa"/>
              <w:bottom w:w="90" w:type="dxa"/>
              <w:start w:w="120" w:type="dxa"/>
              <w:end w:w="120" w:type="dxa"/>
            </w:tcMar>
          </w:tcPr>
          <w:p>
            <w:pPr>
              <w:spacing w:after="40"/>
            </w:pPr>
            <w:r>
              <w:rPr>
                <w:sz w:val="18"/>
                <w:szCs w:val="18"/>
              </w:rPr>
              <w:t xml:space="preserve">supporting nonlinear signal</w:t>
            </w:r>
          </w:p>
        </w:tc>
      </w:tr>
    </w:tbl>
    <w:p>
      <w:pPr>
        <w:spacing w:after="160"/>
      </w:pPr>
    </w:p>
    <w:p>
      <w:r>
        <w:t xml:space="preserve">The importance ranking is consistent with the tree logic. Cost savings carries 67.0% of XGBoost importance, AI investment carries 24.8%, and the operational variables together contribute about 8.2%. This supports a layered interpretation: financial scale explains most variation, and operational maturity variables refine the estimate rather than replace the financial story.</w:t>
      </w:r>
    </w:p>
    <w:p>
      <w:pPr>
        <w:spacing w:after="60"/>
      </w:pPr>
    </w:p>
    <w:tbl>
      <w:tblPr>
        <w:tblW w:w="9360" w:type="dxa"/>
        <w:tblInd w:w="120" w:type="dxa"/>
        <w:tblLayout w:type="fixed"/>
        <w:shd w:fill="F4F6F9"/>
        <w:tblBorders>
          <w:top w:val="single" w:sz="6" w:space="0" w:color="A9B7C6"/>
          <w:left w:val="single" w:sz="6" w:space="0" w:color="A9B7C6"/>
          <w:bottom w:val="single" w:sz="6" w:space="0" w:color="A9B7C6"/>
          <w:right w:val="single" w:sz="6" w:space="0" w:color="A9B7C6"/>
          <w:insideH w:val="single" w:sz="4" w:space="0" w:color="E5E7EB"/>
          <w:insideV w:val="single" w:sz="4" w:space="0" w:color="E5E7EB"/>
        </w:tblBorders>
      </w:tblPr>
      <w:tblGrid>
        <w:gridCol w:w="9360"/>
      </w:tblGrid>
      <w:tr>
        <w:tc>
          <w:tcPr>
            <w:tcW w:w="9360" w:type="dxa"/>
            <w:shd w:fill="F4F6F9"/>
            <w:tcMar>
              <w:top w:w="140" w:type="dxa"/>
              <w:bottom w:w="140" w:type="dxa"/>
              <w:start w:w="160" w:type="dxa"/>
              <w:end w:w="160" w:type="dxa"/>
            </w:tcMar>
          </w:tcPr>
          <w:p>
            <w:pPr>
              <w:spacing w:after="40"/>
            </w:pPr>
            <w:r>
              <w:rPr>
                <w:b/>
                <w:sz w:val="21"/>
                <w:szCs w:val="21"/>
                <w:color w:val="0B2545"/>
              </w:rPr>
              <w:t xml:space="preserve">Final key takeaway: </w:t>
            </w:r>
            <w:r>
              <w:rPr>
                <w:sz w:val="21"/>
                <w:szCs w:val="21"/>
              </w:rPr>
              <w:t xml:space="preserve">XGBoost confirms the same hierarchy at ensemble scale. Cost savings contributes 67.0%, AI investment contributes 24.8%, and the three operational variables together contribute 8.2%. The audit shows 1,161 split rows and 0 below the gain threshold.</w:t>
            </w:r>
          </w:p>
        </w:tc>
      </w:tr>
    </w:tbl>
    <w:p>
      <w:pPr>
        <w:spacing w:after="120"/>
      </w:pPr>
    </w:p>
    <w:p>
      <w:pPr>
        <w:pStyle w:val="Heading1"/>
      </w:pPr>
      <w:r>
        <w:t xml:space="preserve">9. Combined Interpretation</w:t>
      </w:r>
    </w:p>
    <w:tbl>
      <w:tblPr>
        <w:tblW w:w="9360" w:type="dxa"/>
        <w:tblInd w:w="120" w:type="dxa"/>
        <w:tblLayout w:type="fixed"/>
        <w:tblBorders>
          <w:top w:val="single" w:sz="4" w:space="0" w:color="D0D7DE"/>
          <w:left w:val="single" w:sz="4" w:space="0" w:color="D0D7DE"/>
          <w:bottom w:val="single" w:sz="4" w:space="0" w:color="D0D7DE"/>
          <w:right w:val="single" w:sz="4" w:space="0" w:color="D0D7DE"/>
          <w:insideH w:val="single" w:sz="4" w:space="0" w:color="E5E7EB"/>
          <w:insideV w:val="single" w:sz="4" w:space="0" w:color="E5E7EB"/>
        </w:tblBorders>
      </w:tblPr>
      <w:tblGrid>
        <w:gridCol w:w="1800"/>
        <w:gridCol w:w="3940"/>
        <w:gridCol w:w="3620"/>
      </w:tblGrid>
      <w:tr>
        <w:tc>
          <w:tcPr>
            <w:tcW w:w="1800" w:type="dxa"/>
            <w:shd w:fill="F2F4F7"/>
            <w:tcMar>
              <w:top w:w="90" w:type="dxa"/>
              <w:bottom w:w="90" w:type="dxa"/>
              <w:start w:w="120" w:type="dxa"/>
              <w:end w:w="120" w:type="dxa"/>
            </w:tcMar>
          </w:tcPr>
          <w:p>
            <w:pPr>
              <w:spacing w:after="40"/>
            </w:pPr>
            <w:r>
              <w:rPr>
                <w:b/>
                <w:sz w:val="20"/>
                <w:szCs w:val="20"/>
              </w:rPr>
              <w:t xml:space="preserve">Evidence type</w:t>
            </w:r>
          </w:p>
        </w:tc>
        <w:tc>
          <w:tcPr>
            <w:tcW w:w="3940" w:type="dxa"/>
            <w:shd w:fill="F2F4F7"/>
            <w:tcMar>
              <w:top w:w="90" w:type="dxa"/>
              <w:bottom w:w="90" w:type="dxa"/>
              <w:start w:w="120" w:type="dxa"/>
              <w:end w:w="120" w:type="dxa"/>
            </w:tcMar>
          </w:tcPr>
          <w:p>
            <w:pPr>
              <w:jc w:val="center"/>
              <w:spacing w:after="40"/>
            </w:pPr>
            <w:r>
              <w:rPr>
                <w:b/>
                <w:sz w:val="20"/>
                <w:szCs w:val="20"/>
              </w:rPr>
              <w:t xml:space="preserve">What it says</w:t>
            </w:r>
          </w:p>
        </w:tc>
        <w:tc>
          <w:tcPr>
            <w:tcW w:w="3620" w:type="dxa"/>
            <w:shd w:fill="F2F4F7"/>
            <w:tcMar>
              <w:top w:w="90" w:type="dxa"/>
              <w:bottom w:w="90" w:type="dxa"/>
              <w:start w:w="120" w:type="dxa"/>
              <w:end w:w="120" w:type="dxa"/>
            </w:tcMar>
          </w:tcPr>
          <w:p>
            <w:pPr>
              <w:jc w:val="center"/>
              <w:spacing w:after="40"/>
            </w:pPr>
            <w:r>
              <w:rPr>
                <w:b/>
                <w:sz w:val="20"/>
                <w:szCs w:val="20"/>
              </w:rPr>
              <w:t xml:space="preserve">How to use it</w:t>
            </w:r>
          </w:p>
        </w:tc>
      </w:tr>
      <w:tr>
        <w:tc>
          <w:tcPr>
            <w:tcW w:w="1800" w:type="dxa"/>
            <w:tcMar>
              <w:top w:w="90" w:type="dxa"/>
              <w:bottom w:w="90" w:type="dxa"/>
              <w:start w:w="120" w:type="dxa"/>
              <w:end w:w="120" w:type="dxa"/>
            </w:tcMar>
          </w:tcPr>
          <w:p>
            <w:pPr>
              <w:spacing w:after="40"/>
            </w:pPr>
            <w:r>
              <w:rPr>
                <w:sz w:val="20"/>
                <w:szCs w:val="20"/>
              </w:rPr>
              <w:t xml:space="preserve">Coefficients</w:t>
            </w:r>
          </w:p>
        </w:tc>
        <w:tc>
          <w:tcPr>
            <w:tcW w:w="3940" w:type="dxa"/>
            <w:tcMar>
              <w:top w:w="90" w:type="dxa"/>
              <w:bottom w:w="90" w:type="dxa"/>
              <w:start w:w="120" w:type="dxa"/>
              <w:end w:w="120" w:type="dxa"/>
            </w:tcMar>
          </w:tcPr>
          <w:p>
            <w:pPr>
              <w:jc w:val="center"/>
              <w:spacing w:after="40"/>
            </w:pPr>
            <w:r>
              <w:rPr>
                <w:sz w:val="20"/>
                <w:szCs w:val="20"/>
              </w:rPr>
              <w:t xml:space="preserve">Controlled linear contribution after scaling and other predictors.</w:t>
            </w:r>
          </w:p>
        </w:tc>
        <w:tc>
          <w:tcPr>
            <w:tcW w:w="3620" w:type="dxa"/>
            <w:tcMar>
              <w:top w:w="90" w:type="dxa"/>
              <w:bottom w:w="90" w:type="dxa"/>
              <w:start w:w="120" w:type="dxa"/>
              <w:end w:w="120" w:type="dxa"/>
            </w:tcMar>
          </w:tcPr>
          <w:p>
            <w:pPr>
              <w:spacing w:after="40"/>
            </w:pPr>
            <w:r>
              <w:rPr>
                <w:sz w:val="20"/>
                <w:szCs w:val="20"/>
              </w:rPr>
              <w:t xml:space="preserve">Use for baseline direction and controlled comparison, not causal claims.</w:t>
            </w:r>
          </w:p>
        </w:tc>
      </w:tr>
      <w:tr>
        <w:tc>
          <w:tcPr>
            <w:tcW w:w="1800" w:type="dxa"/>
            <w:shd w:fill="FAFBFC"/>
            <w:tcMar>
              <w:top w:w="90" w:type="dxa"/>
              <w:bottom w:w="90" w:type="dxa"/>
              <w:start w:w="120" w:type="dxa"/>
              <w:end w:w="120" w:type="dxa"/>
            </w:tcMar>
          </w:tcPr>
          <w:p>
            <w:pPr>
              <w:spacing w:after="40"/>
            </w:pPr>
            <w:r>
              <w:rPr>
                <w:sz w:val="20"/>
                <w:szCs w:val="20"/>
              </w:rPr>
              <w:t xml:space="preserve">Correlations</w:t>
            </w:r>
          </w:p>
        </w:tc>
        <w:tc>
          <w:tcPr>
            <w:tcW w:w="3940" w:type="dxa"/>
            <w:shd w:fill="FAFBFC"/>
            <w:tcMar>
              <w:top w:w="90" w:type="dxa"/>
              <w:bottom w:w="90" w:type="dxa"/>
              <w:start w:w="120" w:type="dxa"/>
              <w:end w:w="120" w:type="dxa"/>
            </w:tcMar>
          </w:tcPr>
          <w:p>
            <w:pPr>
              <w:jc w:val="center"/>
              <w:spacing w:after="40"/>
            </w:pPr>
            <w:r>
              <w:rPr>
                <w:sz w:val="20"/>
                <w:szCs w:val="20"/>
              </w:rPr>
              <w:t xml:space="preserve">Standalone association and nonlinear rank shape.</w:t>
            </w:r>
          </w:p>
        </w:tc>
        <w:tc>
          <w:tcPr>
            <w:tcW w:w="3620" w:type="dxa"/>
            <w:shd w:fill="FAFBFC"/>
            <w:tcMar>
              <w:top w:w="90" w:type="dxa"/>
              <w:bottom w:w="90" w:type="dxa"/>
              <w:start w:w="120" w:type="dxa"/>
              <w:end w:w="120" w:type="dxa"/>
            </w:tcMar>
          </w:tcPr>
          <w:p>
            <w:pPr>
              <w:spacing w:after="40"/>
            </w:pPr>
            <w:r>
              <w:rPr>
                <w:sz w:val="20"/>
                <w:szCs w:val="20"/>
              </w:rPr>
              <w:t xml:space="preserve">Use to decide which features need threshold/bin analysis.</w:t>
            </w:r>
          </w:p>
        </w:tc>
      </w:tr>
      <w:tr>
        <w:tc>
          <w:tcPr>
            <w:tcW w:w="1800" w:type="dxa"/>
            <w:tcMar>
              <w:top w:w="90" w:type="dxa"/>
              <w:bottom w:w="90" w:type="dxa"/>
              <w:start w:w="120" w:type="dxa"/>
              <w:end w:w="120" w:type="dxa"/>
            </w:tcMar>
          </w:tcPr>
          <w:p>
            <w:pPr>
              <w:spacing w:after="40"/>
            </w:pPr>
            <w:r>
              <w:rPr>
                <w:sz w:val="20"/>
                <w:szCs w:val="20"/>
              </w:rPr>
              <w:t xml:space="preserve">Decision tree</w:t>
            </w:r>
          </w:p>
        </w:tc>
        <w:tc>
          <w:tcPr>
            <w:tcW w:w="3940" w:type="dxa"/>
            <w:tcMar>
              <w:top w:w="90" w:type="dxa"/>
              <w:bottom w:w="90" w:type="dxa"/>
              <w:start w:w="120" w:type="dxa"/>
              <w:end w:w="120" w:type="dxa"/>
            </w:tcMar>
          </w:tcPr>
          <w:p>
            <w:pPr>
              <w:jc w:val="center"/>
              <w:spacing w:after="40"/>
            </w:pPr>
            <w:r>
              <w:rPr>
                <w:sz w:val="20"/>
                <w:szCs w:val="20"/>
              </w:rPr>
              <w:t xml:space="preserve">Readable cut points and leaf predictions.</w:t>
            </w:r>
          </w:p>
        </w:tc>
        <w:tc>
          <w:tcPr>
            <w:tcW w:w="3620" w:type="dxa"/>
            <w:tcMar>
              <w:top w:w="90" w:type="dxa"/>
              <w:bottom w:w="90" w:type="dxa"/>
              <w:start w:w="120" w:type="dxa"/>
              <w:end w:w="120" w:type="dxa"/>
            </w:tcMar>
          </w:tcPr>
          <w:p>
            <w:pPr>
              <w:spacing w:after="40"/>
            </w:pPr>
            <w:r>
              <w:rPr>
                <w:sz w:val="20"/>
                <w:szCs w:val="20"/>
              </w:rPr>
              <w:t xml:space="preserve">Use for explanation of regimes, especially cost-savings thresholds.</w:t>
            </w:r>
          </w:p>
        </w:tc>
      </w:tr>
      <w:tr>
        <w:tc>
          <w:tcPr>
            <w:tcW w:w="1800" w:type="dxa"/>
            <w:shd w:fill="FAFBFC"/>
            <w:tcMar>
              <w:top w:w="90" w:type="dxa"/>
              <w:bottom w:w="90" w:type="dxa"/>
              <w:start w:w="120" w:type="dxa"/>
              <w:end w:w="120" w:type="dxa"/>
            </w:tcMar>
          </w:tcPr>
          <w:p>
            <w:pPr>
              <w:spacing w:after="40"/>
            </w:pPr>
            <w:r>
              <w:rPr>
                <w:sz w:val="20"/>
                <w:szCs w:val="20"/>
              </w:rPr>
              <w:t xml:space="preserve">XGBoost importance</w:t>
            </w:r>
          </w:p>
        </w:tc>
        <w:tc>
          <w:tcPr>
            <w:tcW w:w="3940" w:type="dxa"/>
            <w:shd w:fill="FAFBFC"/>
            <w:tcMar>
              <w:top w:w="90" w:type="dxa"/>
              <w:bottom w:w="90" w:type="dxa"/>
              <w:start w:w="120" w:type="dxa"/>
              <w:end w:w="120" w:type="dxa"/>
            </w:tcMar>
          </w:tcPr>
          <w:p>
            <w:pPr>
              <w:jc w:val="center"/>
              <w:spacing w:after="40"/>
            </w:pPr>
            <w:r>
              <w:rPr>
                <w:sz w:val="20"/>
                <w:szCs w:val="20"/>
              </w:rPr>
              <w:t xml:space="preserve">How often and how strongly features reduce ensemble error.</w:t>
            </w:r>
          </w:p>
        </w:tc>
        <w:tc>
          <w:tcPr>
            <w:tcW w:w="3620" w:type="dxa"/>
            <w:shd w:fill="FAFBFC"/>
            <w:tcMar>
              <w:top w:w="90" w:type="dxa"/>
              <w:bottom w:w="90" w:type="dxa"/>
              <w:start w:w="120" w:type="dxa"/>
              <w:end w:w="120" w:type="dxa"/>
            </w:tcMar>
          </w:tcPr>
          <w:p>
            <w:pPr>
              <w:spacing w:after="40"/>
            </w:pPr>
            <w:r>
              <w:rPr>
                <w:sz w:val="20"/>
                <w:szCs w:val="20"/>
              </w:rPr>
              <w:t xml:space="preserve">Use for final nonlinear feature hierarchy.</w:t>
            </w:r>
          </w:p>
        </w:tc>
      </w:tr>
    </w:tbl>
    <w:p>
      <w:pPr>
        <w:spacing w:after="160"/>
      </w:pPr>
    </w:p>
    <w:p>
      <w:r>
        <w:t xml:space="preserve">The apparent tension around automation rate is a good example. Its Pearson correlation with revenue impact is positive, but its controlled linear coefficient is negative. That should not be read causally. It means automation tends to move with revenue impact in isolation, but after controlling for investment, savings, deployment, and training, the remaining linear contribution is negative. XGBoost still gives automation a small positive importance because thresholds and interactions remain useful.</w:t>
      </w:r>
    </w:p>
    <w:tbl>
      <w:tblPr>
        <w:tblW w:w="9360" w:type="dxa"/>
        <w:tblInd w:w="120" w:type="dxa"/>
        <w:tblLayout w:type="fixed"/>
        <w:shd w:fill="F4F6F9"/>
        <w:tblBorders>
          <w:top w:val="single" w:sz="4" w:space="0" w:color="D0D7DE"/>
          <w:left w:val="single" w:sz="4" w:space="0" w:color="D0D7DE"/>
          <w:bottom w:val="single" w:sz="4" w:space="0" w:color="D0D7DE"/>
          <w:right w:val="single" w:sz="4" w:space="0" w:color="D0D7DE"/>
          <w:insideH w:val="single" w:sz="4" w:space="0" w:color="E5E7EB"/>
          <w:insideV w:val="single" w:sz="4" w:space="0" w:color="E5E7EB"/>
        </w:tblBorders>
      </w:tblPr>
      <w:tblGrid>
        <w:gridCol w:w="9360"/>
      </w:tblGrid>
      <w:tr>
        <w:tc>
          <w:tcPr>
            <w:tcW w:w="9360" w:type="dxa"/>
            <w:tcMar>
              <w:top w:w="90" w:type="dxa"/>
              <w:bottom w:w="90" w:type="dxa"/>
              <w:start w:w="120" w:type="dxa"/>
              <w:end w:w="120" w:type="dxa"/>
            </w:tcMar>
          </w:tcPr>
          <w:p>
            <w:pPr>
              <w:spacing w:after="40"/>
            </w:pPr>
            <w:r>
              <w:rPr>
                <w:sz w:val="20"/>
                <w:szCs w:val="20"/>
              </w:rPr>
              <w:t xml:space="preserve">Main conclusion: Revenue impact is primarily a financial-scale outcome in this dataset. Cost savings and AI investment dominate the predictive structure. Training, automation, and deployment count are meaningful operational maturity signals, but they mainly refine the financial-scale story.</w:t>
            </w:r>
          </w:p>
        </w:tc>
      </w:tr>
    </w:tbl>
    <w:p>
      <w:pPr>
        <w:spacing w:after="160"/>
      </w:pPr>
    </w:p>
    <w:p>
      <w:r>
        <w:br w:type="page"/>
      </w:r>
    </w:p>
    <w:p>
      <w:pPr>
        <w:spacing w:after="60"/>
      </w:pPr>
    </w:p>
    <w:tbl>
      <w:tblPr>
        <w:tblW w:w="9360" w:type="dxa"/>
        <w:tblInd w:w="120" w:type="dxa"/>
        <w:tblLayout w:type="fixed"/>
        <w:shd w:fill="F4F6F9"/>
        <w:tblBorders>
          <w:top w:val="single" w:sz="6" w:space="0" w:color="A9B7C6"/>
          <w:left w:val="single" w:sz="6" w:space="0" w:color="A9B7C6"/>
          <w:bottom w:val="single" w:sz="6" w:space="0" w:color="A9B7C6"/>
          <w:right w:val="single" w:sz="6" w:space="0" w:color="A9B7C6"/>
          <w:insideH w:val="single" w:sz="4" w:space="0" w:color="E5E7EB"/>
          <w:insideV w:val="single" w:sz="4" w:space="0" w:color="E5E7EB"/>
        </w:tblBorders>
      </w:tblPr>
      <w:tblGrid>
        <w:gridCol w:w="9360"/>
      </w:tblGrid>
      <w:tr>
        <w:tc>
          <w:tcPr>
            <w:tcW w:w="9360" w:type="dxa"/>
            <w:shd w:fill="F4F6F9"/>
            <w:tcMar>
              <w:top w:w="140" w:type="dxa"/>
              <w:bottom w:w="140" w:type="dxa"/>
              <w:start w:w="160" w:type="dxa"/>
              <w:end w:w="160" w:type="dxa"/>
            </w:tcMar>
          </w:tcPr>
          <w:p>
            <w:pPr>
              <w:spacing w:after="40"/>
            </w:pPr>
            <w:r>
              <w:rPr>
                <w:b/>
                <w:sz w:val="21"/>
                <w:szCs w:val="21"/>
                <w:color w:val="0B2545"/>
              </w:rPr>
              <w:t xml:space="preserve">Final key takeaway: </w:t>
            </w:r>
            <w:r>
              <w:rPr>
                <w:sz w:val="21"/>
                <w:szCs w:val="21"/>
              </w:rPr>
              <w:t xml:space="preserve">Use each evidence type for its proper job. Coefficients explain controlled linear direction, correlations explain standalone association, the single tree explains thresholds, and XGBoost explains final nonlinear hierarchy. Example: automation can have positive standalone association but small controlled/ensemble contribution.</w:t>
            </w:r>
          </w:p>
        </w:tc>
      </w:tr>
    </w:tbl>
    <w:p>
      <w:pPr>
        <w:spacing w:after="120"/>
      </w:pPr>
    </w:p>
    <w:p>
      <w:pPr>
        <w:pStyle w:val="Heading1"/>
      </w:pPr>
      <w:r>
        <w:t xml:space="preserve">10. Guideline for Further Analysis</w:t>
      </w:r>
    </w:p>
    <w:p>
      <w:r>
        <w:t xml:space="preserve">The current framework is strong enough for descriptive interpretation and model diagnostics. Further analysis should focus on explaining the small number of high-impact misses and making the nonlinear thresholds easier to communicate.</w:t>
      </w:r>
    </w:p>
    <w:tbl>
      <w:tblPr>
        <w:tblW w:w="9360" w:type="dxa"/>
        <w:tblInd w:w="120" w:type="dxa"/>
        <w:tblLayout w:type="fixed"/>
        <w:tblBorders>
          <w:top w:val="single" w:sz="4" w:space="0" w:color="D0D7DE"/>
          <w:left w:val="single" w:sz="4" w:space="0" w:color="D0D7DE"/>
          <w:bottom w:val="single" w:sz="4" w:space="0" w:color="D0D7DE"/>
          <w:right w:val="single" w:sz="4" w:space="0" w:color="D0D7DE"/>
          <w:insideH w:val="single" w:sz="4" w:space="0" w:color="E5E7EB"/>
          <w:insideV w:val="single" w:sz="4" w:space="0" w:color="E5E7EB"/>
        </w:tblBorders>
      </w:tblPr>
      <w:tblGrid>
        <w:gridCol w:w="1600"/>
        <w:gridCol w:w="3300"/>
        <w:gridCol w:w="1300"/>
        <w:gridCol w:w="3160"/>
      </w:tblGrid>
      <w:tr>
        <w:tc>
          <w:tcPr>
            <w:tcW w:w="1600" w:type="dxa"/>
            <w:shd w:fill="F2F4F7"/>
            <w:tcMar>
              <w:top w:w="90" w:type="dxa"/>
              <w:bottom w:w="90" w:type="dxa"/>
              <w:start w:w="120" w:type="dxa"/>
              <w:end w:w="120" w:type="dxa"/>
            </w:tcMar>
          </w:tcPr>
          <w:p>
            <w:pPr>
              <w:spacing w:after="40"/>
            </w:pPr>
            <w:r>
              <w:rPr>
                <w:b/>
                <w:sz w:val="18"/>
                <w:szCs w:val="18"/>
              </w:rPr>
              <w:t xml:space="preserve">Next analysis</w:t>
            </w:r>
          </w:p>
        </w:tc>
        <w:tc>
          <w:tcPr>
            <w:tcW w:w="3300" w:type="dxa"/>
            <w:shd w:fill="F2F4F7"/>
            <w:tcMar>
              <w:top w:w="90" w:type="dxa"/>
              <w:bottom w:w="90" w:type="dxa"/>
              <w:start w:w="120" w:type="dxa"/>
              <w:end w:w="120" w:type="dxa"/>
            </w:tcMar>
          </w:tcPr>
          <w:p>
            <w:pPr>
              <w:jc w:val="center"/>
              <w:spacing w:after="40"/>
            </w:pPr>
            <w:r>
              <w:rPr>
                <w:b/>
                <w:sz w:val="18"/>
                <w:szCs w:val="18"/>
              </w:rPr>
              <w:t xml:space="preserve">Question answered</w:t>
            </w:r>
          </w:p>
        </w:tc>
        <w:tc>
          <w:tcPr>
            <w:tcW w:w="1300" w:type="dxa"/>
            <w:shd w:fill="F2F4F7"/>
            <w:tcMar>
              <w:top w:w="90" w:type="dxa"/>
              <w:bottom w:w="90" w:type="dxa"/>
              <w:start w:w="120" w:type="dxa"/>
              <w:end w:w="120" w:type="dxa"/>
            </w:tcMar>
          </w:tcPr>
          <w:p>
            <w:pPr>
              <w:jc w:val="center"/>
              <w:spacing w:after="40"/>
            </w:pPr>
            <w:r>
              <w:rPr>
                <w:b/>
                <w:sz w:val="18"/>
                <w:szCs w:val="18"/>
              </w:rPr>
              <w:t xml:space="preserve">Priority</w:t>
            </w:r>
          </w:p>
        </w:tc>
        <w:tc>
          <w:tcPr>
            <w:tcW w:w="3160" w:type="dxa"/>
            <w:shd w:fill="F2F4F7"/>
            <w:tcMar>
              <w:top w:w="90" w:type="dxa"/>
              <w:bottom w:w="90" w:type="dxa"/>
              <w:start w:w="120" w:type="dxa"/>
              <w:end w:w="120" w:type="dxa"/>
            </w:tcMar>
          </w:tcPr>
          <w:p>
            <w:pPr>
              <w:jc w:val="center"/>
              <w:spacing w:after="40"/>
            </w:pPr>
            <w:r>
              <w:rPr>
                <w:b/>
                <w:sz w:val="18"/>
                <w:szCs w:val="18"/>
              </w:rPr>
              <w:t xml:space="preserve">Expected value</w:t>
            </w:r>
          </w:p>
        </w:tc>
      </w:tr>
      <w:tr>
        <w:tc>
          <w:tcPr>
            <w:tcW w:w="1600" w:type="dxa"/>
            <w:tcMar>
              <w:top w:w="90" w:type="dxa"/>
              <w:bottom w:w="90" w:type="dxa"/>
              <w:start w:w="120" w:type="dxa"/>
              <w:end w:w="120" w:type="dxa"/>
            </w:tcMar>
          </w:tcPr>
          <w:p>
            <w:pPr>
              <w:spacing w:after="40"/>
            </w:pPr>
            <w:r>
              <w:rPr>
                <w:sz w:val="18"/>
                <w:szCs w:val="18"/>
              </w:rPr>
              <w:t xml:space="preserve">SHAP values</w:t>
            </w:r>
          </w:p>
        </w:tc>
        <w:tc>
          <w:tcPr>
            <w:tcW w:w="3300" w:type="dxa"/>
            <w:tcMar>
              <w:top w:w="90" w:type="dxa"/>
              <w:bottom w:w="90" w:type="dxa"/>
              <w:start w:w="120" w:type="dxa"/>
              <w:end w:w="120" w:type="dxa"/>
            </w:tcMar>
          </w:tcPr>
          <w:p>
            <w:pPr>
              <w:jc w:val="center"/>
              <w:spacing w:after="40"/>
            </w:pPr>
            <w:r>
              <w:rPr>
                <w:sz w:val="18"/>
                <w:szCs w:val="18"/>
              </w:rPr>
              <w:t xml:space="preserve">Which features drive each XGBoost prediction?</w:t>
            </w:r>
          </w:p>
        </w:tc>
        <w:tc>
          <w:tcPr>
            <w:tcW w:w="1300" w:type="dxa"/>
            <w:tcMar>
              <w:top w:w="90" w:type="dxa"/>
              <w:bottom w:w="90" w:type="dxa"/>
              <w:start w:w="120" w:type="dxa"/>
              <w:end w:w="120" w:type="dxa"/>
            </w:tcMar>
          </w:tcPr>
          <w:p>
            <w:pPr>
              <w:jc w:val="center"/>
              <w:spacing w:after="40"/>
            </w:pPr>
            <w:r>
              <w:rPr>
                <w:sz w:val="18"/>
                <w:szCs w:val="18"/>
              </w:rPr>
              <w:t xml:space="preserve">High</w:t>
            </w:r>
          </w:p>
        </w:tc>
        <w:tc>
          <w:tcPr>
            <w:tcW w:w="3160" w:type="dxa"/>
            <w:tcMar>
              <w:top w:w="90" w:type="dxa"/>
              <w:bottom w:w="90" w:type="dxa"/>
              <w:start w:w="120" w:type="dxa"/>
              <w:end w:w="120" w:type="dxa"/>
            </w:tcMar>
          </w:tcPr>
          <w:p>
            <w:pPr>
              <w:spacing w:after="40"/>
            </w:pPr>
            <w:r>
              <w:rPr>
                <w:sz w:val="18"/>
                <w:szCs w:val="18"/>
              </w:rPr>
              <w:t xml:space="preserve">Best next step for interpretability and case-level explanations.</w:t>
            </w:r>
          </w:p>
        </w:tc>
      </w:tr>
      <w:tr>
        <w:tc>
          <w:tcPr>
            <w:tcW w:w="1600" w:type="dxa"/>
            <w:shd w:fill="FAFBFC"/>
            <w:tcMar>
              <w:top w:w="90" w:type="dxa"/>
              <w:bottom w:w="90" w:type="dxa"/>
              <w:start w:w="120" w:type="dxa"/>
              <w:end w:w="120" w:type="dxa"/>
            </w:tcMar>
          </w:tcPr>
          <w:p>
            <w:pPr>
              <w:spacing w:after="40"/>
            </w:pPr>
            <w:r>
              <w:rPr>
                <w:sz w:val="18"/>
                <w:szCs w:val="18"/>
              </w:rPr>
              <w:t xml:space="preserve">Percentile-bin analysis</w:t>
            </w:r>
          </w:p>
        </w:tc>
        <w:tc>
          <w:tcPr>
            <w:tcW w:w="3300" w:type="dxa"/>
            <w:shd w:fill="FAFBFC"/>
            <w:tcMar>
              <w:top w:w="90" w:type="dxa"/>
              <w:bottom w:w="90" w:type="dxa"/>
              <w:start w:w="120" w:type="dxa"/>
              <w:end w:w="120" w:type="dxa"/>
            </w:tcMar>
          </w:tcPr>
          <w:p>
            <w:pPr>
              <w:jc w:val="center"/>
              <w:spacing w:after="40"/>
            </w:pPr>
            <w:r>
              <w:rPr>
                <w:sz w:val="18"/>
                <w:szCs w:val="18"/>
              </w:rPr>
              <w:t xml:space="preserve">How does revenue impact change across P0-P25, P25-P50, P50-P75, P75-P90, and P90-P99?</w:t>
            </w:r>
          </w:p>
        </w:tc>
        <w:tc>
          <w:tcPr>
            <w:tcW w:w="1300" w:type="dxa"/>
            <w:shd w:fill="FAFBFC"/>
            <w:tcMar>
              <w:top w:w="90" w:type="dxa"/>
              <w:bottom w:w="90" w:type="dxa"/>
              <w:start w:w="120" w:type="dxa"/>
              <w:end w:w="120" w:type="dxa"/>
            </w:tcMar>
          </w:tcPr>
          <w:p>
            <w:pPr>
              <w:jc w:val="center"/>
              <w:spacing w:after="40"/>
            </w:pPr>
            <w:r>
              <w:rPr>
                <w:sz w:val="18"/>
                <w:szCs w:val="18"/>
              </w:rPr>
              <w:t xml:space="preserve">High</w:t>
            </w:r>
          </w:p>
        </w:tc>
        <w:tc>
          <w:tcPr>
            <w:tcW w:w="3160" w:type="dxa"/>
            <w:shd w:fill="FAFBFC"/>
            <w:tcMar>
              <w:top w:w="90" w:type="dxa"/>
              <w:bottom w:w="90" w:type="dxa"/>
              <w:start w:w="120" w:type="dxa"/>
              <w:end w:w="120" w:type="dxa"/>
            </w:tcMar>
          </w:tcPr>
          <w:p>
            <w:pPr>
              <w:spacing w:after="40"/>
            </w:pPr>
            <w:r>
              <w:rPr>
                <w:sz w:val="18"/>
                <w:szCs w:val="18"/>
              </w:rPr>
              <w:t xml:space="preserve">Best next step for communicating skewness without overcomplicating the model.</w:t>
            </w:r>
          </w:p>
        </w:tc>
      </w:tr>
      <w:tr>
        <w:tc>
          <w:tcPr>
            <w:tcW w:w="1600" w:type="dxa"/>
            <w:tcMar>
              <w:top w:w="90" w:type="dxa"/>
              <w:bottom w:w="90" w:type="dxa"/>
              <w:start w:w="120" w:type="dxa"/>
              <w:end w:w="120" w:type="dxa"/>
            </w:tcMar>
          </w:tcPr>
          <w:p>
            <w:pPr>
              <w:spacing w:after="40"/>
            </w:pPr>
            <w:r>
              <w:rPr>
                <w:sz w:val="18"/>
                <w:szCs w:val="18"/>
              </w:rPr>
              <w:t xml:space="preserve">Partial dependence</w:t>
            </w:r>
          </w:p>
        </w:tc>
        <w:tc>
          <w:tcPr>
            <w:tcW w:w="3300" w:type="dxa"/>
            <w:tcMar>
              <w:top w:w="90" w:type="dxa"/>
              <w:bottom w:w="90" w:type="dxa"/>
              <w:start w:w="120" w:type="dxa"/>
              <w:end w:w="120" w:type="dxa"/>
            </w:tcMar>
          </w:tcPr>
          <w:p>
            <w:pPr>
              <w:jc w:val="center"/>
              <w:spacing w:after="40"/>
            </w:pPr>
            <w:r>
              <w:rPr>
                <w:sz w:val="18"/>
                <w:szCs w:val="18"/>
              </w:rPr>
              <w:t xml:space="preserve">Do cost savings and AI investment show diminishing returns or threshold jumps?</w:t>
            </w:r>
          </w:p>
        </w:tc>
        <w:tc>
          <w:tcPr>
            <w:tcW w:w="1300" w:type="dxa"/>
            <w:tcMar>
              <w:top w:w="90" w:type="dxa"/>
              <w:bottom w:w="90" w:type="dxa"/>
              <w:start w:w="120" w:type="dxa"/>
              <w:end w:w="120" w:type="dxa"/>
            </w:tcMar>
          </w:tcPr>
          <w:p>
            <w:pPr>
              <w:jc w:val="center"/>
              <w:spacing w:after="40"/>
            </w:pPr>
            <w:r>
              <w:rPr>
                <w:sz w:val="18"/>
                <w:szCs w:val="18"/>
              </w:rPr>
              <w:t xml:space="preserve">Medium-high</w:t>
            </w:r>
          </w:p>
        </w:tc>
        <w:tc>
          <w:tcPr>
            <w:tcW w:w="3160" w:type="dxa"/>
            <w:tcMar>
              <w:top w:w="90" w:type="dxa"/>
              <w:bottom w:w="90" w:type="dxa"/>
              <w:start w:w="120" w:type="dxa"/>
              <w:end w:w="120" w:type="dxa"/>
            </w:tcMar>
          </w:tcPr>
          <w:p>
            <w:pPr>
              <w:spacing w:after="40"/>
            </w:pPr>
            <w:r>
              <w:rPr>
                <w:sz w:val="18"/>
                <w:szCs w:val="18"/>
              </w:rPr>
              <w:t xml:space="preserve">Validates whether the monotonic nonlinear shape is smooth or regime-based.</w:t>
            </w:r>
          </w:p>
        </w:tc>
      </w:tr>
      <w:tr>
        <w:tc>
          <w:tcPr>
            <w:tcW w:w="1600" w:type="dxa"/>
            <w:shd w:fill="FAFBFC"/>
            <w:tcMar>
              <w:top w:w="90" w:type="dxa"/>
              <w:bottom w:w="90" w:type="dxa"/>
              <w:start w:w="120" w:type="dxa"/>
              <w:end w:w="120" w:type="dxa"/>
            </w:tcMar>
          </w:tcPr>
          <w:p>
            <w:pPr>
              <w:spacing w:after="40"/>
            </w:pPr>
            <w:r>
              <w:rPr>
                <w:sz w:val="18"/>
                <w:szCs w:val="18"/>
              </w:rPr>
              <w:t xml:space="preserve">Interaction checks</w:t>
            </w:r>
          </w:p>
        </w:tc>
        <w:tc>
          <w:tcPr>
            <w:tcW w:w="3300" w:type="dxa"/>
            <w:shd w:fill="FAFBFC"/>
            <w:tcMar>
              <w:top w:w="90" w:type="dxa"/>
              <w:bottom w:w="90" w:type="dxa"/>
              <w:start w:w="120" w:type="dxa"/>
              <w:end w:w="120" w:type="dxa"/>
            </w:tcMar>
          </w:tcPr>
          <w:p>
            <w:pPr>
              <w:jc w:val="center"/>
              <w:spacing w:after="40"/>
            </w:pPr>
            <w:r>
              <w:rPr>
                <w:sz w:val="18"/>
                <w:szCs w:val="18"/>
              </w:rPr>
              <w:t xml:space="preserve">Do investment x training, cost savings x automation, or deployment x automation matter?</w:t>
            </w:r>
          </w:p>
        </w:tc>
        <w:tc>
          <w:tcPr>
            <w:tcW w:w="1300" w:type="dxa"/>
            <w:shd w:fill="FAFBFC"/>
            <w:tcMar>
              <w:top w:w="90" w:type="dxa"/>
              <w:bottom w:w="90" w:type="dxa"/>
              <w:start w:w="120" w:type="dxa"/>
              <w:end w:w="120" w:type="dxa"/>
            </w:tcMar>
          </w:tcPr>
          <w:p>
            <w:pPr>
              <w:jc w:val="center"/>
              <w:spacing w:after="40"/>
            </w:pPr>
            <w:r>
              <w:rPr>
                <w:sz w:val="18"/>
                <w:szCs w:val="18"/>
              </w:rPr>
              <w:t xml:space="preserve">Medium</w:t>
            </w:r>
          </w:p>
        </w:tc>
        <w:tc>
          <w:tcPr>
            <w:tcW w:w="3160" w:type="dxa"/>
            <w:shd w:fill="FAFBFC"/>
            <w:tcMar>
              <w:top w:w="90" w:type="dxa"/>
              <w:bottom w:w="90" w:type="dxa"/>
              <w:start w:w="120" w:type="dxa"/>
              <w:end w:w="120" w:type="dxa"/>
            </w:tcMar>
          </w:tcPr>
          <w:p>
            <w:pPr>
              <w:spacing w:after="40"/>
            </w:pPr>
            <w:r>
              <w:rPr>
                <w:sz w:val="18"/>
                <w:szCs w:val="18"/>
              </w:rPr>
              <w:t xml:space="preserve">Clarifies why operational variables help only after financial scale is known.</w:t>
            </w:r>
          </w:p>
        </w:tc>
      </w:tr>
      <w:tr>
        <w:tc>
          <w:tcPr>
            <w:tcW w:w="1600" w:type="dxa"/>
            <w:tcMar>
              <w:top w:w="90" w:type="dxa"/>
              <w:bottom w:w="90" w:type="dxa"/>
              <w:start w:w="120" w:type="dxa"/>
              <w:end w:w="120" w:type="dxa"/>
            </w:tcMar>
          </w:tcPr>
          <w:p>
            <w:pPr>
              <w:spacing w:after="40"/>
            </w:pPr>
            <w:r>
              <w:rPr>
                <w:sz w:val="18"/>
                <w:szCs w:val="18"/>
              </w:rPr>
              <w:t xml:space="preserve">Top 1% residual study</w:t>
            </w:r>
          </w:p>
        </w:tc>
        <w:tc>
          <w:tcPr>
            <w:tcW w:w="3300" w:type="dxa"/>
            <w:tcMar>
              <w:top w:w="90" w:type="dxa"/>
              <w:bottom w:w="90" w:type="dxa"/>
              <w:start w:w="120" w:type="dxa"/>
              <w:end w:w="120" w:type="dxa"/>
            </w:tcMar>
          </w:tcPr>
          <w:p>
            <w:pPr>
              <w:jc w:val="center"/>
              <w:spacing w:after="40"/>
            </w:pPr>
            <w:r>
              <w:rPr>
                <w:sz w:val="18"/>
                <w:szCs w:val="18"/>
              </w:rPr>
              <w:t xml:space="preserve">What do the largest underpredicted cases have in common?</w:t>
            </w:r>
          </w:p>
        </w:tc>
        <w:tc>
          <w:tcPr>
            <w:tcW w:w="1300" w:type="dxa"/>
            <w:tcMar>
              <w:top w:w="90" w:type="dxa"/>
              <w:bottom w:w="90" w:type="dxa"/>
              <w:start w:w="120" w:type="dxa"/>
              <w:end w:w="120" w:type="dxa"/>
            </w:tcMar>
          </w:tcPr>
          <w:p>
            <w:pPr>
              <w:jc w:val="center"/>
              <w:spacing w:after="40"/>
            </w:pPr>
            <w:r>
              <w:rPr>
                <w:sz w:val="18"/>
                <w:szCs w:val="18"/>
              </w:rPr>
              <w:t xml:space="preserve">High</w:t>
            </w:r>
          </w:p>
        </w:tc>
        <w:tc>
          <w:tcPr>
            <w:tcW w:w="3160" w:type="dxa"/>
            <w:tcMar>
              <w:top w:w="90" w:type="dxa"/>
              <w:bottom w:w="90" w:type="dxa"/>
              <w:start w:w="120" w:type="dxa"/>
              <w:end w:w="120" w:type="dxa"/>
            </w:tcMar>
          </w:tcPr>
          <w:p>
            <w:pPr>
              <w:spacing w:after="40"/>
            </w:pPr>
            <w:r>
              <w:rPr>
                <w:sz w:val="18"/>
                <w:szCs w:val="18"/>
              </w:rPr>
              <w:t xml:space="preserve">Best next step for improving extreme-upside performance.</w:t>
            </w:r>
          </w:p>
        </w:tc>
      </w:tr>
      <w:tr>
        <w:tc>
          <w:tcPr>
            <w:tcW w:w="1600" w:type="dxa"/>
            <w:shd w:fill="FAFBFC"/>
            <w:tcMar>
              <w:top w:w="90" w:type="dxa"/>
              <w:bottom w:w="90" w:type="dxa"/>
              <w:start w:w="120" w:type="dxa"/>
              <w:end w:w="120" w:type="dxa"/>
            </w:tcMar>
          </w:tcPr>
          <w:p>
            <w:pPr>
              <w:spacing w:after="40"/>
            </w:pPr>
            <w:r>
              <w:rPr>
                <w:sz w:val="18"/>
                <w:szCs w:val="18"/>
              </w:rPr>
              <w:t xml:space="preserve">Causal design</w:t>
            </w:r>
          </w:p>
        </w:tc>
        <w:tc>
          <w:tcPr>
            <w:tcW w:w="3300" w:type="dxa"/>
            <w:shd w:fill="FAFBFC"/>
            <w:tcMar>
              <w:top w:w="90" w:type="dxa"/>
              <w:bottom w:w="90" w:type="dxa"/>
              <w:start w:w="120" w:type="dxa"/>
              <w:end w:w="120" w:type="dxa"/>
            </w:tcMar>
          </w:tcPr>
          <w:p>
            <w:pPr>
              <w:jc w:val="center"/>
              <w:spacing w:after="40"/>
            </w:pPr>
            <w:r>
              <w:rPr>
                <w:sz w:val="18"/>
                <w:szCs w:val="18"/>
              </w:rPr>
              <w:t xml:space="preserve">Do the features cause revenue impact?</w:t>
            </w:r>
          </w:p>
        </w:tc>
        <w:tc>
          <w:tcPr>
            <w:tcW w:w="1300" w:type="dxa"/>
            <w:shd w:fill="FAFBFC"/>
            <w:tcMar>
              <w:top w:w="90" w:type="dxa"/>
              <w:bottom w:w="90" w:type="dxa"/>
              <w:start w:w="120" w:type="dxa"/>
              <w:end w:w="120" w:type="dxa"/>
            </w:tcMar>
          </w:tcPr>
          <w:p>
            <w:pPr>
              <w:jc w:val="center"/>
              <w:spacing w:after="40"/>
            </w:pPr>
            <w:r>
              <w:rPr>
                <w:sz w:val="18"/>
                <w:szCs w:val="18"/>
              </w:rPr>
              <w:t xml:space="preserve">Separate project</w:t>
            </w:r>
          </w:p>
        </w:tc>
        <w:tc>
          <w:tcPr>
            <w:tcW w:w="3160" w:type="dxa"/>
            <w:shd w:fill="FAFBFC"/>
            <w:tcMar>
              <w:top w:w="90" w:type="dxa"/>
              <w:bottom w:w="90" w:type="dxa"/>
              <w:start w:w="120" w:type="dxa"/>
              <w:end w:w="120" w:type="dxa"/>
            </w:tcMar>
          </w:tcPr>
          <w:p>
            <w:pPr>
              <w:spacing w:after="40"/>
            </w:pPr>
            <w:r>
              <w:rPr>
                <w:sz w:val="18"/>
                <w:szCs w:val="18"/>
              </w:rPr>
              <w:t xml:space="preserve">Required before making causal claims.</w:t>
            </w:r>
          </w:p>
        </w:tc>
      </w:tr>
    </w:tbl>
    <w:p>
      <w:pPr>
        <w:spacing w:after="160"/>
      </w:pPr>
    </w:p>
    <w:p>
      <w:r>
        <w:t xml:space="preserve">A practical next step would be to run SHAP and percentile-bin analysis first. Those two additions would answer the highest-value interpretation questions without changing the model: why individual cases receive their predictions, and how the target behaves across the tails of each feature distribution.</w:t>
      </w:r>
    </w:p>
    <w:p>
      <w:pPr>
        <w:spacing w:after="60"/>
      </w:pPr>
    </w:p>
    <w:tbl>
      <w:tblPr>
        <w:tblW w:w="9360" w:type="dxa"/>
        <w:tblInd w:w="120" w:type="dxa"/>
        <w:tblLayout w:type="fixed"/>
        <w:shd w:fill="F4F6F9"/>
        <w:tblBorders>
          <w:top w:val="single" w:sz="6" w:space="0" w:color="A9B7C6"/>
          <w:left w:val="single" w:sz="6" w:space="0" w:color="A9B7C6"/>
          <w:bottom w:val="single" w:sz="6" w:space="0" w:color="A9B7C6"/>
          <w:right w:val="single" w:sz="6" w:space="0" w:color="A9B7C6"/>
          <w:insideH w:val="single" w:sz="4" w:space="0" w:color="E5E7EB"/>
          <w:insideV w:val="single" w:sz="4" w:space="0" w:color="E5E7EB"/>
        </w:tblBorders>
      </w:tblPr>
      <w:tblGrid>
        <w:gridCol w:w="9360"/>
      </w:tblGrid>
      <w:tr>
        <w:tc>
          <w:tcPr>
            <w:tcW w:w="9360" w:type="dxa"/>
            <w:shd w:fill="F4F6F9"/>
            <w:tcMar>
              <w:top w:w="140" w:type="dxa"/>
              <w:bottom w:w="140" w:type="dxa"/>
              <w:start w:w="160" w:type="dxa"/>
              <w:end w:w="160" w:type="dxa"/>
            </w:tcMar>
          </w:tcPr>
          <w:p>
            <w:pPr>
              <w:spacing w:after="40"/>
            </w:pPr>
            <w:r>
              <w:rPr>
                <w:b/>
                <w:sz w:val="21"/>
                <w:szCs w:val="21"/>
                <w:color w:val="0B2545"/>
              </w:rPr>
              <w:t xml:space="preserve">Final key takeaway: </w:t>
            </w:r>
            <w:r>
              <w:rPr>
                <w:sz w:val="21"/>
                <w:szCs w:val="21"/>
              </w:rPr>
              <w:t xml:space="preserve">The next best analysis is not another broad model comparison. It is case-level explanation of the right tail. Start with SHAP values, percentile-bin plots, and a top-1% residual review to explain why the largest underpredictions remain difficult.</w:t>
            </w:r>
          </w:p>
        </w:tc>
      </w:tr>
    </w:tbl>
    <w:p>
      <w:pPr>
        <w:spacing w:after="120"/>
      </w:pPr>
    </w:p>
    <w:p>
      <w:pPr>
        <w:pStyle w:val="Heading1"/>
      </w:pPr>
      <w:r>
        <w:t xml:space="preserve">Slide-Ready Explanation Notes</w:t>
      </w:r>
    </w:p>
    <w:p>
      <w:pPr>
        <w:spacing w:after="120" w:line="264" w:lineRule="auto"/>
      </w:pPr>
      <w:r>
        <w:t xml:space="preserve">Use these short notes as presenter text or slide speaker notes. Keep the slide itself visual; use these lines to explain what the figure is showing.</w:t>
      </w:r>
    </w:p>
    <w:p>
      <w:pPr>
        <w:spacing w:after="120" w:line="264" w:lineRule="auto"/>
      </w:pPr>
      <w:r>
        <w:rPr>
          <w:b/>
        </w:rPr>
        <w:t xml:space="preserve">Model score slide: </w:t>
      </w:r>
      <w:r>
        <w:t xml:space="preserve">The point is not that XGBoost completely replaces linear regression. The point is that it adds a small nonlinear lift while keeping the same main story: cost savings and AI investment explain most revenue-impact variation.</w:t>
      </w:r>
    </w:p>
    <w:p>
      <w:pPr>
        <w:spacing w:after="120" w:line="264" w:lineRule="auto"/>
      </w:pPr>
      <w:r>
        <w:rPr>
          <w:b/>
        </w:rPr>
        <w:t xml:space="preserve">Error and skewness slide: </w:t>
      </w:r>
      <w:r>
        <w:t xml:space="preserve">The model misses are concentrated in right-tail cases. Most observations sit near the center, but a small number of extreme revenue-impact cases drive the largest underpredictions.</w:t>
      </w:r>
    </w:p>
    <w:p>
      <w:pPr>
        <w:spacing w:after="120" w:line="264" w:lineRule="auto"/>
      </w:pPr>
      <w:r>
        <w:rPr>
          <w:b/>
        </w:rPr>
        <w:t xml:space="preserve">Correlation slide: </w:t>
      </w:r>
      <w:r>
        <w:t xml:space="preserve">Spearman being higher than Pearson means the variables move with revenue impact in an ordered way, but not as a straight line. That is why thresholds and percentile ranges are useful.</w:t>
      </w:r>
    </w:p>
    <w:p>
      <w:pPr>
        <w:spacing w:after="120" w:line="264" w:lineRule="auto"/>
      </w:pPr>
      <w:r>
        <w:rPr>
          <w:b/>
        </w:rPr>
        <w:t xml:space="preserve">Decision tree slide: </w:t>
      </w:r>
      <w:r>
        <w:t xml:space="preserve">Present the tree as a threshold explanation, not as the final predictive model. Start with the root split: cost_savings &lt;= 3.63M separates ordinary from high-impact cases, then AI investment and training refine selected branches.</w:t>
      </w:r>
    </w:p>
    <w:p>
      <w:pPr>
        <w:spacing w:after="120" w:line="264" w:lineRule="auto"/>
      </w:pPr>
      <w:r>
        <w:rPr>
          <w:b/>
        </w:rPr>
        <w:t xml:space="preserve">XGBoost slide: </w:t>
      </w:r>
      <w:r>
        <w:t xml:space="preserve">XGBoost confirms the hierarchy rather than creating a new one. Cost savings dominates, AI investment is second, and automation, deployment, and training act as smaller operational refinements.</w:t>
      </w:r>
    </w:p>
    <w:p>
      <w:pPr>
        <w:spacing w:after="60"/>
      </w:pPr>
    </w:p>
    <w:tbl>
      <w:tblPr>
        <w:tblW w:w="9360" w:type="dxa"/>
        <w:tblInd w:w="120" w:type="dxa"/>
        <w:tblLayout w:type="fixed"/>
        <w:shd w:fill="F4F6F9"/>
        <w:tblBorders>
          <w:top w:val="single" w:sz="6" w:space="0" w:color="A9B7C6"/>
          <w:left w:val="single" w:sz="6" w:space="0" w:color="A9B7C6"/>
          <w:bottom w:val="single" w:sz="6" w:space="0" w:color="A9B7C6"/>
          <w:right w:val="single" w:sz="6" w:space="0" w:color="A9B7C6"/>
          <w:insideH w:val="single" w:sz="4" w:space="0" w:color="E5E7EB"/>
          <w:insideV w:val="single" w:sz="4" w:space="0" w:color="E5E7EB"/>
        </w:tblBorders>
      </w:tblPr>
      <w:tblGrid>
        <w:gridCol w:w="9360"/>
      </w:tblGrid>
      <w:tr>
        <w:tc>
          <w:tcPr>
            <w:tcW w:w="9360" w:type="dxa"/>
            <w:shd w:fill="F4F6F9"/>
            <w:tcMar>
              <w:top w:w="140" w:type="dxa"/>
              <w:bottom w:w="140" w:type="dxa"/>
              <w:start w:w="160" w:type="dxa"/>
              <w:end w:w="160" w:type="dxa"/>
            </w:tcMar>
          </w:tcPr>
          <w:p>
            <w:pPr>
              <w:spacing w:after="40"/>
            </w:pPr>
            <w:r>
              <w:rPr>
                <w:b/>
                <w:sz w:val="21"/>
                <w:szCs w:val="21"/>
                <w:color w:val="0B2545"/>
              </w:rPr>
              <w:t xml:space="preserve">Final key takeaway: </w:t>
            </w:r>
            <w:r>
              <w:rPr>
                <w:sz w:val="21"/>
                <w:szCs w:val="21"/>
              </w:rPr>
              <w:t xml:space="preserve">Slides should stay visual and selective. Use one message per slide: model lift is small, errors are right-tail underpredictions, correlations are monotonic nonlinear, the decision tree gives thresholds, and XGBoost confirms the feature hierarchy.</w:t>
            </w:r>
          </w:p>
        </w:tc>
      </w:tr>
    </w:tbl>
    <w:p>
      <w:pPr>
        <w:spacing w:after="120"/>
      </w:pPr>
    </w:p>
    <w:p>
      <w:pPr>
        <w:pStyle w:val="Heading1"/>
      </w:pPr>
      <w:r>
        <w:t xml:space="preserve">Appendix: Implementation Notes</w:t>
      </w:r>
    </w:p>
    <w:tbl>
      <w:tblPr>
        <w:tblW w:w="9360" w:type="dxa"/>
        <w:tblInd w:w="120" w:type="dxa"/>
        <w:tblLayout w:type="fixed"/>
        <w:tblBorders>
          <w:top w:val="single" w:sz="4" w:space="0" w:color="D0D7DE"/>
          <w:left w:val="single" w:sz="4" w:space="0" w:color="D0D7DE"/>
          <w:bottom w:val="single" w:sz="4" w:space="0" w:color="D0D7DE"/>
          <w:right w:val="single" w:sz="4" w:space="0" w:color="D0D7DE"/>
          <w:insideH w:val="single" w:sz="4" w:space="0" w:color="E5E7EB"/>
          <w:insideV w:val="single" w:sz="4" w:space="0" w:color="E5E7EB"/>
        </w:tblBorders>
      </w:tblPr>
      <w:tblGrid>
        <w:gridCol w:w="2900"/>
        <w:gridCol w:w="6460"/>
      </w:tblGrid>
      <w:tr>
        <w:tc>
          <w:tcPr>
            <w:tcW w:w="2900" w:type="dxa"/>
            <w:shd w:fill="F2F4F7"/>
            <w:tcMar>
              <w:top w:w="90" w:type="dxa"/>
              <w:bottom w:w="90" w:type="dxa"/>
              <w:start w:w="120" w:type="dxa"/>
              <w:end w:w="120" w:type="dxa"/>
            </w:tcMar>
          </w:tcPr>
          <w:p>
            <w:pPr>
              <w:spacing w:after="40"/>
            </w:pPr>
            <w:r>
              <w:rPr>
                <w:b/>
                <w:sz w:val="20"/>
                <w:szCs w:val="20"/>
              </w:rPr>
              <w:t xml:space="preserve">Parameter</w:t>
            </w:r>
          </w:p>
        </w:tc>
        <w:tc>
          <w:tcPr>
            <w:tcW w:w="6460" w:type="dxa"/>
            <w:shd w:fill="F2F4F7"/>
            <w:tcMar>
              <w:top w:w="90" w:type="dxa"/>
              <w:bottom w:w="90" w:type="dxa"/>
              <w:start w:w="120" w:type="dxa"/>
              <w:end w:w="120" w:type="dxa"/>
            </w:tcMar>
          </w:tcPr>
          <w:p>
            <w:pPr>
              <w:jc w:val="center"/>
              <w:spacing w:after="40"/>
            </w:pPr>
            <w:r>
              <w:rPr>
                <w:b/>
                <w:sz w:val="20"/>
                <w:szCs w:val="20"/>
              </w:rPr>
              <w:t xml:space="preserve">Implemented reading</w:t>
            </w:r>
          </w:p>
        </w:tc>
      </w:tr>
      <w:tr>
        <w:tc>
          <w:tcPr>
            <w:tcW w:w="2900" w:type="dxa"/>
            <w:tcMar>
              <w:top w:w="90" w:type="dxa"/>
              <w:bottom w:w="90" w:type="dxa"/>
              <w:start w:w="120" w:type="dxa"/>
              <w:end w:w="120" w:type="dxa"/>
            </w:tcMar>
          </w:tcPr>
          <w:p>
            <w:pPr>
              <w:spacing w:after="40"/>
            </w:pPr>
            <w:r>
              <w:rPr>
                <w:sz w:val="20"/>
                <w:szCs w:val="20"/>
              </w:rPr>
              <w:t xml:space="preserve">Skewness before feature extraction</w:t>
            </w:r>
          </w:p>
        </w:tc>
        <w:tc>
          <w:tcPr>
            <w:tcW w:w="6460" w:type="dxa"/>
            <w:tcMar>
              <w:top w:w="90" w:type="dxa"/>
              <w:bottom w:w="90" w:type="dxa"/>
              <w:start w:w="120" w:type="dxa"/>
              <w:end w:w="120" w:type="dxa"/>
            </w:tcMar>
          </w:tcPr>
          <w:p>
            <w:pPr>
              <w:spacing w:after="40"/>
            </w:pPr>
            <w:r>
              <w:rPr>
                <w:sz w:val="20"/>
                <w:szCs w:val="20"/>
              </w:rPr>
              <w:t xml:space="preserve">Error fields and model features are summarized with percentile ranges and skewness strength. High-skew financial predictors use log1p in tree inputs.</w:t>
            </w:r>
          </w:p>
        </w:tc>
      </w:tr>
      <w:tr>
        <w:tc>
          <w:tcPr>
            <w:tcW w:w="2900" w:type="dxa"/>
            <w:shd w:fill="FAFBFC"/>
            <w:tcMar>
              <w:top w:w="90" w:type="dxa"/>
              <w:bottom w:w="90" w:type="dxa"/>
              <w:start w:w="120" w:type="dxa"/>
              <w:end w:w="120" w:type="dxa"/>
            </w:tcMar>
          </w:tcPr>
          <w:p>
            <w:pPr>
              <w:spacing w:after="40"/>
            </w:pPr>
            <w:r>
              <w:rPr>
                <w:sz w:val="20"/>
                <w:szCs w:val="20"/>
              </w:rPr>
              <w:t xml:space="preserve">XGBoost import</w:t>
            </w:r>
          </w:p>
        </w:tc>
        <w:tc>
          <w:tcPr>
            <w:tcW w:w="6460" w:type="dxa"/>
            <w:shd w:fill="FAFBFC"/>
            <w:tcMar>
              <w:top w:w="90" w:type="dxa"/>
              <w:bottom w:w="90" w:type="dxa"/>
              <w:start w:w="120" w:type="dxa"/>
              <w:end w:w="120" w:type="dxa"/>
            </w:tcMar>
          </w:tcPr>
          <w:p>
            <w:pPr>
              <w:spacing w:after="40"/>
            </w:pPr>
            <w:r>
              <w:rPr>
                <w:sz w:val="20"/>
                <w:szCs w:val="20"/>
              </w:rPr>
              <w:t xml:space="preserve">The model selection export identifies XGBoost Tree Ensemble as the final selected model.</w:t>
            </w:r>
          </w:p>
        </w:tc>
      </w:tr>
      <w:tr>
        <w:tc>
          <w:tcPr>
            <w:tcW w:w="2900" w:type="dxa"/>
            <w:tcMar>
              <w:top w:w="90" w:type="dxa"/>
              <w:bottom w:w="90" w:type="dxa"/>
              <w:start w:w="120" w:type="dxa"/>
              <w:end w:w="120" w:type="dxa"/>
            </w:tcMar>
          </w:tcPr>
          <w:p>
            <w:pPr>
              <w:spacing w:after="40"/>
            </w:pPr>
            <w:r>
              <w:rPr>
                <w:sz w:val="20"/>
                <w:szCs w:val="20"/>
              </w:rPr>
              <w:t xml:space="preserve">Decision tree around regression data and skewness</w:t>
            </w:r>
          </w:p>
        </w:tc>
        <w:tc>
          <w:tcPr>
            <w:tcW w:w="6460" w:type="dxa"/>
            <w:tcMar>
              <w:top w:w="90" w:type="dxa"/>
              <w:bottom w:w="90" w:type="dxa"/>
              <w:start w:w="120" w:type="dxa"/>
              <w:end w:w="120" w:type="dxa"/>
            </w:tcMar>
          </w:tcPr>
          <w:p>
            <w:pPr>
              <w:spacing w:after="40"/>
            </w:pPr>
            <w:r>
              <w:rPr>
                <w:sz w:val="20"/>
                <w:szCs w:val="20"/>
              </w:rPr>
              <w:t xml:space="preserve">The diagnostic tree uses skew-aware features and exposes thresholds in original units for interpretation.</w:t>
            </w:r>
          </w:p>
        </w:tc>
      </w:tr>
      <w:tr>
        <w:tc>
          <w:tcPr>
            <w:tcW w:w="2900" w:type="dxa"/>
            <w:shd w:fill="FAFBFC"/>
            <w:tcMar>
              <w:top w:w="90" w:type="dxa"/>
              <w:bottom w:w="90" w:type="dxa"/>
              <w:start w:w="120" w:type="dxa"/>
              <w:end w:w="120" w:type="dxa"/>
            </w:tcMar>
          </w:tcPr>
          <w:p>
            <w:pPr>
              <w:spacing w:after="40"/>
            </w:pPr>
            <w:r>
              <w:rPr>
                <w:sz w:val="20"/>
                <w:szCs w:val="20"/>
              </w:rPr>
              <w:t xml:space="preserve">5% leaf stop rule</w:t>
            </w:r>
          </w:p>
        </w:tc>
        <w:tc>
          <w:tcPr>
            <w:tcW w:w="6460" w:type="dxa"/>
            <w:shd w:fill="FAFBFC"/>
            <w:tcMar>
              <w:top w:w="90" w:type="dxa"/>
              <w:bottom w:w="90" w:type="dxa"/>
              <w:start w:w="120" w:type="dxa"/>
              <w:end w:w="120" w:type="dxa"/>
            </w:tcMar>
          </w:tcPr>
          <w:p>
            <w:pPr>
              <w:spacing w:after="40"/>
            </w:pPr>
            <w:r>
              <w:rPr>
                <w:sz w:val="20"/>
                <w:szCs w:val="20"/>
              </w:rPr>
              <w:t xml:space="preserve">The single tree stops when node variance gain is at or below 5%; XGBoost enforces minimum split loss with gamma.</w:t>
            </w:r>
          </w:p>
        </w:tc>
      </w:tr>
      <w:tr>
        <w:tc>
          <w:tcPr>
            <w:tcW w:w="2900" w:type="dxa"/>
            <w:tcMar>
              <w:top w:w="90" w:type="dxa"/>
              <w:bottom w:w="90" w:type="dxa"/>
              <w:start w:w="120" w:type="dxa"/>
              <w:end w:w="120" w:type="dxa"/>
            </w:tcMar>
          </w:tcPr>
          <w:p>
            <w:pPr>
              <w:spacing w:after="40"/>
            </w:pPr>
            <w:r>
              <w:rPr>
                <w:sz w:val="20"/>
                <w:szCs w:val="20"/>
              </w:rPr>
              <w:t xml:space="preserve">Near-zero correlation nonlinearity</w:t>
            </w:r>
          </w:p>
        </w:tc>
        <w:tc>
          <w:tcPr>
            <w:tcW w:w="6460" w:type="dxa"/>
            <w:tcMar>
              <w:top w:w="90" w:type="dxa"/>
              <w:bottom w:w="90" w:type="dxa"/>
              <w:start w:w="120" w:type="dxa"/>
              <w:end w:w="120" w:type="dxa"/>
            </w:tcMar>
          </w:tcPr>
          <w:p>
            <w:pPr>
              <w:spacing w:after="40"/>
            </w:pPr>
            <w:r>
              <w:rPr>
                <w:sz w:val="20"/>
                <w:szCs w:val="20"/>
              </w:rPr>
              <w:t xml:space="preserve">No model-feature near-zero Pearson signals are present in the current exported set; the audit remains useful for future variables.</w:t>
            </w:r>
          </w:p>
        </w:tc>
      </w:tr>
    </w:tbl>
    <w:p>
      <w:pPr>
        <w:spacing w:after="160"/>
      </w:pPr>
    </w:p>
    <w:p>
      <w:pPr>
        <w:spacing w:after="60"/>
      </w:pPr>
    </w:p>
    <w:tbl>
      <w:tblPr>
        <w:tblW w:w="9360" w:type="dxa"/>
        <w:tblInd w:w="120" w:type="dxa"/>
        <w:tblLayout w:type="fixed"/>
        <w:shd w:fill="F4F6F9"/>
        <w:tblBorders>
          <w:top w:val="single" w:sz="6" w:space="0" w:color="A9B7C6"/>
          <w:left w:val="single" w:sz="6" w:space="0" w:color="A9B7C6"/>
          <w:bottom w:val="single" w:sz="6" w:space="0" w:color="A9B7C6"/>
          <w:right w:val="single" w:sz="6" w:space="0" w:color="A9B7C6"/>
          <w:insideH w:val="single" w:sz="4" w:space="0" w:color="E5E7EB"/>
          <w:insideV w:val="single" w:sz="4" w:space="0" w:color="E5E7EB"/>
        </w:tblBorders>
      </w:tblPr>
      <w:tblGrid>
        <w:gridCol w:w="9360"/>
      </w:tblGrid>
      <w:tr>
        <w:tc>
          <w:tcPr>
            <w:tcW w:w="9360" w:type="dxa"/>
            <w:shd w:fill="F4F6F9"/>
            <w:tcMar>
              <w:top w:w="140" w:type="dxa"/>
              <w:bottom w:w="140" w:type="dxa"/>
              <w:start w:w="160" w:type="dxa"/>
              <w:end w:w="160" w:type="dxa"/>
            </w:tcMar>
          </w:tcPr>
          <w:p>
            <w:pPr>
              <w:spacing w:after="40"/>
            </w:pPr>
            <w:r>
              <w:rPr>
                <w:b/>
                <w:sz w:val="21"/>
                <w:szCs w:val="21"/>
                <w:color w:val="0B2545"/>
              </w:rPr>
              <w:t xml:space="preserve">Final key takeaway: </w:t>
            </w:r>
            <w:r>
              <w:rPr>
                <w:sz w:val="21"/>
                <w:szCs w:val="21"/>
              </w:rPr>
              <w:t xml:space="preserve">The requested framework is implemented as a diagnostic pipeline: skewness and percentile extraction, skew-aware tree inputs, XGBoost with gamma split enforcement, and nonlinear correlation checks. The remaining gap is deeper case-level explanation, not basic implementation.</w:t>
            </w:r>
          </w:p>
        </w:tc>
      </w:tr>
    </w:tbl>
    <w:p>
      <w:pPr>
        <w:spacing w:after="120"/>
      </w:pPr>
    </w:p>
    <w:sectPr>
      <w:pgSz w:w="12240" w:h="15840"/>
      <w:pgMar w:top="1440" w:right="1440" w:bottom="1440" w:left="1440" w:header="708" w:footer="708" w:gutter="0"/>
      <w:cols w:space="720"/>
      <w:docGrid w:linePitch="360"/>
    </w:sectPr>
  </w:body>
</w:document>
</file>

<file path=word/fontTable.xml><?xml version="1.0" encoding="utf-8"?>
<w:fonts xmlns:w="http://schemas.openxmlformats.org/wordprocessingml/2006/main">
  <w:font w:name="Calibri"/>
  <w:font w:name="Courier New"/>
</w:fonts>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Calibri" w:hAnsi="Calibri"/>
        <w:sz w:val="22"/>
        <w:szCs w:val="22"/>
        <w:color w:val="1F2937"/>
      </w:rPr>
    </w:rPrDefault>
    <w:pPrDefault>
      <w:pPr>
        <w:spacing w:after="120" w:line="264" w:lineRule="auto"/>
      </w:pPr>
    </w:pPrDefault>
  </w:docDefaults>
  <w:style w:type="paragraph" w:default="1" w:styleId="Normal">
    <w:name w:val="Normal"/>
    <w:qFormat/>
    <w:pPr>
      <w:spacing w:after="120" w:line="264" w:lineRule="auto"/>
    </w:pPr>
    <w:rPr>
      <w:rFonts w:ascii="Calibri" w:hAnsi="Calibri"/>
      <w:sz w:val="22"/>
    </w:rPr>
  </w:style>
  <w:style w:type="paragraph" w:styleId="Title">
    <w:name w:val="Title"/>
    <w:qFormat/>
    <w:pPr>
      <w:spacing w:before="0" w:after="80"/>
      <w:keepNext/>
    </w:pPr>
    <w:rPr>
      <w:rFonts w:ascii="Calibri" w:hAnsi="Calibri"/>
      <w:b/>
      <w:color w:val="0B2545"/>
      <w:sz w:val="52"/>
    </w:rPr>
  </w:style>
  <w:style w:type="paragraph" w:styleId="Subtitle">
    <w:name w:val="Subtitle"/>
    <w:qFormat/>
    <w:pPr>
      <w:spacing w:after="240"/>
    </w:pPr>
    <w:rPr>
      <w:rFonts w:ascii="Calibri" w:hAnsi="Calibri"/>
      <w:color w:val="4B5563"/>
      <w:sz w:val="28"/>
    </w:rPr>
  </w:style>
  <w:style w:type="paragraph" w:styleId="Heading1">
    <w:name w:val="heading 1"/>
    <w:basedOn w:val="Normal"/>
    <w:next w:val="Normal"/>
    <w:qFormat/>
    <w:pPr>
      <w:keepNext/>
      <w:spacing w:before="320" w:after="160"/>
    </w:pPr>
    <w:rPr>
      <w:rFonts w:ascii="Calibri" w:hAnsi="Calibri"/>
      <w:b/>
      <w:color w:val="2E74B5"/>
      <w:sz w:val="32"/>
    </w:rPr>
  </w:style>
  <w:style w:type="paragraph" w:styleId="Heading2">
    <w:name w:val="heading 2"/>
    <w:basedOn w:val="Normal"/>
    <w:next w:val="Normal"/>
    <w:qFormat/>
    <w:pPr>
      <w:keepNext/>
      <w:spacing w:before="240" w:after="120"/>
    </w:pPr>
    <w:rPr>
      <w:rFonts w:ascii="Calibri" w:hAnsi="Calibri"/>
      <w:b/>
      <w:color w:val="2E74B5"/>
      <w:sz w:val="26"/>
    </w:rPr>
  </w:style>
  <w:style w:type="paragraph" w:styleId="Heading3">
    <w:name w:val="heading 3"/>
    <w:basedOn w:val="Normal"/>
    <w:next w:val="Normal"/>
    <w:qFormat/>
    <w:pPr>
      <w:keepNext/>
      <w:spacing w:before="160" w:after="80"/>
    </w:pPr>
    <w:rPr>
      <w:rFonts w:ascii="Calibri" w:hAnsi="Calibri"/>
      <w:b/>
      <w:color w:val="1F4D78"/>
      <w:sz w:val="24"/>
    </w:rPr>
  </w:style>
  <w:style w:type="paragraph" w:styleId="Caption">
    <w:name w:val="Caption"/>
    <w:basedOn w:val="Normal"/>
    <w:qFormat/>
    <w:pPr>
      <w:spacing w:before="40" w:after="120"/>
    </w:pPr>
    <w:rPr>
      <w:i/>
      <w:color w:val="4B5563"/>
      <w:sz w:val="19"/>
    </w:rPr>
  </w:style>
</w:styles>
</file>

<file path=word/_rels/document.xml.rels><?xml version="1.0" encoding="UTF-8" standalone="yes"?><Relationships xmlns="http://schemas.openxmlformats.org/package/2006/relationships"><Relationship Id="rIdImg1" Type="http://schemas.openxmlformats.org/officeDocument/2006/relationships/image" Target="media/score.png"/><Relationship Id="rIdImg2" Type="http://schemas.openxmlformats.org/officeDocument/2006/relationships/image" Target="media/errors.png"/><Relationship Id="rIdImg3" Type="http://schemas.openxmlformats.org/officeDocument/2006/relationships/image" Target="media/eskew.png"/><Relationship Id="rIdImg4" Type="http://schemas.openxmlformats.org/officeDocument/2006/relationships/image" Target="media/fskew.png"/><Relationship Id="rIdImg5" Type="http://schemas.openxmlformats.org/officeDocument/2006/relationships/image" Target="media/corr.png"/><Relationship Id="rIdImg6" Type="http://schemas.openxmlformats.org/officeDocument/2006/relationships/image" Target="media/single.png"/><Relationship Id="rIdImg7" Type="http://schemas.openxmlformats.org/officeDocument/2006/relationships/image" Target="media/xgb.png"/></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Regression Error, Skewness, and XGBoost Analysis Report</dc:title>
  <dc:creator>Codex</dc:creator>
  <cp:lastModifiedBy>Codex</cp:lastModifiedBy>
  <dcterms:created xsi:type="dcterms:W3CDTF">2026-06-18T12:00:00Z</dcterms:created>
  <dcterms:modified xsi:type="dcterms:W3CDTF">2026-06-18T12:00:00Z</dcterms:modified>
</cp:coreProperties>
</file>