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6F5" w:rsidRDefault="00391CDA"/>
    <w:p w:rsidR="00F734B7" w:rsidRDefault="00F734B7" w:rsidP="00F734B7">
      <w:pPr>
        <w:jc w:val="center"/>
        <w:rPr>
          <w:noProof/>
        </w:rPr>
      </w:pPr>
    </w:p>
    <w:p w:rsidR="00F734B7" w:rsidRDefault="00F734B7" w:rsidP="00F734B7">
      <w:pPr>
        <w:jc w:val="center"/>
        <w:rPr>
          <w:noProof/>
        </w:rPr>
      </w:pPr>
    </w:p>
    <w:p w:rsidR="00F734B7" w:rsidRDefault="00F734B7" w:rsidP="00F734B7">
      <w:pPr>
        <w:jc w:val="center"/>
        <w:rPr>
          <w:noProof/>
        </w:rPr>
      </w:pPr>
    </w:p>
    <w:p w:rsidR="00F734B7" w:rsidRDefault="00F734B7" w:rsidP="00F734B7">
      <w:pPr>
        <w:jc w:val="center"/>
        <w:rPr>
          <w:noProof/>
        </w:rPr>
      </w:pPr>
    </w:p>
    <w:p w:rsidR="00F734B7" w:rsidRDefault="00F734B7" w:rsidP="00F734B7">
      <w:pPr>
        <w:jc w:val="center"/>
        <w:rPr>
          <w:noProof/>
        </w:rPr>
      </w:pPr>
    </w:p>
    <w:p w:rsidR="00E44B14" w:rsidRDefault="00F734B7" w:rsidP="00F734B7">
      <w:pPr>
        <w:jc w:val="center"/>
        <w:rPr>
          <w:b/>
          <w:sz w:val="28"/>
        </w:rPr>
      </w:pPr>
      <w:r>
        <w:rPr>
          <w:noProof/>
        </w:rPr>
        <w:drawing>
          <wp:inline distT="0" distB="0" distL="0" distR="0" wp14:anchorId="2BB7FAE8" wp14:editId="4C215033">
            <wp:extent cx="2854325" cy="1725295"/>
            <wp:effectExtent l="0" t="0" r="3175" b="0"/>
            <wp:docPr id="1" name="Picture 1" descr="https://tavp.ch/wp-content/uploads/2018/09/logo-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vp.ch/wp-content/uploads/2018/09/logo-colo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4325" cy="1725295"/>
                    </a:xfrm>
                    <a:prstGeom prst="rect">
                      <a:avLst/>
                    </a:prstGeom>
                    <a:noFill/>
                    <a:ln>
                      <a:noFill/>
                    </a:ln>
                  </pic:spPr>
                </pic:pic>
              </a:graphicData>
            </a:graphic>
          </wp:inline>
        </w:drawing>
      </w:r>
      <w:r w:rsidR="00E44B14">
        <w:rPr>
          <w:b/>
          <w:sz w:val="28"/>
        </w:rPr>
        <w:br w:type="page"/>
      </w:r>
    </w:p>
    <w:p w:rsidR="00FB276C" w:rsidRDefault="00FB276C" w:rsidP="001A283A">
      <w:pPr>
        <w:pStyle w:val="Heading1"/>
        <w:rPr>
          <w:color w:val="CC6600"/>
          <w:sz w:val="32"/>
        </w:rPr>
      </w:pPr>
      <w:r w:rsidRPr="001A283A">
        <w:rPr>
          <w:color w:val="CC6600"/>
          <w:sz w:val="32"/>
        </w:rPr>
        <w:lastRenderedPageBreak/>
        <w:t>Project Overview</w:t>
      </w:r>
    </w:p>
    <w:p w:rsidR="001A283A" w:rsidRPr="001A283A" w:rsidRDefault="001A283A" w:rsidP="001A283A"/>
    <w:p w:rsidR="00FB276C" w:rsidRPr="00E44B14" w:rsidRDefault="00FB276C" w:rsidP="00FB1213">
      <w:pPr>
        <w:jc w:val="both"/>
        <w:rPr>
          <w:sz w:val="24"/>
        </w:rPr>
      </w:pPr>
      <w:r w:rsidRPr="00E44B14">
        <w:rPr>
          <w:sz w:val="24"/>
        </w:rPr>
        <w:t>TAVP Entertainment Ltd is a special purpose vehicle PRESENTED BY TKRS Limited Entertainment.</w:t>
      </w:r>
    </w:p>
    <w:p w:rsidR="00FB276C" w:rsidRPr="00E44B14" w:rsidRDefault="00FB276C" w:rsidP="00FB1213">
      <w:pPr>
        <w:jc w:val="both"/>
        <w:rPr>
          <w:sz w:val="24"/>
        </w:rPr>
      </w:pPr>
      <w:r w:rsidRPr="00E44B14">
        <w:rPr>
          <w:sz w:val="24"/>
        </w:rPr>
        <w:t xml:space="preserve">Up till now, making big Hollywood and Bollywood movies was the private playground of wealthy production companies. That is about to change with the new TAVP Entertainment Ltd initiative to do an ICO Crowd sale for THREE movies based upon “The Aqua Vitae Parallax”, a book written by </w:t>
      </w:r>
      <w:proofErr w:type="spellStart"/>
      <w:r w:rsidRPr="00E44B14">
        <w:rPr>
          <w:sz w:val="24"/>
        </w:rPr>
        <w:t>Vania</w:t>
      </w:r>
      <w:proofErr w:type="spellEnd"/>
      <w:r w:rsidRPr="00E44B14">
        <w:rPr>
          <w:sz w:val="24"/>
        </w:rPr>
        <w:t xml:space="preserve"> Von </w:t>
      </w:r>
      <w:proofErr w:type="spellStart"/>
      <w:r w:rsidRPr="00E44B14">
        <w:rPr>
          <w:sz w:val="24"/>
        </w:rPr>
        <w:t>Vanistan</w:t>
      </w:r>
      <w:proofErr w:type="spellEnd"/>
      <w:r w:rsidRPr="00E44B14">
        <w:rPr>
          <w:sz w:val="24"/>
        </w:rPr>
        <w:t xml:space="preserve"> alias Austin Ross.</w:t>
      </w:r>
    </w:p>
    <w:p w:rsidR="00FB276C" w:rsidRPr="00E44B14" w:rsidRDefault="00FB276C" w:rsidP="00FB1213">
      <w:pPr>
        <w:jc w:val="both"/>
        <w:rPr>
          <w:sz w:val="24"/>
        </w:rPr>
      </w:pPr>
      <w:r w:rsidRPr="00E44B14">
        <w:rPr>
          <w:sz w:val="24"/>
        </w:rPr>
        <w:t>To secure the venture, high profile actors with a huge crowd following them daily, known directors and producers are involved. The movie will be released in three parts, shooting them all at once is decisively more economic as well as necessary due to the story. The release of Part 2 will take place ten months after the release of the Part 1. </w:t>
      </w:r>
    </w:p>
    <w:p w:rsidR="00FB276C" w:rsidRDefault="00FB276C" w:rsidP="00FB1213">
      <w:pPr>
        <w:rPr>
          <w:sz w:val="24"/>
        </w:rPr>
      </w:pPr>
      <w:r w:rsidRPr="00E44B14">
        <w:rPr>
          <w:sz w:val="24"/>
        </w:rPr>
        <w:t>Our team is incredibly passionate about film – from the initial creative process to the nitty</w:t>
      </w:r>
      <w:r w:rsidR="00FB1213">
        <w:rPr>
          <w:sz w:val="24"/>
        </w:rPr>
        <w:t>-</w:t>
      </w:r>
      <w:bookmarkStart w:id="0" w:name="_GoBack"/>
      <w:bookmarkEnd w:id="0"/>
      <w:r w:rsidRPr="00E44B14">
        <w:rPr>
          <w:sz w:val="24"/>
        </w:rPr>
        <w:t>gritty details. We are a group of highly driven professionals that are ready to dedicate their time, speciality and expertise to create award-winning films.</w:t>
      </w:r>
    </w:p>
    <w:p w:rsidR="001A283A" w:rsidRDefault="001A283A" w:rsidP="00FB1213">
      <w:pPr>
        <w:rPr>
          <w:sz w:val="24"/>
        </w:rPr>
      </w:pPr>
      <w:r w:rsidRPr="001A283A">
        <w:rPr>
          <w:sz w:val="24"/>
        </w:rPr>
        <w:t>The unique approach of offering a set convertibility rate with a variable component will enable investors to really profit from the venture rather than either making a paltry fixed income or hoping for dividends distribution when shares are involved.</w:t>
      </w:r>
    </w:p>
    <w:p w:rsidR="001A283A" w:rsidRPr="00E44B14" w:rsidRDefault="001A283A" w:rsidP="00FB276C">
      <w:pPr>
        <w:rPr>
          <w:sz w:val="24"/>
        </w:rPr>
      </w:pPr>
    </w:p>
    <w:p w:rsidR="001A283A" w:rsidRDefault="001A283A">
      <w:pPr>
        <w:rPr>
          <w:b/>
          <w:color w:val="CC6600"/>
          <w:sz w:val="28"/>
        </w:rPr>
      </w:pPr>
      <w:r>
        <w:rPr>
          <w:b/>
          <w:color w:val="CC6600"/>
          <w:sz w:val="28"/>
        </w:rPr>
        <w:br w:type="page"/>
      </w:r>
    </w:p>
    <w:p w:rsidR="00FB276C" w:rsidRPr="001A283A" w:rsidRDefault="00FB276C" w:rsidP="001A283A">
      <w:pPr>
        <w:pStyle w:val="Heading1"/>
        <w:rPr>
          <w:color w:val="CC6600"/>
          <w:sz w:val="32"/>
        </w:rPr>
      </w:pPr>
      <w:r w:rsidRPr="001A283A">
        <w:rPr>
          <w:color w:val="CC6600"/>
          <w:sz w:val="32"/>
        </w:rPr>
        <w:lastRenderedPageBreak/>
        <w:t>The Offering</w:t>
      </w:r>
    </w:p>
    <w:p w:rsidR="00FB276C" w:rsidRPr="001A283A" w:rsidRDefault="0069103B" w:rsidP="00E44B14">
      <w:pPr>
        <w:pStyle w:val="NoSpacing"/>
        <w:rPr>
          <w:b/>
          <w:sz w:val="24"/>
        </w:rPr>
      </w:pPr>
      <w:r w:rsidRPr="001A283A">
        <w:rPr>
          <w:b/>
          <w:sz w:val="24"/>
        </w:rPr>
        <w:t>Sale of TWEX Tokens</w:t>
      </w:r>
      <w:r w:rsidR="001A283A">
        <w:rPr>
          <w:b/>
          <w:sz w:val="24"/>
        </w:rPr>
        <w:t xml:space="preserve"> for TAVP</w:t>
      </w:r>
    </w:p>
    <w:p w:rsidR="0069103B" w:rsidRPr="00E44B14" w:rsidRDefault="0069103B" w:rsidP="00E44B14">
      <w:pPr>
        <w:pStyle w:val="NoSpacing"/>
        <w:rPr>
          <w:sz w:val="24"/>
        </w:rPr>
      </w:pPr>
    </w:p>
    <w:p w:rsidR="00FB276C" w:rsidRPr="00E44B14" w:rsidRDefault="00FB276C" w:rsidP="00E44B14">
      <w:pPr>
        <w:pStyle w:val="NoSpacing"/>
        <w:rPr>
          <w:sz w:val="24"/>
        </w:rPr>
      </w:pPr>
      <w:r w:rsidRPr="00E44B14">
        <w:rPr>
          <w:sz w:val="24"/>
        </w:rPr>
        <w:t>Total Number of TWEX Tokens for Sale: 1,500,000</w:t>
      </w:r>
      <w:r w:rsidR="0069103B">
        <w:rPr>
          <w:sz w:val="24"/>
        </w:rPr>
        <w:t xml:space="preserve"> Tokens</w:t>
      </w:r>
    </w:p>
    <w:p w:rsidR="00FB276C" w:rsidRPr="00E44B14" w:rsidRDefault="0069103B" w:rsidP="00E44B14">
      <w:pPr>
        <w:pStyle w:val="NoSpacing"/>
        <w:rPr>
          <w:sz w:val="24"/>
        </w:rPr>
      </w:pPr>
      <w:r>
        <w:rPr>
          <w:sz w:val="24"/>
        </w:rPr>
        <w:t xml:space="preserve">Rate: </w:t>
      </w:r>
      <w:r w:rsidR="00FB276C" w:rsidRPr="00E44B14">
        <w:rPr>
          <w:sz w:val="24"/>
        </w:rPr>
        <w:t>10 Euros</w:t>
      </w:r>
    </w:p>
    <w:p w:rsidR="00FB276C" w:rsidRPr="00E44B14" w:rsidRDefault="00FB276C" w:rsidP="00E44B14">
      <w:pPr>
        <w:pStyle w:val="NoSpacing"/>
        <w:rPr>
          <w:sz w:val="24"/>
        </w:rPr>
      </w:pPr>
      <w:r w:rsidRPr="00E44B14">
        <w:rPr>
          <w:sz w:val="24"/>
        </w:rPr>
        <w:t>Minimum Amount to be raised: 7,000,000 Euros</w:t>
      </w:r>
    </w:p>
    <w:p w:rsidR="00FB276C" w:rsidRDefault="00FB276C" w:rsidP="00E44B14">
      <w:pPr>
        <w:pStyle w:val="NoSpacing"/>
        <w:rPr>
          <w:sz w:val="24"/>
        </w:rPr>
      </w:pPr>
      <w:r w:rsidRPr="00E44B14">
        <w:rPr>
          <w:sz w:val="24"/>
        </w:rPr>
        <w:t>Maximum Amount to be raised: 15,000,000 Euros</w:t>
      </w:r>
    </w:p>
    <w:p w:rsidR="00E44B14" w:rsidRDefault="00E44B14" w:rsidP="00E44B14">
      <w:pPr>
        <w:pStyle w:val="NoSpacing"/>
        <w:rPr>
          <w:sz w:val="24"/>
        </w:rPr>
      </w:pPr>
    </w:p>
    <w:p w:rsidR="0069103B" w:rsidRPr="00FB1213" w:rsidRDefault="0069103B" w:rsidP="00FB1213">
      <w:pPr>
        <w:pStyle w:val="Heading2"/>
        <w:rPr>
          <w:color w:val="CC6600"/>
        </w:rPr>
      </w:pPr>
      <w:r w:rsidRPr="00FB1213">
        <w:rPr>
          <w:color w:val="CC6600"/>
        </w:rPr>
        <w:t xml:space="preserve">The </w:t>
      </w:r>
      <w:r w:rsidR="00E44B14" w:rsidRPr="00FB1213">
        <w:rPr>
          <w:color w:val="CC6600"/>
        </w:rPr>
        <w:t xml:space="preserve">TWEX Tokens </w:t>
      </w:r>
    </w:p>
    <w:p w:rsidR="0069103B" w:rsidRDefault="00E44B14" w:rsidP="00E44B14">
      <w:pPr>
        <w:pStyle w:val="NoSpacing"/>
        <w:rPr>
          <w:sz w:val="24"/>
        </w:rPr>
      </w:pPr>
      <w:r w:rsidRPr="0069103B">
        <w:rPr>
          <w:sz w:val="24"/>
        </w:rPr>
        <w:t xml:space="preserve">The cryptographic tokens are software products (digital resources), created by the website owner as a proof of membership of the holders in the TWEX ecosystem. It gives them the right to use the Exchange and all of its proprietary tools. The TWEX Token gives its owners the possibility among others to use its proprietary assets valuation and payment algorithm. This proprietary Algorithm has been developed by our team in order to help patrons to price specific investments held and traded on our Exchange. Pricing of any specific investment is made based on two yearly audits made by our Accounting and Audit Department for each company listed on the Exchange. Data collection will enable us to create a template of how well financially the company is and if with its present cash flow and receivables it will be able to pay its debts. Boasting over 25 financial data control points, ratios, and indexes coupled with probability and net present value accounting for current and up to date market rates our algorithm is able to price the investments and enable you to sell all or part of said investments at prices of </w:t>
      </w:r>
      <w:proofErr w:type="gramStart"/>
      <w:r w:rsidRPr="0069103B">
        <w:rPr>
          <w:sz w:val="24"/>
        </w:rPr>
        <w:t>your</w:t>
      </w:r>
      <w:proofErr w:type="gramEnd"/>
      <w:r w:rsidRPr="0069103B">
        <w:rPr>
          <w:sz w:val="24"/>
        </w:rPr>
        <w:t xml:space="preserve"> choosing. This helps to create liquidity for private investments using laws of supply and demand coupled with intelligent high benefits-oriented pricing. Powered by the </w:t>
      </w:r>
      <w:proofErr w:type="spellStart"/>
      <w:r w:rsidRPr="0069103B">
        <w:rPr>
          <w:sz w:val="24"/>
        </w:rPr>
        <w:t>Ethereum</w:t>
      </w:r>
      <w:proofErr w:type="spellEnd"/>
      <w:r w:rsidRPr="0069103B">
        <w:rPr>
          <w:sz w:val="24"/>
        </w:rPr>
        <w:t xml:space="preserve"> network the TWEX Tokens issued are not considered as security tokens, but instead, as Utility Tokens as they solely give access to the company’s product or service, i.e. have a practical use. This helps to create liquidity for private investments using laws of supply and demand coupled with intelligent high benefits-oriented pricing. Powered by the </w:t>
      </w:r>
      <w:proofErr w:type="spellStart"/>
      <w:r w:rsidRPr="0069103B">
        <w:rPr>
          <w:sz w:val="24"/>
        </w:rPr>
        <w:t>Ethereum</w:t>
      </w:r>
      <w:proofErr w:type="spellEnd"/>
      <w:r w:rsidRPr="0069103B">
        <w:rPr>
          <w:sz w:val="24"/>
        </w:rPr>
        <w:t xml:space="preserve"> network the TWEX Tokens issued are not considered as security tokens, but instead, as Utility Tokens as they solely give access to the company’s product or service, i.e. have a practical use. Utility tokens are exempted from regulation and security laws. But under no circumstances whatsoever can you be considered as a shareholder of TWEX ltd – the company TWEX tokens are not and shall not be considered as securities as there are no monetary rights attached to them. </w:t>
      </w:r>
    </w:p>
    <w:p w:rsidR="001A283A" w:rsidRDefault="001A283A" w:rsidP="00E44B14">
      <w:pPr>
        <w:pStyle w:val="NoSpacing"/>
        <w:rPr>
          <w:sz w:val="24"/>
        </w:rPr>
      </w:pPr>
    </w:p>
    <w:p w:rsidR="0069103B" w:rsidRPr="00F734B7" w:rsidRDefault="0069103B" w:rsidP="00E44B14">
      <w:pPr>
        <w:pStyle w:val="NoSpacing"/>
        <w:rPr>
          <w:b/>
          <w:color w:val="CC6600"/>
          <w:sz w:val="24"/>
          <w:szCs w:val="24"/>
        </w:rPr>
      </w:pPr>
      <w:r w:rsidRPr="00F734B7">
        <w:rPr>
          <w:b/>
          <w:color w:val="CC6600"/>
          <w:sz w:val="24"/>
          <w:szCs w:val="24"/>
        </w:rPr>
        <w:t xml:space="preserve">Why use Utility Tokens? </w:t>
      </w:r>
    </w:p>
    <w:p w:rsidR="0069103B" w:rsidRPr="0069103B" w:rsidRDefault="0069103B" w:rsidP="00E44B14">
      <w:pPr>
        <w:pStyle w:val="NoSpacing"/>
        <w:rPr>
          <w:sz w:val="24"/>
          <w:szCs w:val="24"/>
        </w:rPr>
      </w:pPr>
      <w:r w:rsidRPr="0069103B">
        <w:rPr>
          <w:sz w:val="24"/>
          <w:szCs w:val="24"/>
        </w:rPr>
        <w:t>Utility Tokens have a use case and are not designed as investments, but that doesn’t mean that they don’t bring any profit. They have a certain use case inside the project and don’t represent company’s share. Utility tokens may grow in price, if the demand for service or product increases. So buying such tokens of a project, that solves real problems of users and is constantly being developed and improved, may give great profit in future. Issuing security tokens according to the regulations is easier and cheaper for the project than launching Token sale offering utility tokens — it reduces legal risk. But classified as security tokens are regulated, and thus limited on who can invest in them and how they can be traded. As a result, liquidity of such tokens is extremely reduced. Trading is greatly limited for security tokens — they cannot be traded freely. This restriction may destroy the effects of networking and prevent the development of the platform.</w:t>
      </w:r>
    </w:p>
    <w:p w:rsidR="00FB276C" w:rsidRPr="001A283A" w:rsidRDefault="00FB276C" w:rsidP="001A283A">
      <w:pPr>
        <w:pStyle w:val="Heading1"/>
        <w:rPr>
          <w:color w:val="CC6600"/>
          <w:sz w:val="32"/>
        </w:rPr>
      </w:pPr>
      <w:r w:rsidRPr="001A283A">
        <w:rPr>
          <w:color w:val="CC6600"/>
          <w:sz w:val="32"/>
        </w:rPr>
        <w:lastRenderedPageBreak/>
        <w:t>Investor Returns</w:t>
      </w:r>
    </w:p>
    <w:p w:rsidR="00FB276C" w:rsidRPr="00E44B14" w:rsidRDefault="00FB276C">
      <w:pPr>
        <w:rPr>
          <w:sz w:val="24"/>
        </w:rPr>
      </w:pPr>
      <w:r w:rsidRPr="00E44B14">
        <w:rPr>
          <w:sz w:val="24"/>
        </w:rPr>
        <w:t>Token</w:t>
      </w:r>
      <w:r w:rsidR="0069103B">
        <w:rPr>
          <w:sz w:val="24"/>
        </w:rPr>
        <w:t>-</w:t>
      </w:r>
      <w:r w:rsidRPr="00E44B14">
        <w:rPr>
          <w:sz w:val="24"/>
        </w:rPr>
        <w:t xml:space="preserve">holders will be paid a variable amount for interests calculated on the Profit </w:t>
      </w:r>
      <w:proofErr w:type="gramStart"/>
      <w:r w:rsidRPr="00E44B14">
        <w:rPr>
          <w:sz w:val="24"/>
        </w:rPr>
        <w:t>After</w:t>
      </w:r>
      <w:proofErr w:type="gramEnd"/>
      <w:r w:rsidRPr="00E44B14">
        <w:rPr>
          <w:sz w:val="24"/>
        </w:rPr>
        <w:t xml:space="preserve"> Tax </w:t>
      </w:r>
      <w:r w:rsidR="00E44B14" w:rsidRPr="00E44B14">
        <w:rPr>
          <w:sz w:val="24"/>
        </w:rPr>
        <w:t>(PAT)</w:t>
      </w:r>
    </w:p>
    <w:p w:rsidR="00E44B14" w:rsidRPr="00F734B7" w:rsidRDefault="00E44B14">
      <w:pPr>
        <w:rPr>
          <w:b/>
          <w:color w:val="CC6600"/>
          <w:sz w:val="24"/>
        </w:rPr>
      </w:pPr>
      <w:r w:rsidRPr="00F734B7">
        <w:rPr>
          <w:b/>
          <w:color w:val="CC6600"/>
          <w:sz w:val="24"/>
        </w:rPr>
        <w:t>Occupancy Rate% of PAT</w:t>
      </w:r>
    </w:p>
    <w:p w:rsidR="00E44B14" w:rsidRPr="00E44B14" w:rsidRDefault="00E44B14">
      <w:pPr>
        <w:rPr>
          <w:sz w:val="24"/>
        </w:rPr>
      </w:pPr>
      <w:r w:rsidRPr="00E44B14">
        <w:rPr>
          <w:sz w:val="24"/>
        </w:rPr>
        <w:t>32% to 42.99% - 5.0%</w:t>
      </w:r>
    </w:p>
    <w:p w:rsidR="00E44B14" w:rsidRPr="00E44B14" w:rsidRDefault="00E44B14">
      <w:pPr>
        <w:rPr>
          <w:sz w:val="24"/>
        </w:rPr>
      </w:pPr>
      <w:r w:rsidRPr="00E44B14">
        <w:rPr>
          <w:sz w:val="24"/>
        </w:rPr>
        <w:t>43% to 50.99% - 7.5%</w:t>
      </w:r>
    </w:p>
    <w:p w:rsidR="00E44B14" w:rsidRPr="00E44B14" w:rsidRDefault="00E44B14">
      <w:pPr>
        <w:rPr>
          <w:sz w:val="24"/>
        </w:rPr>
      </w:pPr>
      <w:r w:rsidRPr="00E44B14">
        <w:rPr>
          <w:sz w:val="24"/>
        </w:rPr>
        <w:t>51% to 58.99% - 10.0%</w:t>
      </w:r>
    </w:p>
    <w:p w:rsidR="00E44B14" w:rsidRPr="00E44B14" w:rsidRDefault="00E44B14">
      <w:pPr>
        <w:rPr>
          <w:sz w:val="24"/>
        </w:rPr>
      </w:pPr>
      <w:r w:rsidRPr="00E44B14">
        <w:rPr>
          <w:rFonts w:cstheme="minorHAnsi"/>
          <w:sz w:val="24"/>
        </w:rPr>
        <w:t>˃</w:t>
      </w:r>
      <w:r w:rsidRPr="00E44B14">
        <w:rPr>
          <w:sz w:val="24"/>
        </w:rPr>
        <w:t xml:space="preserve"> 59% - 15.0%</w:t>
      </w:r>
    </w:p>
    <w:p w:rsidR="00E44B14" w:rsidRPr="00F734B7" w:rsidRDefault="00E44B14">
      <w:pPr>
        <w:rPr>
          <w:b/>
          <w:color w:val="CC6600"/>
          <w:sz w:val="24"/>
        </w:rPr>
      </w:pPr>
      <w:r w:rsidRPr="00F734B7">
        <w:rPr>
          <w:b/>
          <w:color w:val="CC6600"/>
          <w:sz w:val="24"/>
        </w:rPr>
        <w:t>Capital Repayment Structure</w:t>
      </w:r>
    </w:p>
    <w:p w:rsidR="00E44B14" w:rsidRPr="0069103B" w:rsidRDefault="00E44B14">
      <w:pPr>
        <w:rPr>
          <w:sz w:val="24"/>
          <w:szCs w:val="24"/>
        </w:rPr>
      </w:pPr>
      <w:r w:rsidRPr="0069103B">
        <w:rPr>
          <w:sz w:val="24"/>
          <w:szCs w:val="24"/>
        </w:rPr>
        <w:t>Maximum 3 months after the release of the first movie: 8 Million Euros</w:t>
      </w:r>
    </w:p>
    <w:p w:rsidR="0069103B" w:rsidRDefault="00E44B14">
      <w:pPr>
        <w:rPr>
          <w:sz w:val="24"/>
          <w:szCs w:val="24"/>
        </w:rPr>
      </w:pPr>
      <w:r w:rsidRPr="0069103B">
        <w:rPr>
          <w:sz w:val="24"/>
          <w:szCs w:val="24"/>
        </w:rPr>
        <w:t>Maximum 3 months after the release of 2</w:t>
      </w:r>
      <w:r w:rsidRPr="0069103B">
        <w:rPr>
          <w:sz w:val="24"/>
          <w:szCs w:val="24"/>
          <w:vertAlign w:val="superscript"/>
        </w:rPr>
        <w:t>nd</w:t>
      </w:r>
      <w:r w:rsidRPr="0069103B">
        <w:rPr>
          <w:sz w:val="24"/>
          <w:szCs w:val="24"/>
        </w:rPr>
        <w:t xml:space="preserve"> movie: 7 Million Euros</w:t>
      </w:r>
    </w:p>
    <w:p w:rsidR="0069103B" w:rsidRPr="0069103B" w:rsidRDefault="0069103B">
      <w:pPr>
        <w:rPr>
          <w:sz w:val="24"/>
          <w:szCs w:val="24"/>
        </w:rPr>
      </w:pPr>
    </w:p>
    <w:p w:rsidR="0069103B" w:rsidRPr="00F734B7" w:rsidRDefault="0069103B">
      <w:pPr>
        <w:rPr>
          <w:b/>
          <w:color w:val="CC6600"/>
          <w:sz w:val="24"/>
        </w:rPr>
      </w:pPr>
      <w:r w:rsidRPr="00F734B7">
        <w:rPr>
          <w:b/>
          <w:color w:val="CC6600"/>
          <w:sz w:val="24"/>
        </w:rPr>
        <w:t xml:space="preserve">Non-financial nature of TWEX tokens </w:t>
      </w:r>
    </w:p>
    <w:p w:rsidR="0069103B" w:rsidRDefault="0069103B">
      <w:pPr>
        <w:rPr>
          <w:sz w:val="24"/>
        </w:rPr>
      </w:pPr>
      <w:r w:rsidRPr="0069103B">
        <w:rPr>
          <w:sz w:val="24"/>
        </w:rPr>
        <w:t xml:space="preserve">Being merely the virtual fuel for the running of the Offering, by nature TWEX Tokens are NOT and shall in NO case be understood, deemed, interpreted or construed as: </w:t>
      </w:r>
    </w:p>
    <w:p w:rsidR="0069103B" w:rsidRPr="0069103B" w:rsidRDefault="0069103B" w:rsidP="0069103B">
      <w:pPr>
        <w:pStyle w:val="ListParagraph"/>
        <w:numPr>
          <w:ilvl w:val="0"/>
          <w:numId w:val="1"/>
        </w:numPr>
        <w:rPr>
          <w:sz w:val="24"/>
        </w:rPr>
      </w:pPr>
      <w:r w:rsidRPr="0069103B">
        <w:rPr>
          <w:sz w:val="24"/>
        </w:rPr>
        <w:t>any kind of currenc</w:t>
      </w:r>
      <w:r w:rsidRPr="0069103B">
        <w:rPr>
          <w:sz w:val="24"/>
        </w:rPr>
        <w:t>y or money, whether fiat or not</w:t>
      </w:r>
    </w:p>
    <w:p w:rsidR="0069103B" w:rsidRPr="0069103B" w:rsidRDefault="0069103B" w:rsidP="0069103B">
      <w:pPr>
        <w:pStyle w:val="ListParagraph"/>
        <w:numPr>
          <w:ilvl w:val="0"/>
          <w:numId w:val="1"/>
        </w:numPr>
        <w:rPr>
          <w:sz w:val="24"/>
        </w:rPr>
      </w:pPr>
      <w:r w:rsidRPr="0069103B">
        <w:rPr>
          <w:sz w:val="24"/>
        </w:rPr>
        <w:t>any commercial paper or negotiable instr</w:t>
      </w:r>
      <w:r w:rsidRPr="0069103B">
        <w:rPr>
          <w:sz w:val="24"/>
        </w:rPr>
        <w:t>ument</w:t>
      </w:r>
    </w:p>
    <w:p w:rsidR="0069103B" w:rsidRPr="0069103B" w:rsidRDefault="0069103B" w:rsidP="0069103B">
      <w:pPr>
        <w:pStyle w:val="ListParagraph"/>
        <w:numPr>
          <w:ilvl w:val="0"/>
          <w:numId w:val="1"/>
        </w:numPr>
        <w:rPr>
          <w:sz w:val="24"/>
        </w:rPr>
      </w:pPr>
      <w:r w:rsidRPr="0069103B">
        <w:rPr>
          <w:sz w:val="24"/>
        </w:rPr>
        <w:t>any form of investment contract between the relev</w:t>
      </w:r>
      <w:r w:rsidRPr="0069103B">
        <w:rPr>
          <w:sz w:val="24"/>
        </w:rPr>
        <w:t>ant holder and any other person</w:t>
      </w:r>
    </w:p>
    <w:p w:rsidR="0069103B" w:rsidRPr="0069103B" w:rsidRDefault="0069103B" w:rsidP="0069103B">
      <w:pPr>
        <w:pStyle w:val="ListParagraph"/>
        <w:numPr>
          <w:ilvl w:val="0"/>
          <w:numId w:val="1"/>
        </w:numPr>
        <w:rPr>
          <w:sz w:val="24"/>
        </w:rPr>
      </w:pPr>
      <w:r w:rsidRPr="0069103B">
        <w:rPr>
          <w:sz w:val="24"/>
        </w:rPr>
        <w:t>any commodity or asset that any person i</w:t>
      </w:r>
      <w:r w:rsidRPr="0069103B">
        <w:rPr>
          <w:sz w:val="24"/>
        </w:rPr>
        <w:t>s obliged to redeem or purchase</w:t>
      </w:r>
    </w:p>
    <w:p w:rsidR="0069103B" w:rsidRPr="0069103B" w:rsidRDefault="0069103B" w:rsidP="0069103B">
      <w:pPr>
        <w:pStyle w:val="ListParagraph"/>
        <w:numPr>
          <w:ilvl w:val="0"/>
          <w:numId w:val="1"/>
        </w:numPr>
        <w:rPr>
          <w:sz w:val="24"/>
        </w:rPr>
      </w:pPr>
      <w:r w:rsidRPr="0069103B">
        <w:rPr>
          <w:sz w:val="24"/>
        </w:rPr>
        <w:t>any traditional securities or other forms of securities</w:t>
      </w:r>
    </w:p>
    <w:p w:rsidR="00E44B14" w:rsidRDefault="00E44B14"/>
    <w:p w:rsidR="001A283A" w:rsidRDefault="001A283A">
      <w:pPr>
        <w:rPr>
          <w:rFonts w:asciiTheme="majorHAnsi" w:eastAsiaTheme="majorEastAsia" w:hAnsiTheme="majorHAnsi" w:cstheme="majorBidi"/>
          <w:b/>
          <w:bCs/>
          <w:color w:val="CC6600"/>
          <w:sz w:val="28"/>
          <w:szCs w:val="28"/>
        </w:rPr>
      </w:pPr>
      <w:r>
        <w:rPr>
          <w:color w:val="CC6600"/>
        </w:rPr>
        <w:br w:type="page"/>
      </w:r>
    </w:p>
    <w:p w:rsidR="00E44B14" w:rsidRDefault="00E44B14" w:rsidP="001A283A">
      <w:pPr>
        <w:pStyle w:val="Heading1"/>
        <w:rPr>
          <w:color w:val="CC6600"/>
          <w:sz w:val="32"/>
        </w:rPr>
      </w:pPr>
      <w:r w:rsidRPr="001A283A">
        <w:rPr>
          <w:color w:val="CC6600"/>
          <w:sz w:val="32"/>
        </w:rPr>
        <w:lastRenderedPageBreak/>
        <w:t xml:space="preserve">The Smart Contract </w:t>
      </w:r>
      <w:r w:rsidR="001A283A">
        <w:rPr>
          <w:color w:val="CC6600"/>
          <w:sz w:val="32"/>
        </w:rPr>
        <w:t>Trading Platform</w:t>
      </w:r>
    </w:p>
    <w:p w:rsidR="001A283A" w:rsidRPr="001A283A" w:rsidRDefault="001A283A" w:rsidP="001A283A"/>
    <w:p w:rsidR="00F734B7" w:rsidRDefault="00F734B7">
      <w:pPr>
        <w:rPr>
          <w:sz w:val="24"/>
        </w:rPr>
      </w:pPr>
      <w:r w:rsidRPr="00F734B7">
        <w:rPr>
          <w:sz w:val="24"/>
        </w:rPr>
        <w:t>A Smart Contract serves a very similar function as a contract does in the real world. Contracts, in typical cases, involve two or more parties that agree on certain terms, sign the contract, and once these terms have been carried out and both parties are content, the contract is deemed fulfilled. Smart contracts employ the same principle but are able to operate automatically via an algorithm that has the terms of the contract embedded within it. The Smart contract — is a piece of code that is stored in the BLOCKCHAIN network (on each participant database). It defines the conditions to which all parties using contract agrees. So if required conditions are met certain actions are executed. As the smart contract will be stored on every computer in the network, all the computers (miners) executing the code must come to the same result and reach a consensus. This way the users can be sure, that the outcome is correct. The TWEX smart contract design follows a very modular contract structure making it easy to split functionalities to upgrade or reuse parts. The current implementation consists of over two main smart contracts describing all the process for investment, payments, period, capital and reimbursement between stakeholders. All of them will be written in Solidity Language.</w:t>
      </w:r>
    </w:p>
    <w:p w:rsidR="00F734B7" w:rsidRDefault="00F734B7">
      <w:pPr>
        <w:rPr>
          <w:sz w:val="24"/>
        </w:rPr>
      </w:pPr>
      <w:r w:rsidRPr="0069103B">
        <w:rPr>
          <w:sz w:val="24"/>
        </w:rPr>
        <w:t xml:space="preserve">The TWEX Smart Contracts Trading platform is innovative and different from other exchanges as it combines trading of capital and profit contracts via smart contracts when it matters most to these contract owners along with trading potential for funds recipient companies. A private investment by definition is illiquid. We at TWEX enable companies to pay back on a timing of their choosing and amounts that most correspond to their capacity to pay back. </w:t>
      </w:r>
    </w:p>
    <w:p w:rsidR="00F734B7" w:rsidRPr="00F734B7" w:rsidRDefault="0069103B">
      <w:pPr>
        <w:rPr>
          <w:sz w:val="24"/>
        </w:rPr>
      </w:pPr>
      <w:r w:rsidRPr="00F734B7">
        <w:rPr>
          <w:sz w:val="24"/>
        </w:rPr>
        <w:t>The trading module on</w:t>
      </w:r>
      <w:r w:rsidR="00F734B7" w:rsidRPr="00F734B7">
        <w:rPr>
          <w:sz w:val="24"/>
        </w:rPr>
        <w:t xml:space="preserve"> the platform allows trading of:</w:t>
      </w:r>
    </w:p>
    <w:p w:rsidR="00F734B7" w:rsidRPr="00F734B7" w:rsidRDefault="0069103B" w:rsidP="00F734B7">
      <w:pPr>
        <w:pStyle w:val="ListParagraph"/>
        <w:numPr>
          <w:ilvl w:val="0"/>
          <w:numId w:val="2"/>
        </w:numPr>
        <w:rPr>
          <w:sz w:val="24"/>
        </w:rPr>
      </w:pPr>
      <w:r w:rsidRPr="00F734B7">
        <w:rPr>
          <w:sz w:val="24"/>
        </w:rPr>
        <w:t xml:space="preserve">TWEX Utility Tokens </w:t>
      </w:r>
    </w:p>
    <w:p w:rsidR="0069103B" w:rsidRPr="00F734B7" w:rsidRDefault="0069103B" w:rsidP="00F734B7">
      <w:pPr>
        <w:pStyle w:val="ListParagraph"/>
        <w:numPr>
          <w:ilvl w:val="0"/>
          <w:numId w:val="2"/>
        </w:numPr>
        <w:rPr>
          <w:b/>
          <w:sz w:val="32"/>
        </w:rPr>
      </w:pPr>
      <w:r w:rsidRPr="00F734B7">
        <w:rPr>
          <w:sz w:val="24"/>
        </w:rPr>
        <w:t>SMART contracts</w:t>
      </w:r>
    </w:p>
    <w:p w:rsidR="00F734B7" w:rsidRDefault="00F734B7" w:rsidP="00F734B7">
      <w:pPr>
        <w:pStyle w:val="ListParagraph"/>
        <w:rPr>
          <w:sz w:val="24"/>
        </w:rPr>
      </w:pPr>
    </w:p>
    <w:p w:rsidR="00F734B7" w:rsidRPr="00F734B7" w:rsidRDefault="00F734B7" w:rsidP="00F734B7">
      <w:pPr>
        <w:spacing w:after="0" w:line="0" w:lineRule="auto"/>
        <w:textAlignment w:val="center"/>
        <w:rPr>
          <w:rFonts w:ascii="Arial" w:eastAsia="Times New Roman" w:hAnsi="Arial" w:cs="Arial"/>
          <w:color w:val="000000"/>
          <w:sz w:val="21"/>
          <w:szCs w:val="21"/>
        </w:rPr>
      </w:pPr>
      <w:r w:rsidRPr="00F734B7">
        <w:rPr>
          <w:rFonts w:ascii="Arial" w:eastAsia="Times New Roman" w:hAnsi="Arial" w:cs="Arial"/>
          <w:color w:val="343538"/>
          <w:sz w:val="48"/>
          <w:szCs w:val="48"/>
        </w:rPr>
        <w:br/>
      </w:r>
    </w:p>
    <w:p w:rsidR="001A283A" w:rsidRPr="001A283A" w:rsidRDefault="001A283A">
      <w:pPr>
        <w:rPr>
          <w:rFonts w:asciiTheme="majorHAnsi" w:eastAsiaTheme="majorEastAsia" w:hAnsiTheme="majorHAnsi" w:cstheme="majorBidi"/>
          <w:b/>
          <w:bCs/>
          <w:color w:val="CC6600"/>
          <w:sz w:val="32"/>
          <w:szCs w:val="28"/>
        </w:rPr>
      </w:pPr>
      <w:r w:rsidRPr="001A283A">
        <w:rPr>
          <w:sz w:val="24"/>
        </w:rPr>
        <w:t xml:space="preserve">The TWEX Utility Tokens </w:t>
      </w:r>
      <w:r w:rsidRPr="001A283A">
        <w:rPr>
          <w:sz w:val="24"/>
        </w:rPr>
        <w:t>are traded and the value changes as per the movement on the platform. This is connected with the performance of the SMART contracts. SMART contracts too are traded with movement guided by NPV (Net Present Value) of the SMART contract. A SMART contract NPV calculator has been provided to guide investors‟ make the decision for BUY or SELL. A complete BUY-SELL-TRANSFER-SETTLEMENT process has been inco</w:t>
      </w:r>
      <w:r>
        <w:rPr>
          <w:sz w:val="24"/>
        </w:rPr>
        <w:t xml:space="preserve">rporated in the trading module. </w:t>
      </w:r>
      <w:r w:rsidRPr="001A283A">
        <w:rPr>
          <w:sz w:val="24"/>
        </w:rPr>
        <w:t>Valuation is based on the existing, future and or both assets valuation and potential of the companies. Then Issuer's proprietary algorithm will ensure that said price matches acquisitions, sales, offer and demands as given to us by the entities that enable sales.</w:t>
      </w:r>
      <w:r w:rsidRPr="001A283A">
        <w:rPr>
          <w:rFonts w:asciiTheme="majorHAnsi" w:eastAsiaTheme="majorEastAsia" w:hAnsiTheme="majorHAnsi" w:cstheme="majorBidi"/>
          <w:b/>
          <w:bCs/>
          <w:color w:val="CC6600"/>
          <w:sz w:val="32"/>
          <w:szCs w:val="28"/>
        </w:rPr>
        <w:br w:type="page"/>
      </w:r>
    </w:p>
    <w:p w:rsidR="00FB1213" w:rsidRDefault="00FB1213" w:rsidP="00FB1213">
      <w:pPr>
        <w:pStyle w:val="Heading1"/>
        <w:rPr>
          <w:color w:val="CC6600"/>
          <w:sz w:val="32"/>
        </w:rPr>
      </w:pPr>
      <w:r w:rsidRPr="00FB1213">
        <w:rPr>
          <w:color w:val="CC6600"/>
          <w:sz w:val="32"/>
        </w:rPr>
        <w:lastRenderedPageBreak/>
        <w:t xml:space="preserve">Termination Event </w:t>
      </w:r>
    </w:p>
    <w:p w:rsidR="00FB1213" w:rsidRPr="00FB1213" w:rsidRDefault="00FB1213" w:rsidP="00FB1213"/>
    <w:p w:rsidR="00FB1213" w:rsidRPr="00FB1213" w:rsidRDefault="00FB1213">
      <w:pPr>
        <w:rPr>
          <w:sz w:val="24"/>
        </w:rPr>
      </w:pPr>
      <w:r w:rsidRPr="00FB1213">
        <w:rPr>
          <w:sz w:val="24"/>
        </w:rPr>
        <w:t xml:space="preserve">Notwithstanding anything to the contrary contained herein, the Issuer shall be entitled to terminate the offering if any of the following events occur: </w:t>
      </w:r>
    </w:p>
    <w:p w:rsidR="00FB1213" w:rsidRPr="00FB1213" w:rsidRDefault="00FB1213">
      <w:pPr>
        <w:rPr>
          <w:sz w:val="24"/>
        </w:rPr>
      </w:pPr>
      <w:r w:rsidRPr="00FB1213">
        <w:rPr>
          <w:sz w:val="24"/>
        </w:rPr>
        <w:t xml:space="preserve">1. The offering is held illegal or irregular under the applicable laws of any jurisdiction, is prohibited, banned or forced to cease by any government in any jurisdiction; and </w:t>
      </w:r>
    </w:p>
    <w:p w:rsidR="00FB1213" w:rsidRPr="00FB1213" w:rsidRDefault="00FB1213">
      <w:pPr>
        <w:rPr>
          <w:sz w:val="24"/>
        </w:rPr>
      </w:pPr>
      <w:r w:rsidRPr="00FB1213">
        <w:rPr>
          <w:sz w:val="24"/>
        </w:rPr>
        <w:t xml:space="preserve">2. The development of Issuer discontinues prior to the Launch as a result of any Force Majeure event and cannot be resumed within three (3) months. </w:t>
      </w:r>
    </w:p>
    <w:p w:rsidR="00FB1213" w:rsidRPr="00FB1213" w:rsidRDefault="00FB1213">
      <w:pPr>
        <w:rPr>
          <w:sz w:val="24"/>
        </w:rPr>
      </w:pPr>
      <w:r w:rsidRPr="00FB1213">
        <w:rPr>
          <w:sz w:val="24"/>
        </w:rPr>
        <w:t xml:space="preserve">3. For any cause the Issuer elects to terminate the offering prior to the close of the Payment Window by making an announcement on the Website; </w:t>
      </w:r>
    </w:p>
    <w:p w:rsidR="00FB1213" w:rsidRPr="00FB1213" w:rsidRDefault="00FB1213">
      <w:pPr>
        <w:rPr>
          <w:sz w:val="24"/>
        </w:rPr>
      </w:pPr>
      <w:r w:rsidRPr="00FB1213">
        <w:rPr>
          <w:sz w:val="24"/>
        </w:rPr>
        <w:t xml:space="preserve">4. The development of the Issuer is required by any applicable law to terminate </w:t>
      </w:r>
    </w:p>
    <w:p w:rsidR="00FB1213" w:rsidRPr="00FB1213" w:rsidRDefault="00FB1213">
      <w:pPr>
        <w:rPr>
          <w:sz w:val="24"/>
        </w:rPr>
      </w:pPr>
    </w:p>
    <w:p w:rsidR="00FB1213" w:rsidRPr="00FB1213" w:rsidRDefault="00FB1213" w:rsidP="00FB1213">
      <w:pPr>
        <w:jc w:val="both"/>
        <w:rPr>
          <w:rFonts w:asciiTheme="majorHAnsi" w:eastAsiaTheme="majorEastAsia" w:hAnsiTheme="majorHAnsi" w:cstheme="majorBidi"/>
          <w:b/>
          <w:bCs/>
          <w:color w:val="CC6600"/>
          <w:sz w:val="36"/>
          <w:szCs w:val="28"/>
        </w:rPr>
      </w:pPr>
      <w:r w:rsidRPr="00FB1213">
        <w:rPr>
          <w:sz w:val="24"/>
        </w:rPr>
        <w:t>The Issuer shall have the full discretion to declare termination of the offering upon the occurrence of any of the above events while the Investors shall not be entitled to object to or deny the decision made by the Issuer.</w:t>
      </w:r>
      <w:r w:rsidRPr="00FB1213">
        <w:rPr>
          <w:color w:val="CC6600"/>
          <w:sz w:val="36"/>
        </w:rPr>
        <w:br w:type="page"/>
      </w:r>
    </w:p>
    <w:p w:rsidR="001863B3" w:rsidRPr="001A283A" w:rsidRDefault="001863B3" w:rsidP="001A283A">
      <w:pPr>
        <w:pStyle w:val="Heading1"/>
        <w:rPr>
          <w:caps/>
          <w:color w:val="CC6600"/>
          <w:sz w:val="32"/>
        </w:rPr>
      </w:pPr>
      <w:r w:rsidRPr="001A283A">
        <w:rPr>
          <w:color w:val="CC6600"/>
          <w:sz w:val="32"/>
        </w:rPr>
        <w:lastRenderedPageBreak/>
        <w:t>Contact Information</w:t>
      </w:r>
    </w:p>
    <w:p w:rsidR="001863B3" w:rsidRDefault="001863B3" w:rsidP="00F734B7">
      <w:pPr>
        <w:spacing w:after="0" w:line="300" w:lineRule="atLeast"/>
        <w:textAlignment w:val="center"/>
        <w:rPr>
          <w:rFonts w:eastAsia="Times New Roman" w:cstheme="minorHAnsi"/>
          <w:b/>
          <w:caps/>
          <w:color w:val="CC6600"/>
          <w:sz w:val="24"/>
          <w:szCs w:val="17"/>
        </w:rPr>
      </w:pPr>
    </w:p>
    <w:p w:rsidR="00F734B7" w:rsidRPr="00F734B7" w:rsidRDefault="001863B3" w:rsidP="00F734B7">
      <w:pPr>
        <w:spacing w:after="0" w:line="300" w:lineRule="atLeast"/>
        <w:textAlignment w:val="center"/>
        <w:rPr>
          <w:rFonts w:eastAsia="Times New Roman" w:cstheme="minorHAnsi"/>
          <w:caps/>
          <w:color w:val="343538"/>
          <w:sz w:val="24"/>
          <w:szCs w:val="17"/>
        </w:rPr>
      </w:pPr>
      <w:r w:rsidRPr="001863B3">
        <w:rPr>
          <w:rFonts w:eastAsia="Times New Roman" w:cstheme="minorHAnsi"/>
          <w:b/>
          <w:caps/>
          <w:color w:val="CC6600"/>
          <w:sz w:val="24"/>
          <w:szCs w:val="17"/>
        </w:rPr>
        <w:t>Address:</w:t>
      </w:r>
      <w:r w:rsidRPr="001863B3">
        <w:rPr>
          <w:rFonts w:eastAsia="Times New Roman" w:cstheme="minorHAnsi"/>
          <w:caps/>
          <w:color w:val="343538"/>
          <w:sz w:val="24"/>
          <w:szCs w:val="17"/>
        </w:rPr>
        <w:t xml:space="preserve"> </w:t>
      </w:r>
      <w:r w:rsidR="00F734B7" w:rsidRPr="00F734B7">
        <w:rPr>
          <w:rFonts w:eastAsia="Times New Roman" w:cstheme="minorHAnsi"/>
          <w:caps/>
          <w:color w:val="343538"/>
          <w:sz w:val="24"/>
          <w:szCs w:val="17"/>
        </w:rPr>
        <w:t>KEMP HOUSE, CITY RD, L</w:t>
      </w:r>
      <w:r>
        <w:rPr>
          <w:rFonts w:eastAsia="Times New Roman" w:cstheme="minorHAnsi"/>
          <w:caps/>
          <w:color w:val="343538"/>
          <w:sz w:val="24"/>
          <w:szCs w:val="17"/>
        </w:rPr>
        <w:t>ONDON EC1V</w:t>
      </w:r>
      <w:r w:rsidR="00F734B7" w:rsidRPr="00F734B7">
        <w:rPr>
          <w:rFonts w:eastAsia="Times New Roman" w:cstheme="minorHAnsi"/>
          <w:caps/>
          <w:color w:val="343538"/>
          <w:sz w:val="24"/>
          <w:szCs w:val="17"/>
        </w:rPr>
        <w:t>2PD, UK</w:t>
      </w:r>
    </w:p>
    <w:p w:rsidR="00F734B7" w:rsidRPr="00F734B7" w:rsidRDefault="001863B3" w:rsidP="00F734B7">
      <w:pPr>
        <w:spacing w:after="0" w:line="300" w:lineRule="atLeast"/>
        <w:textAlignment w:val="center"/>
        <w:rPr>
          <w:rFonts w:eastAsia="Times New Roman" w:cstheme="minorHAnsi"/>
          <w:caps/>
          <w:color w:val="343538"/>
          <w:sz w:val="24"/>
          <w:szCs w:val="17"/>
        </w:rPr>
      </w:pPr>
      <w:r w:rsidRPr="001863B3">
        <w:rPr>
          <w:rFonts w:eastAsia="Times New Roman" w:cstheme="minorHAnsi"/>
          <w:b/>
          <w:caps/>
          <w:color w:val="CC6600"/>
          <w:sz w:val="24"/>
          <w:szCs w:val="17"/>
        </w:rPr>
        <w:t>PHONE:</w:t>
      </w:r>
      <w:r w:rsidRPr="001863B3">
        <w:rPr>
          <w:rFonts w:eastAsia="Times New Roman" w:cstheme="minorHAnsi"/>
          <w:caps/>
          <w:color w:val="343538"/>
          <w:sz w:val="24"/>
          <w:szCs w:val="17"/>
        </w:rPr>
        <w:t xml:space="preserve"> </w:t>
      </w:r>
      <w:r w:rsidR="00F734B7" w:rsidRPr="00F734B7">
        <w:rPr>
          <w:rFonts w:eastAsia="Times New Roman" w:cstheme="minorHAnsi"/>
          <w:caps/>
          <w:color w:val="343538"/>
          <w:sz w:val="24"/>
          <w:szCs w:val="17"/>
        </w:rPr>
        <w:t>+44 745 228 4216</w:t>
      </w:r>
      <w:r w:rsidR="00F734B7" w:rsidRPr="00F734B7">
        <w:rPr>
          <w:rFonts w:eastAsia="Times New Roman" w:cstheme="minorHAnsi"/>
          <w:caps/>
          <w:color w:val="343538"/>
          <w:sz w:val="24"/>
          <w:szCs w:val="17"/>
        </w:rPr>
        <w:br/>
      </w:r>
      <w:r w:rsidRPr="001863B3">
        <w:rPr>
          <w:rFonts w:eastAsia="Times New Roman" w:cstheme="minorHAnsi"/>
          <w:caps/>
          <w:color w:val="343538"/>
          <w:sz w:val="24"/>
          <w:szCs w:val="17"/>
        </w:rPr>
        <w:t xml:space="preserve">               </w:t>
      </w:r>
      <w:r>
        <w:rPr>
          <w:rFonts w:eastAsia="Times New Roman" w:cstheme="minorHAnsi"/>
          <w:caps/>
          <w:color w:val="343538"/>
          <w:sz w:val="24"/>
          <w:szCs w:val="17"/>
        </w:rPr>
        <w:t xml:space="preserve"> </w:t>
      </w:r>
      <w:r w:rsidR="00F734B7" w:rsidRPr="00F734B7">
        <w:rPr>
          <w:rFonts w:eastAsia="Times New Roman" w:cstheme="minorHAnsi"/>
          <w:caps/>
          <w:color w:val="343538"/>
          <w:sz w:val="24"/>
          <w:szCs w:val="17"/>
        </w:rPr>
        <w:t>+44 203 3185473</w:t>
      </w:r>
    </w:p>
    <w:p w:rsidR="00F734B7" w:rsidRPr="00F734B7" w:rsidRDefault="001863B3" w:rsidP="00F734B7">
      <w:pPr>
        <w:spacing w:line="300" w:lineRule="atLeast"/>
        <w:textAlignment w:val="center"/>
        <w:rPr>
          <w:rFonts w:eastAsia="Times New Roman" w:cstheme="minorHAnsi"/>
          <w:color w:val="343538"/>
          <w:sz w:val="24"/>
          <w:szCs w:val="17"/>
        </w:rPr>
      </w:pPr>
      <w:r w:rsidRPr="001863B3">
        <w:rPr>
          <w:rFonts w:eastAsia="Times New Roman" w:cstheme="minorHAnsi"/>
          <w:b/>
          <w:color w:val="CC6600"/>
          <w:sz w:val="24"/>
          <w:szCs w:val="17"/>
        </w:rPr>
        <w:t>E-MAIL:</w:t>
      </w:r>
      <w:r w:rsidRPr="001863B3">
        <w:rPr>
          <w:rFonts w:eastAsia="Times New Roman" w:cstheme="minorHAnsi"/>
          <w:color w:val="CC6600"/>
          <w:sz w:val="24"/>
          <w:szCs w:val="17"/>
        </w:rPr>
        <w:t xml:space="preserve"> </w:t>
      </w:r>
      <w:r w:rsidRPr="001863B3">
        <w:rPr>
          <w:rFonts w:eastAsia="Times New Roman" w:cstheme="minorHAnsi"/>
          <w:color w:val="343538"/>
          <w:sz w:val="24"/>
          <w:szCs w:val="17"/>
        </w:rPr>
        <w:t>info@tavp.co.uk</w:t>
      </w:r>
    </w:p>
    <w:p w:rsidR="00F734B7" w:rsidRPr="00F734B7" w:rsidRDefault="00F734B7" w:rsidP="00F734B7">
      <w:pPr>
        <w:pStyle w:val="ListParagraph"/>
        <w:rPr>
          <w:b/>
          <w:sz w:val="32"/>
        </w:rPr>
      </w:pPr>
    </w:p>
    <w:p w:rsidR="00E44B14" w:rsidRPr="00E44B14" w:rsidRDefault="00E44B14">
      <w:pPr>
        <w:rPr>
          <w:b/>
          <w:sz w:val="28"/>
        </w:rPr>
      </w:pPr>
    </w:p>
    <w:sectPr w:rsidR="00E44B14" w:rsidRPr="00E44B14" w:rsidSect="00F734B7">
      <w:headerReference w:type="default" r:id="rId10"/>
      <w:footerReference w:type="default" r:id="rId11"/>
      <w:pgSz w:w="11906" w:h="16838"/>
      <w:pgMar w:top="1440" w:right="1440" w:bottom="1440" w:left="1440" w:header="708" w:footer="708" w:gutter="0"/>
      <w:pgBorders w:offsetFrom="page">
        <w:left w:val="single" w:sz="12" w:space="24" w:color="0070C0"/>
        <w:right w:val="single" w:sz="12" w:space="24" w:color="0070C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1CDA" w:rsidRDefault="00391CDA" w:rsidP="001A283A">
      <w:pPr>
        <w:spacing w:after="0" w:line="240" w:lineRule="auto"/>
      </w:pPr>
      <w:r>
        <w:separator/>
      </w:r>
    </w:p>
  </w:endnote>
  <w:endnote w:type="continuationSeparator" w:id="0">
    <w:p w:rsidR="00391CDA" w:rsidRDefault="00391CDA" w:rsidP="001A2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CC6600"/>
      </w:rPr>
      <w:id w:val="721259040"/>
      <w:docPartObj>
        <w:docPartGallery w:val="Page Numbers (Bottom of Page)"/>
        <w:docPartUnique/>
      </w:docPartObj>
    </w:sdtPr>
    <w:sdtContent>
      <w:p w:rsidR="001A283A" w:rsidRPr="001A283A" w:rsidRDefault="001A283A">
        <w:pPr>
          <w:pStyle w:val="Footer"/>
          <w:jc w:val="right"/>
          <w:rPr>
            <w:color w:val="CC6600"/>
          </w:rPr>
        </w:pPr>
        <w:r w:rsidRPr="001A283A">
          <w:rPr>
            <w:color w:val="CC6600"/>
          </w:rPr>
          <w:t xml:space="preserve">Page | </w:t>
        </w:r>
        <w:r w:rsidRPr="001A283A">
          <w:rPr>
            <w:color w:val="CC6600"/>
          </w:rPr>
          <w:fldChar w:fldCharType="begin"/>
        </w:r>
        <w:r w:rsidRPr="001A283A">
          <w:rPr>
            <w:color w:val="CC6600"/>
          </w:rPr>
          <w:instrText xml:space="preserve"> PAGE   \* MERGEFORMAT </w:instrText>
        </w:r>
        <w:r w:rsidRPr="001A283A">
          <w:rPr>
            <w:color w:val="CC6600"/>
          </w:rPr>
          <w:fldChar w:fldCharType="separate"/>
        </w:r>
        <w:r w:rsidR="00FB1213">
          <w:rPr>
            <w:noProof/>
            <w:color w:val="CC6600"/>
          </w:rPr>
          <w:t>2</w:t>
        </w:r>
        <w:r w:rsidRPr="001A283A">
          <w:rPr>
            <w:noProof/>
            <w:color w:val="CC6600"/>
          </w:rPr>
          <w:fldChar w:fldCharType="end"/>
        </w:r>
        <w:r w:rsidRPr="001A283A">
          <w:rPr>
            <w:color w:val="CC6600"/>
          </w:rPr>
          <w:t xml:space="preserve"> </w:t>
        </w:r>
      </w:p>
    </w:sdtContent>
  </w:sdt>
  <w:p w:rsidR="001A283A" w:rsidRPr="001A283A" w:rsidRDefault="001A283A">
    <w:pPr>
      <w:pStyle w:val="Footer"/>
      <w:rPr>
        <w:color w:val="CC66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1CDA" w:rsidRDefault="00391CDA" w:rsidP="001A283A">
      <w:pPr>
        <w:spacing w:after="0" w:line="240" w:lineRule="auto"/>
      </w:pPr>
      <w:r>
        <w:separator/>
      </w:r>
    </w:p>
  </w:footnote>
  <w:footnote w:type="continuationSeparator" w:id="0">
    <w:p w:rsidR="00391CDA" w:rsidRDefault="00391CDA" w:rsidP="001A28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283A" w:rsidRDefault="001A283A" w:rsidP="001A283A">
    <w:pPr>
      <w:pStyle w:val="Header"/>
      <w:jc w:val="right"/>
    </w:pPr>
    <w:r>
      <w:t>A TKRS ENTERTAINMENT PRODUCTION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800CCC"/>
    <w:multiLevelType w:val="hybridMultilevel"/>
    <w:tmpl w:val="43C42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B91400A"/>
    <w:multiLevelType w:val="hybridMultilevel"/>
    <w:tmpl w:val="9B28CC48"/>
    <w:lvl w:ilvl="0" w:tplc="6FB4B896">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94C"/>
    <w:rsid w:val="001863B3"/>
    <w:rsid w:val="001A283A"/>
    <w:rsid w:val="00391CDA"/>
    <w:rsid w:val="0069103B"/>
    <w:rsid w:val="0070594C"/>
    <w:rsid w:val="00B07D9A"/>
    <w:rsid w:val="00B1486B"/>
    <w:rsid w:val="00E44B14"/>
    <w:rsid w:val="00F734B7"/>
    <w:rsid w:val="00FB1213"/>
    <w:rsid w:val="00FB276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28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12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4B14"/>
    <w:pPr>
      <w:spacing w:after="0" w:line="240" w:lineRule="auto"/>
    </w:pPr>
  </w:style>
  <w:style w:type="paragraph" w:styleId="ListParagraph">
    <w:name w:val="List Paragraph"/>
    <w:basedOn w:val="Normal"/>
    <w:uiPriority w:val="34"/>
    <w:qFormat/>
    <w:rsid w:val="0069103B"/>
    <w:pPr>
      <w:ind w:left="720"/>
      <w:contextualSpacing/>
    </w:pPr>
  </w:style>
  <w:style w:type="paragraph" w:styleId="BalloonText">
    <w:name w:val="Balloon Text"/>
    <w:basedOn w:val="Normal"/>
    <w:link w:val="BalloonTextChar"/>
    <w:uiPriority w:val="99"/>
    <w:semiHidden/>
    <w:unhideWhenUsed/>
    <w:rsid w:val="00F734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4B7"/>
    <w:rPr>
      <w:rFonts w:ascii="Tahoma" w:hAnsi="Tahoma" w:cs="Tahoma"/>
      <w:sz w:val="16"/>
      <w:szCs w:val="16"/>
    </w:rPr>
  </w:style>
  <w:style w:type="paragraph" w:styleId="NormalWeb">
    <w:name w:val="Normal (Web)"/>
    <w:basedOn w:val="Normal"/>
    <w:uiPriority w:val="99"/>
    <w:semiHidden/>
    <w:unhideWhenUsed/>
    <w:rsid w:val="00F734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A2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283A"/>
  </w:style>
  <w:style w:type="paragraph" w:styleId="Footer">
    <w:name w:val="footer"/>
    <w:basedOn w:val="Normal"/>
    <w:link w:val="FooterChar"/>
    <w:uiPriority w:val="99"/>
    <w:unhideWhenUsed/>
    <w:rsid w:val="001A2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283A"/>
  </w:style>
  <w:style w:type="character" w:customStyle="1" w:styleId="Heading1Char">
    <w:name w:val="Heading 1 Char"/>
    <w:basedOn w:val="DefaultParagraphFont"/>
    <w:link w:val="Heading1"/>
    <w:uiPriority w:val="9"/>
    <w:rsid w:val="001A28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B121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28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12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4B14"/>
    <w:pPr>
      <w:spacing w:after="0" w:line="240" w:lineRule="auto"/>
    </w:pPr>
  </w:style>
  <w:style w:type="paragraph" w:styleId="ListParagraph">
    <w:name w:val="List Paragraph"/>
    <w:basedOn w:val="Normal"/>
    <w:uiPriority w:val="34"/>
    <w:qFormat/>
    <w:rsid w:val="0069103B"/>
    <w:pPr>
      <w:ind w:left="720"/>
      <w:contextualSpacing/>
    </w:pPr>
  </w:style>
  <w:style w:type="paragraph" w:styleId="BalloonText">
    <w:name w:val="Balloon Text"/>
    <w:basedOn w:val="Normal"/>
    <w:link w:val="BalloonTextChar"/>
    <w:uiPriority w:val="99"/>
    <w:semiHidden/>
    <w:unhideWhenUsed/>
    <w:rsid w:val="00F734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4B7"/>
    <w:rPr>
      <w:rFonts w:ascii="Tahoma" w:hAnsi="Tahoma" w:cs="Tahoma"/>
      <w:sz w:val="16"/>
      <w:szCs w:val="16"/>
    </w:rPr>
  </w:style>
  <w:style w:type="paragraph" w:styleId="NormalWeb">
    <w:name w:val="Normal (Web)"/>
    <w:basedOn w:val="Normal"/>
    <w:uiPriority w:val="99"/>
    <w:semiHidden/>
    <w:unhideWhenUsed/>
    <w:rsid w:val="00F734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A2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283A"/>
  </w:style>
  <w:style w:type="paragraph" w:styleId="Footer">
    <w:name w:val="footer"/>
    <w:basedOn w:val="Normal"/>
    <w:link w:val="FooterChar"/>
    <w:uiPriority w:val="99"/>
    <w:unhideWhenUsed/>
    <w:rsid w:val="001A2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283A"/>
  </w:style>
  <w:style w:type="character" w:customStyle="1" w:styleId="Heading1Char">
    <w:name w:val="Heading 1 Char"/>
    <w:basedOn w:val="DefaultParagraphFont"/>
    <w:link w:val="Heading1"/>
    <w:uiPriority w:val="9"/>
    <w:rsid w:val="001A28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B121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410734">
      <w:bodyDiv w:val="1"/>
      <w:marLeft w:val="0"/>
      <w:marRight w:val="0"/>
      <w:marTop w:val="0"/>
      <w:marBottom w:val="0"/>
      <w:divBdr>
        <w:top w:val="none" w:sz="0" w:space="0" w:color="auto"/>
        <w:left w:val="none" w:sz="0" w:space="0" w:color="auto"/>
        <w:bottom w:val="none" w:sz="0" w:space="0" w:color="auto"/>
        <w:right w:val="none" w:sz="0" w:space="0" w:color="auto"/>
      </w:divBdr>
      <w:divsChild>
        <w:div w:id="1655137318">
          <w:marLeft w:val="0"/>
          <w:marRight w:val="0"/>
          <w:marTop w:val="0"/>
          <w:marBottom w:val="0"/>
          <w:divBdr>
            <w:top w:val="none" w:sz="0" w:space="0" w:color="auto"/>
            <w:left w:val="none" w:sz="0" w:space="0" w:color="auto"/>
            <w:bottom w:val="none" w:sz="0" w:space="0" w:color="auto"/>
            <w:right w:val="none" w:sz="0" w:space="0" w:color="auto"/>
          </w:divBdr>
          <w:divsChild>
            <w:div w:id="227157531">
              <w:marLeft w:val="0"/>
              <w:marRight w:val="0"/>
              <w:marTop w:val="0"/>
              <w:marBottom w:val="0"/>
              <w:divBdr>
                <w:top w:val="none" w:sz="0" w:space="0" w:color="auto"/>
                <w:left w:val="none" w:sz="0" w:space="0" w:color="auto"/>
                <w:bottom w:val="none" w:sz="0" w:space="0" w:color="auto"/>
                <w:right w:val="none" w:sz="0" w:space="0" w:color="auto"/>
              </w:divBdr>
              <w:divsChild>
                <w:div w:id="1749619623">
                  <w:marLeft w:val="0"/>
                  <w:marRight w:val="0"/>
                  <w:marTop w:val="0"/>
                  <w:marBottom w:val="0"/>
                  <w:divBdr>
                    <w:top w:val="none" w:sz="0" w:space="0" w:color="auto"/>
                    <w:left w:val="none" w:sz="0" w:space="0" w:color="auto"/>
                    <w:bottom w:val="none" w:sz="0" w:space="0" w:color="auto"/>
                    <w:right w:val="none" w:sz="0" w:space="0" w:color="auto"/>
                  </w:divBdr>
                  <w:divsChild>
                    <w:div w:id="1434016353">
                      <w:marLeft w:val="0"/>
                      <w:marRight w:val="0"/>
                      <w:marTop w:val="0"/>
                      <w:marBottom w:val="0"/>
                      <w:divBdr>
                        <w:top w:val="none" w:sz="0" w:space="0" w:color="auto"/>
                        <w:left w:val="none" w:sz="0" w:space="0" w:color="auto"/>
                        <w:bottom w:val="none" w:sz="0" w:space="0" w:color="auto"/>
                        <w:right w:val="none" w:sz="0" w:space="0" w:color="auto"/>
                      </w:divBdr>
                      <w:divsChild>
                        <w:div w:id="2054226920">
                          <w:marLeft w:val="0"/>
                          <w:marRight w:val="0"/>
                          <w:marTop w:val="0"/>
                          <w:marBottom w:val="0"/>
                          <w:divBdr>
                            <w:top w:val="none" w:sz="0" w:space="0" w:color="auto"/>
                            <w:left w:val="none" w:sz="0" w:space="0" w:color="auto"/>
                            <w:bottom w:val="none" w:sz="0" w:space="0" w:color="auto"/>
                            <w:right w:val="none" w:sz="0" w:space="0" w:color="auto"/>
                          </w:divBdr>
                          <w:divsChild>
                            <w:div w:id="83657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058454">
                  <w:marLeft w:val="0"/>
                  <w:marRight w:val="0"/>
                  <w:marTop w:val="0"/>
                  <w:marBottom w:val="0"/>
                  <w:divBdr>
                    <w:top w:val="none" w:sz="0" w:space="0" w:color="auto"/>
                    <w:left w:val="none" w:sz="0" w:space="0" w:color="auto"/>
                    <w:bottom w:val="none" w:sz="0" w:space="0" w:color="auto"/>
                    <w:right w:val="none" w:sz="0" w:space="0" w:color="auto"/>
                  </w:divBdr>
                  <w:divsChild>
                    <w:div w:id="18556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48588">
          <w:marLeft w:val="0"/>
          <w:marRight w:val="0"/>
          <w:marTop w:val="0"/>
          <w:marBottom w:val="0"/>
          <w:divBdr>
            <w:top w:val="none" w:sz="0" w:space="0" w:color="auto"/>
            <w:left w:val="none" w:sz="0" w:space="0" w:color="auto"/>
            <w:bottom w:val="none" w:sz="0" w:space="0" w:color="auto"/>
            <w:right w:val="none" w:sz="0" w:space="0" w:color="auto"/>
          </w:divBdr>
          <w:divsChild>
            <w:div w:id="1023901016">
              <w:marLeft w:val="0"/>
              <w:marRight w:val="0"/>
              <w:marTop w:val="0"/>
              <w:marBottom w:val="0"/>
              <w:divBdr>
                <w:top w:val="none" w:sz="0" w:space="0" w:color="auto"/>
                <w:left w:val="none" w:sz="0" w:space="0" w:color="auto"/>
                <w:bottom w:val="none" w:sz="0" w:space="0" w:color="auto"/>
                <w:right w:val="none" w:sz="0" w:space="0" w:color="auto"/>
              </w:divBdr>
              <w:divsChild>
                <w:div w:id="205262043">
                  <w:marLeft w:val="0"/>
                  <w:marRight w:val="0"/>
                  <w:marTop w:val="0"/>
                  <w:marBottom w:val="0"/>
                  <w:divBdr>
                    <w:top w:val="none" w:sz="0" w:space="0" w:color="auto"/>
                    <w:left w:val="none" w:sz="0" w:space="0" w:color="auto"/>
                    <w:bottom w:val="none" w:sz="0" w:space="0" w:color="auto"/>
                    <w:right w:val="none" w:sz="0" w:space="0" w:color="auto"/>
                  </w:divBdr>
                  <w:divsChild>
                    <w:div w:id="97467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726105">
          <w:marLeft w:val="0"/>
          <w:marRight w:val="0"/>
          <w:marTop w:val="0"/>
          <w:marBottom w:val="525"/>
          <w:divBdr>
            <w:top w:val="none" w:sz="0" w:space="0" w:color="auto"/>
            <w:left w:val="none" w:sz="0" w:space="0" w:color="auto"/>
            <w:bottom w:val="none" w:sz="0" w:space="0" w:color="auto"/>
            <w:right w:val="none" w:sz="0" w:space="0" w:color="auto"/>
          </w:divBdr>
          <w:divsChild>
            <w:div w:id="1593313907">
              <w:marLeft w:val="0"/>
              <w:marRight w:val="0"/>
              <w:marTop w:val="0"/>
              <w:marBottom w:val="0"/>
              <w:divBdr>
                <w:top w:val="none" w:sz="0" w:space="0" w:color="auto"/>
                <w:left w:val="none" w:sz="0" w:space="0" w:color="auto"/>
                <w:bottom w:val="none" w:sz="0" w:space="0" w:color="auto"/>
                <w:right w:val="none" w:sz="0" w:space="0" w:color="auto"/>
              </w:divBdr>
              <w:divsChild>
                <w:div w:id="1550142602">
                  <w:marLeft w:val="0"/>
                  <w:marRight w:val="0"/>
                  <w:marTop w:val="0"/>
                  <w:marBottom w:val="0"/>
                  <w:divBdr>
                    <w:top w:val="none" w:sz="0" w:space="0" w:color="auto"/>
                    <w:left w:val="none" w:sz="0" w:space="0" w:color="auto"/>
                    <w:bottom w:val="none" w:sz="0" w:space="0" w:color="auto"/>
                    <w:right w:val="none" w:sz="0" w:space="0" w:color="auto"/>
                  </w:divBdr>
                  <w:divsChild>
                    <w:div w:id="10501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672136">
      <w:bodyDiv w:val="1"/>
      <w:marLeft w:val="0"/>
      <w:marRight w:val="0"/>
      <w:marTop w:val="0"/>
      <w:marBottom w:val="0"/>
      <w:divBdr>
        <w:top w:val="none" w:sz="0" w:space="0" w:color="auto"/>
        <w:left w:val="none" w:sz="0" w:space="0" w:color="auto"/>
        <w:bottom w:val="none" w:sz="0" w:space="0" w:color="auto"/>
        <w:right w:val="none" w:sz="0" w:space="0" w:color="auto"/>
      </w:divBdr>
    </w:div>
    <w:div w:id="1750616090">
      <w:bodyDiv w:val="1"/>
      <w:marLeft w:val="0"/>
      <w:marRight w:val="0"/>
      <w:marTop w:val="0"/>
      <w:marBottom w:val="0"/>
      <w:divBdr>
        <w:top w:val="none" w:sz="0" w:space="0" w:color="auto"/>
        <w:left w:val="none" w:sz="0" w:space="0" w:color="auto"/>
        <w:bottom w:val="none" w:sz="0" w:space="0" w:color="auto"/>
        <w:right w:val="none" w:sz="0" w:space="0" w:color="auto"/>
      </w:divBdr>
    </w:div>
    <w:div w:id="1764258527">
      <w:bodyDiv w:val="1"/>
      <w:marLeft w:val="0"/>
      <w:marRight w:val="0"/>
      <w:marTop w:val="0"/>
      <w:marBottom w:val="0"/>
      <w:divBdr>
        <w:top w:val="none" w:sz="0" w:space="0" w:color="auto"/>
        <w:left w:val="none" w:sz="0" w:space="0" w:color="auto"/>
        <w:bottom w:val="none" w:sz="0" w:space="0" w:color="auto"/>
        <w:right w:val="none" w:sz="0" w:space="0" w:color="auto"/>
      </w:divBdr>
    </w:div>
    <w:div w:id="176731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45098D-DC43-42DF-B905-F5331F7C0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7</Pages>
  <Words>1379</Words>
  <Characters>7865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Menezes</dc:creator>
  <cp:keywords/>
  <dc:description/>
  <cp:lastModifiedBy>Gabrielle Menezes</cp:lastModifiedBy>
  <cp:revision>3</cp:revision>
  <dcterms:created xsi:type="dcterms:W3CDTF">2018-09-10T13:31:00Z</dcterms:created>
  <dcterms:modified xsi:type="dcterms:W3CDTF">2018-09-10T14:37:00Z</dcterms:modified>
</cp:coreProperties>
</file>