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 xml:space="preserve">Anne Floor </w:t>
        </w:r>
        <w:proofErr w:type="spellStart"/>
        <w:r w:rsidR="008724A8" w:rsidRPr="00CA7AFE">
          <w:rPr>
            <w:rStyle w:val="Hyperlink"/>
            <w:rFonts w:ascii="Helvetica" w:hAnsi="Helvetica" w:cstheme="majorHAnsi"/>
            <w:lang w:val="en-US"/>
          </w:rPr>
          <w:t>Holtrop</w:t>
        </w:r>
        <w:proofErr w:type="spellEnd"/>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69867BB3"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w:t>
      </w:r>
      <w:r w:rsidR="00110E84">
        <w:rPr>
          <w:rFonts w:ascii="Helvetica" w:hAnsi="Helvetica" w:cstheme="majorHAnsi"/>
          <w:lang w:val="en-US"/>
        </w:rPr>
        <w:t>0.1</w:t>
      </w:r>
    </w:p>
    <w:p w14:paraId="743D45CB" w14:textId="795F8B53"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w:t>
      </w:r>
      <w:r w:rsidR="00110E84">
        <w:rPr>
          <w:rFonts w:ascii="Helvetica" w:hAnsi="Helvetica" w:cstheme="majorHAnsi"/>
          <w:lang w:val="en-US"/>
        </w:rPr>
        <w:t>0.1</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115A84BC" w14:textId="77777777" w:rsidR="001671CB" w:rsidRDefault="001671CB" w:rsidP="009C1EE7">
      <w:pPr>
        <w:pStyle w:val="NoSpacing"/>
        <w:jc w:val="both"/>
        <w:rPr>
          <w:rFonts w:ascii="Helvetica" w:hAnsi="Helvetica" w:cstheme="majorHAnsi"/>
          <w:lang w:val="en-US"/>
        </w:rPr>
      </w:pPr>
    </w:p>
    <w:p w14:paraId="7B273324" w14:textId="77777777" w:rsidR="001671CB" w:rsidRDefault="001671CB" w:rsidP="009C1EE7">
      <w:pPr>
        <w:pStyle w:val="NoSpacing"/>
        <w:jc w:val="both"/>
        <w:rPr>
          <w:rFonts w:ascii="Helvetica" w:hAnsi="Helvetica" w:cstheme="majorHAnsi"/>
          <w:lang w:val="en-US"/>
        </w:rPr>
      </w:pPr>
    </w:p>
    <w:p w14:paraId="6563B575" w14:textId="77777777" w:rsidR="001671CB" w:rsidRDefault="001671CB" w:rsidP="009C1EE7">
      <w:pPr>
        <w:pStyle w:val="NoSpacing"/>
        <w:jc w:val="both"/>
        <w:rPr>
          <w:rFonts w:ascii="Helvetica" w:hAnsi="Helvetica" w:cstheme="majorHAnsi"/>
          <w:lang w:val="en-US"/>
        </w:rPr>
      </w:pPr>
    </w:p>
    <w:p w14:paraId="3D99361C" w14:textId="77777777" w:rsidR="001671CB" w:rsidRDefault="001671CB"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57AA07A5" w14:textId="2F2E81D4" w:rsidR="00756934" w:rsidRDefault="009C1EE7" w:rsidP="004B24F9">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3969544D" w14:textId="77777777" w:rsidR="004B24F9" w:rsidRPr="004B24F9" w:rsidRDefault="004B24F9" w:rsidP="004B24F9">
          <w:pPr>
            <w:rPr>
              <w:lang w:val="en-US"/>
            </w:rPr>
          </w:pPr>
        </w:p>
        <w:p w14:paraId="52F6CAB7" w14:textId="18D3DC93" w:rsidR="00265F05" w:rsidRPr="00CA7AFE" w:rsidRDefault="009C1EE7" w:rsidP="00265F05">
          <w:pPr>
            <w:pStyle w:val="TOC1"/>
            <w:rPr>
              <w:rFonts w:eastAsiaTheme="minorEastAsia" w:cstheme="minorBidi"/>
              <w:lang w:val="nl-NL" w:eastAsia="nl-NL"/>
            </w:rPr>
          </w:pPr>
          <w:r w:rsidRPr="00CA7AFE">
            <w:fldChar w:fldCharType="begin"/>
          </w:r>
          <w:r w:rsidRPr="00CA7AFE">
            <w:instrText xml:space="preserve"> TOC \o "1-3" \h \z \u </w:instrText>
          </w:r>
          <w:r w:rsidRPr="00CA7AFE">
            <w:fldChar w:fldCharType="separate"/>
          </w:r>
          <w:hyperlink w:anchor="_Toc157523390" w:history="1">
            <w:r w:rsidR="00265F05" w:rsidRPr="00CA7AFE">
              <w:rPr>
                <w:rStyle w:val="Hyperlink"/>
              </w:rPr>
              <w:t>1. Introduction.</w:t>
            </w:r>
            <w:r w:rsidR="00265F05" w:rsidRPr="00CA7AFE">
              <w:rPr>
                <w:webHidden/>
              </w:rPr>
              <w:tab/>
            </w:r>
            <w:r w:rsidR="00265F05" w:rsidRPr="00CA7AFE">
              <w:rPr>
                <w:webHidden/>
              </w:rPr>
              <w:fldChar w:fldCharType="begin"/>
            </w:r>
            <w:r w:rsidR="00265F05" w:rsidRPr="00CA7AFE">
              <w:rPr>
                <w:webHidden/>
              </w:rPr>
              <w:instrText xml:space="preserve"> PAGEREF _Toc157523390 \h </w:instrText>
            </w:r>
            <w:r w:rsidR="00265F05" w:rsidRPr="00CA7AFE">
              <w:rPr>
                <w:webHidden/>
              </w:rPr>
            </w:r>
            <w:r w:rsidR="00265F05" w:rsidRPr="00CA7AFE">
              <w:rPr>
                <w:webHidden/>
              </w:rPr>
              <w:fldChar w:fldCharType="separate"/>
            </w:r>
            <w:r w:rsidR="00265F05" w:rsidRPr="00CA7AFE">
              <w:rPr>
                <w:webHidden/>
              </w:rPr>
              <w:t>2</w:t>
            </w:r>
            <w:r w:rsidR="00265F05" w:rsidRPr="00CA7AFE">
              <w:rPr>
                <w:webHidden/>
              </w:rPr>
              <w:fldChar w:fldCharType="end"/>
            </w:r>
          </w:hyperlink>
        </w:p>
        <w:p w14:paraId="60CBC0D2" w14:textId="35B2AB8E" w:rsidR="00265F05" w:rsidRPr="00CA7AFE" w:rsidRDefault="00000000" w:rsidP="00265F05">
          <w:pPr>
            <w:pStyle w:val="TOC1"/>
            <w:rPr>
              <w:rFonts w:eastAsiaTheme="minorEastAsia" w:cstheme="minorBidi"/>
              <w:lang w:val="nl-NL" w:eastAsia="nl-NL"/>
            </w:rPr>
          </w:pPr>
          <w:hyperlink w:anchor="_Toc157523391" w:history="1">
            <w:r w:rsidR="00265F05" w:rsidRPr="00CA7AFE">
              <w:rPr>
                <w:rStyle w:val="Hyperlink"/>
              </w:rPr>
              <w:t>2. Preparation of the data and working environment.</w:t>
            </w:r>
            <w:r w:rsidR="00265F05" w:rsidRPr="00CA7AFE">
              <w:rPr>
                <w:webHidden/>
              </w:rPr>
              <w:tab/>
            </w:r>
            <w:r w:rsidR="00265F05" w:rsidRPr="00CA7AFE">
              <w:rPr>
                <w:webHidden/>
              </w:rPr>
              <w:fldChar w:fldCharType="begin"/>
            </w:r>
            <w:r w:rsidR="00265F05" w:rsidRPr="00CA7AFE">
              <w:rPr>
                <w:webHidden/>
              </w:rPr>
              <w:instrText xml:space="preserve"> PAGEREF _Toc157523391 \h </w:instrText>
            </w:r>
            <w:r w:rsidR="00265F05" w:rsidRPr="00CA7AFE">
              <w:rPr>
                <w:webHidden/>
              </w:rPr>
            </w:r>
            <w:r w:rsidR="00265F05" w:rsidRPr="00CA7AFE">
              <w:rPr>
                <w:webHidden/>
              </w:rPr>
              <w:fldChar w:fldCharType="separate"/>
            </w:r>
            <w:r w:rsidR="00265F05" w:rsidRPr="00CA7AFE">
              <w:rPr>
                <w:webHidden/>
              </w:rPr>
              <w:t>4</w:t>
            </w:r>
            <w:r w:rsidR="00265F05" w:rsidRPr="00CA7AFE">
              <w:rPr>
                <w:webHidden/>
              </w:rPr>
              <w:fldChar w:fldCharType="end"/>
            </w:r>
          </w:hyperlink>
        </w:p>
        <w:p w14:paraId="03B1192D" w14:textId="17764BF9" w:rsidR="00265F05" w:rsidRPr="00CA7AFE" w:rsidRDefault="00000000">
          <w:pPr>
            <w:pStyle w:val="TOC2"/>
            <w:rPr>
              <w:rFonts w:ascii="Helvetica" w:eastAsiaTheme="minorEastAsia" w:hAnsi="Helvetica" w:cstheme="minorBidi"/>
              <w:lang w:val="nl-NL" w:eastAsia="nl-NL"/>
            </w:rPr>
          </w:pPr>
          <w:hyperlink w:anchor="_Toc157523392" w:history="1">
            <w:r w:rsidR="00265F05" w:rsidRPr="00CA7AFE">
              <w:rPr>
                <w:rStyle w:val="Hyperlink"/>
                <w:rFonts w:ascii="Helvetica" w:hAnsi="Helvetica"/>
              </w:rPr>
              <w:t>2.1 Prepare the data in FlowJo</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4</w:t>
            </w:r>
            <w:r w:rsidR="00265F05" w:rsidRPr="00CA7AFE">
              <w:rPr>
                <w:rFonts w:ascii="Helvetica" w:hAnsi="Helvetica"/>
                <w:webHidden/>
              </w:rPr>
              <w:fldChar w:fldCharType="end"/>
            </w:r>
          </w:hyperlink>
        </w:p>
        <w:p w14:paraId="3C1F8181" w14:textId="5C91FAED" w:rsidR="00265F05" w:rsidRPr="00CA7AFE" w:rsidRDefault="00000000">
          <w:pPr>
            <w:pStyle w:val="TOC2"/>
            <w:rPr>
              <w:rFonts w:ascii="Helvetica" w:eastAsiaTheme="minorEastAsia" w:hAnsi="Helvetica" w:cstheme="minorBidi"/>
              <w:lang w:val="nl-NL" w:eastAsia="nl-NL"/>
            </w:rPr>
          </w:pPr>
          <w:hyperlink w:anchor="_Toc157523393" w:history="1">
            <w:r w:rsidR="00265F05" w:rsidRPr="00CA7AFE">
              <w:rPr>
                <w:rStyle w:val="Hyperlink"/>
                <w:rFonts w:ascii="Helvetica" w:hAnsi="Helvetica"/>
              </w:rPr>
              <w:t>2.2 Starting up the R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1FB80782" w14:textId="2D481397" w:rsidR="00265F05" w:rsidRPr="00CA7AFE" w:rsidRDefault="00000000">
          <w:pPr>
            <w:pStyle w:val="TOC2"/>
            <w:rPr>
              <w:rFonts w:ascii="Helvetica" w:eastAsiaTheme="minorEastAsia" w:hAnsi="Helvetica" w:cstheme="minorBidi"/>
              <w:lang w:val="nl-NL" w:eastAsia="nl-NL"/>
            </w:rPr>
          </w:pPr>
          <w:hyperlink w:anchor="_Toc157523394" w:history="1">
            <w:r w:rsidR="00265F05" w:rsidRPr="00CA7AFE">
              <w:rPr>
                <w:rStyle w:val="Hyperlink"/>
                <w:rFonts w:ascii="Helvetica" w:hAnsi="Helvetica"/>
              </w:rPr>
              <w:t>2.3 Manually create a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7204D14D" w14:textId="12C1BBA3" w:rsidR="00265F05" w:rsidRPr="00CA7AFE" w:rsidRDefault="00000000" w:rsidP="00265F05">
          <w:pPr>
            <w:pStyle w:val="TOC1"/>
            <w:rPr>
              <w:rFonts w:eastAsiaTheme="minorEastAsia" w:cstheme="minorBidi"/>
              <w:lang w:val="nl-NL" w:eastAsia="nl-NL"/>
            </w:rPr>
          </w:pPr>
          <w:hyperlink w:anchor="_Toc157523395" w:history="1">
            <w:r w:rsidR="00265F05" w:rsidRPr="00CA7AFE">
              <w:rPr>
                <w:rStyle w:val="Hyperlink"/>
              </w:rPr>
              <w:t>3. Analysis.</w:t>
            </w:r>
            <w:r w:rsidR="00265F05" w:rsidRPr="00CA7AFE">
              <w:rPr>
                <w:webHidden/>
              </w:rPr>
              <w:tab/>
            </w:r>
            <w:r w:rsidR="00265F05" w:rsidRPr="00CA7AFE">
              <w:rPr>
                <w:webHidden/>
              </w:rPr>
              <w:fldChar w:fldCharType="begin"/>
            </w:r>
            <w:r w:rsidR="00265F05" w:rsidRPr="00CA7AFE">
              <w:rPr>
                <w:webHidden/>
              </w:rPr>
              <w:instrText xml:space="preserve"> PAGEREF _Toc157523395 \h </w:instrText>
            </w:r>
            <w:r w:rsidR="00265F05" w:rsidRPr="00CA7AFE">
              <w:rPr>
                <w:webHidden/>
              </w:rPr>
            </w:r>
            <w:r w:rsidR="00265F05" w:rsidRPr="00CA7AFE">
              <w:rPr>
                <w:webHidden/>
              </w:rPr>
              <w:fldChar w:fldCharType="separate"/>
            </w:r>
            <w:r w:rsidR="00265F05" w:rsidRPr="00CA7AFE">
              <w:rPr>
                <w:webHidden/>
              </w:rPr>
              <w:t>6</w:t>
            </w:r>
            <w:r w:rsidR="00265F05" w:rsidRPr="00CA7AFE">
              <w:rPr>
                <w:webHidden/>
              </w:rPr>
              <w:fldChar w:fldCharType="end"/>
            </w:r>
          </w:hyperlink>
        </w:p>
        <w:p w14:paraId="3DDE7753" w14:textId="742D7B9B" w:rsidR="00265F05" w:rsidRPr="00CA7AFE" w:rsidRDefault="00000000">
          <w:pPr>
            <w:pStyle w:val="TOC2"/>
            <w:rPr>
              <w:rFonts w:ascii="Helvetica" w:eastAsiaTheme="minorEastAsia" w:hAnsi="Helvetica" w:cstheme="minorBidi"/>
              <w:lang w:val="nl-NL" w:eastAsia="nl-NL"/>
            </w:rPr>
          </w:pPr>
          <w:hyperlink w:anchor="_Toc157523396" w:history="1">
            <w:r w:rsidR="00265F05" w:rsidRPr="00CA7AFE">
              <w:rPr>
                <w:rStyle w:val="Hyperlink"/>
                <w:rFonts w:ascii="Helvetica" w:hAnsi="Helvetica"/>
              </w:rPr>
              <w:t>3.1 Data Preprocessing.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1A948AD7" w14:textId="7C9976F8" w:rsidR="00265F05" w:rsidRPr="00CA7AFE" w:rsidRDefault="00000000">
          <w:pPr>
            <w:pStyle w:val="TOC3"/>
            <w:rPr>
              <w:rFonts w:ascii="Helvetica" w:eastAsiaTheme="minorEastAsia" w:hAnsi="Helvetica" w:cstheme="minorBidi"/>
              <w:i w:val="0"/>
              <w:iCs w:val="0"/>
              <w:lang w:val="nl-NL" w:eastAsia="nl-NL"/>
            </w:rPr>
          </w:pPr>
          <w:hyperlink w:anchor="_Toc157523397"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4F9F0BDB" w14:textId="7161E040" w:rsidR="00265F05" w:rsidRPr="00CA7AFE" w:rsidRDefault="00000000">
          <w:pPr>
            <w:pStyle w:val="TOC3"/>
            <w:rPr>
              <w:rFonts w:ascii="Helvetica" w:eastAsiaTheme="minorEastAsia" w:hAnsi="Helvetica" w:cstheme="minorBidi"/>
              <w:i w:val="0"/>
              <w:iCs w:val="0"/>
              <w:lang w:val="nl-NL" w:eastAsia="nl-NL"/>
            </w:rPr>
          </w:pPr>
          <w:hyperlink w:anchor="_Toc157523398"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7</w:t>
            </w:r>
            <w:r w:rsidR="00265F05" w:rsidRPr="00CA7AFE">
              <w:rPr>
                <w:rFonts w:ascii="Helvetica" w:hAnsi="Helvetica"/>
                <w:webHidden/>
              </w:rPr>
              <w:fldChar w:fldCharType="end"/>
            </w:r>
          </w:hyperlink>
        </w:p>
        <w:p w14:paraId="2396C1C7" w14:textId="75F030FF" w:rsidR="00265F05" w:rsidRPr="00CA7AFE" w:rsidRDefault="00000000">
          <w:pPr>
            <w:pStyle w:val="TOC3"/>
            <w:rPr>
              <w:rFonts w:ascii="Helvetica" w:eastAsiaTheme="minorEastAsia" w:hAnsi="Helvetica" w:cstheme="minorBidi"/>
              <w:i w:val="0"/>
              <w:iCs w:val="0"/>
              <w:lang w:val="nl-NL" w:eastAsia="nl-NL"/>
            </w:rPr>
          </w:pPr>
          <w:hyperlink w:anchor="_Toc157523399" w:history="1">
            <w:r w:rsidR="00265F05" w:rsidRPr="00CA7AFE">
              <w:rPr>
                <w:rStyle w:val="Hyperlink"/>
                <w:rFonts w:ascii="Helvetica" w:hAnsi="Helvetica"/>
              </w:rPr>
              <w:t>Chunk 3: cleaning and transformation of the data.</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8</w:t>
            </w:r>
            <w:r w:rsidR="00265F05" w:rsidRPr="00CA7AFE">
              <w:rPr>
                <w:rFonts w:ascii="Helvetica" w:hAnsi="Helvetica"/>
                <w:webHidden/>
              </w:rPr>
              <w:fldChar w:fldCharType="end"/>
            </w:r>
          </w:hyperlink>
        </w:p>
        <w:p w14:paraId="6994B460" w14:textId="5E49D075" w:rsidR="00265F05" w:rsidRPr="00CA7AFE" w:rsidRDefault="00000000">
          <w:pPr>
            <w:pStyle w:val="TOC3"/>
            <w:rPr>
              <w:rFonts w:ascii="Helvetica" w:eastAsiaTheme="minorEastAsia" w:hAnsi="Helvetica" w:cstheme="minorBidi"/>
              <w:i w:val="0"/>
              <w:iCs w:val="0"/>
              <w:lang w:val="nl-NL" w:eastAsia="nl-NL"/>
            </w:rPr>
          </w:pPr>
          <w:hyperlink w:anchor="_Toc157523400" w:history="1">
            <w:r w:rsidR="00265F05" w:rsidRPr="00CA7AFE">
              <w:rPr>
                <w:rStyle w:val="Hyperlink"/>
                <w:rFonts w:ascii="Helvetica" w:hAnsi="Helvetica"/>
              </w:rPr>
              <w:t>Chunk 4: validation panel file and matching internal and external fcs file names.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10</w:t>
            </w:r>
            <w:r w:rsidR="00265F05" w:rsidRPr="00CA7AFE">
              <w:rPr>
                <w:rFonts w:ascii="Helvetica" w:hAnsi="Helvetica"/>
                <w:webHidden/>
              </w:rPr>
              <w:fldChar w:fldCharType="end"/>
            </w:r>
          </w:hyperlink>
        </w:p>
        <w:p w14:paraId="08D8B2DA" w14:textId="61B10878" w:rsidR="00265F05" w:rsidRPr="00CA7AFE" w:rsidRDefault="00000000">
          <w:pPr>
            <w:pStyle w:val="TOC3"/>
            <w:rPr>
              <w:rFonts w:ascii="Helvetica" w:eastAsiaTheme="minorEastAsia" w:hAnsi="Helvetica" w:cstheme="minorBidi"/>
              <w:i w:val="0"/>
              <w:iCs w:val="0"/>
              <w:lang w:val="nl-NL" w:eastAsia="nl-NL"/>
            </w:rPr>
          </w:pPr>
          <w:hyperlink w:anchor="_Toc157523401" w:history="1">
            <w:r w:rsidR="00265F05" w:rsidRPr="00CA7AFE">
              <w:rPr>
                <w:rStyle w:val="Hyperlink"/>
                <w:rFonts w:ascii="Helvetica" w:hAnsi="Helvetica"/>
              </w:rPr>
              <w:t>Chunk 5: validation metadata and generating diagnostics.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11</w:t>
            </w:r>
            <w:r w:rsidR="00265F05" w:rsidRPr="00CA7AFE">
              <w:rPr>
                <w:rFonts w:ascii="Helvetica" w:hAnsi="Helvetica"/>
                <w:webHidden/>
              </w:rPr>
              <w:fldChar w:fldCharType="end"/>
            </w:r>
          </w:hyperlink>
        </w:p>
        <w:p w14:paraId="7C51FEDA" w14:textId="35C2B76A" w:rsidR="00265F05" w:rsidRPr="00CA7AFE" w:rsidRDefault="00000000">
          <w:pPr>
            <w:pStyle w:val="TOC3"/>
            <w:rPr>
              <w:rFonts w:ascii="Helvetica" w:eastAsiaTheme="minorEastAsia" w:hAnsi="Helvetica" w:cstheme="minorBidi"/>
              <w:i w:val="0"/>
              <w:iCs w:val="0"/>
              <w:lang w:val="nl-NL" w:eastAsia="nl-NL"/>
            </w:rPr>
          </w:pPr>
          <w:hyperlink w:anchor="_Toc157523402" w:history="1">
            <w:r w:rsidR="00265F05" w:rsidRPr="00CA7AFE">
              <w:rPr>
                <w:rStyle w:val="Hyperlink"/>
                <w:rFonts w:ascii="Helvetica" w:hAnsi="Helvetica"/>
              </w:rPr>
              <w:t>Chunk 6: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12</w:t>
            </w:r>
            <w:r w:rsidR="00265F05" w:rsidRPr="00CA7AFE">
              <w:rPr>
                <w:rFonts w:ascii="Helvetica" w:hAnsi="Helvetica"/>
                <w:webHidden/>
              </w:rPr>
              <w:fldChar w:fldCharType="end"/>
            </w:r>
          </w:hyperlink>
        </w:p>
        <w:p w14:paraId="70AAF118" w14:textId="2A309C42" w:rsidR="00265F05" w:rsidRPr="00CA7AFE" w:rsidRDefault="00000000">
          <w:pPr>
            <w:pStyle w:val="TOC3"/>
            <w:rPr>
              <w:rFonts w:ascii="Helvetica" w:eastAsiaTheme="minorEastAsia" w:hAnsi="Helvetica" w:cstheme="minorBidi"/>
              <w:i w:val="0"/>
              <w:iCs w:val="0"/>
              <w:lang w:val="nl-NL" w:eastAsia="nl-NL"/>
            </w:rPr>
          </w:pPr>
          <w:hyperlink w:anchor="_Toc157523403" w:history="1">
            <w:r w:rsidR="00265F05" w:rsidRPr="00CA7AFE">
              <w:rPr>
                <w:rStyle w:val="Hyperlink"/>
                <w:rFonts w:ascii="Helvetica" w:hAnsi="Helvetica"/>
              </w:rPr>
              <w:t>Chunk 7: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8F02851" w14:textId="3563761D" w:rsidR="00265F05" w:rsidRPr="00CA7AFE" w:rsidRDefault="00000000">
          <w:pPr>
            <w:pStyle w:val="TOC3"/>
            <w:rPr>
              <w:rFonts w:ascii="Helvetica" w:eastAsiaTheme="minorEastAsia" w:hAnsi="Helvetica" w:cstheme="minorBidi"/>
              <w:i w:val="0"/>
              <w:iCs w:val="0"/>
              <w:lang w:val="nl-NL" w:eastAsia="nl-NL"/>
            </w:rPr>
          </w:pPr>
          <w:hyperlink w:anchor="_Toc157523404" w:history="1">
            <w:r w:rsidR="00265F05" w:rsidRPr="00CA7AFE">
              <w:rPr>
                <w:rStyle w:val="Hyperlink"/>
                <w:rFonts w:ascii="Helvetica" w:hAnsi="Helvetica"/>
              </w:rPr>
              <w:t>Chunk 8: check CSV values for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0479C57" w14:textId="378C9AE3" w:rsidR="00265F05" w:rsidRPr="00CA7AFE" w:rsidRDefault="00000000">
          <w:pPr>
            <w:pStyle w:val="TOC3"/>
            <w:rPr>
              <w:rFonts w:ascii="Helvetica" w:eastAsiaTheme="minorEastAsia" w:hAnsi="Helvetica" w:cstheme="minorBidi"/>
              <w:i w:val="0"/>
              <w:iCs w:val="0"/>
              <w:lang w:val="nl-NL" w:eastAsia="nl-NL"/>
            </w:rPr>
          </w:pPr>
          <w:hyperlink w:anchor="_Toc157523405" w:history="1">
            <w:r w:rsidR="00265F05" w:rsidRPr="00CA7AFE">
              <w:rPr>
                <w:rStyle w:val="Hyperlink"/>
                <w:rFonts w:ascii="Helvetica" w:hAnsi="Helvetica"/>
              </w:rPr>
              <w:t>Chunk 9: run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3645AB8B" w14:textId="4124443F" w:rsidR="00265F05" w:rsidRPr="00CA7AFE" w:rsidRDefault="00000000">
          <w:pPr>
            <w:pStyle w:val="TOC3"/>
            <w:rPr>
              <w:rFonts w:ascii="Helvetica" w:eastAsiaTheme="minorEastAsia" w:hAnsi="Helvetica" w:cstheme="minorBidi"/>
              <w:i w:val="0"/>
              <w:iCs w:val="0"/>
              <w:lang w:val="nl-NL" w:eastAsia="nl-NL"/>
            </w:rPr>
          </w:pPr>
          <w:hyperlink w:anchor="_Toc157523406" w:history="1">
            <w:r w:rsidR="00265F05" w:rsidRPr="00CA7AFE">
              <w:rPr>
                <w:rStyle w:val="Hyperlink"/>
                <w:rFonts w:ascii="Helvetica" w:hAnsi="Helvetica"/>
              </w:rPr>
              <w:t>Chunk 10: run the cross entropy test after normalizing.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29D2C997" w14:textId="46B226C5" w:rsidR="00265F05" w:rsidRPr="00CA7AFE" w:rsidRDefault="00000000">
          <w:pPr>
            <w:pStyle w:val="TOC2"/>
            <w:rPr>
              <w:rFonts w:ascii="Helvetica" w:eastAsiaTheme="minorEastAsia" w:hAnsi="Helvetica" w:cstheme="minorBidi"/>
              <w:lang w:val="nl-NL" w:eastAsia="nl-NL"/>
            </w:rPr>
          </w:pPr>
          <w:hyperlink w:anchor="_Toc157523407" w:history="1">
            <w:r w:rsidR="00265F05" w:rsidRPr="00CA7AFE">
              <w:rPr>
                <w:rStyle w:val="Hyperlink"/>
                <w:rFonts w:ascii="Helvetica" w:hAnsi="Helvetica"/>
              </w:rPr>
              <w:t>3.2 Clustering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168C7462" w14:textId="68817929" w:rsidR="00265F05" w:rsidRPr="00CA7AFE" w:rsidRDefault="00000000">
          <w:pPr>
            <w:pStyle w:val="TOC3"/>
            <w:rPr>
              <w:rFonts w:ascii="Helvetica" w:eastAsiaTheme="minorEastAsia" w:hAnsi="Helvetica" w:cstheme="minorBidi"/>
              <w:i w:val="0"/>
              <w:iCs w:val="0"/>
              <w:lang w:val="nl-NL" w:eastAsia="nl-NL"/>
            </w:rPr>
          </w:pPr>
          <w:hyperlink w:anchor="_Toc157523408"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255994DE" w14:textId="49B84691" w:rsidR="00265F05" w:rsidRPr="00CA7AFE" w:rsidRDefault="00000000">
          <w:pPr>
            <w:pStyle w:val="TOC3"/>
            <w:rPr>
              <w:rFonts w:ascii="Helvetica" w:eastAsiaTheme="minorEastAsia" w:hAnsi="Helvetica" w:cstheme="minorBidi"/>
              <w:i w:val="0"/>
              <w:iCs w:val="0"/>
              <w:lang w:val="nl-NL" w:eastAsia="nl-NL"/>
            </w:rPr>
          </w:pPr>
          <w:hyperlink w:anchor="_Toc157523409"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16</w:t>
            </w:r>
            <w:r w:rsidR="00265F05" w:rsidRPr="00CA7AFE">
              <w:rPr>
                <w:rFonts w:ascii="Helvetica" w:hAnsi="Helvetica"/>
                <w:webHidden/>
              </w:rPr>
              <w:fldChar w:fldCharType="end"/>
            </w:r>
          </w:hyperlink>
        </w:p>
        <w:p w14:paraId="78B0C423" w14:textId="43263AB7" w:rsidR="00265F05" w:rsidRPr="00CA7AFE" w:rsidRDefault="00000000">
          <w:pPr>
            <w:pStyle w:val="TOC3"/>
            <w:rPr>
              <w:rFonts w:ascii="Helvetica" w:eastAsiaTheme="minorEastAsia" w:hAnsi="Helvetica" w:cstheme="minorBidi"/>
              <w:i w:val="0"/>
              <w:iCs w:val="0"/>
              <w:lang w:val="nl-NL" w:eastAsia="nl-NL"/>
            </w:rPr>
          </w:pPr>
          <w:hyperlink w:anchor="_Toc157523410" w:history="1">
            <w:r w:rsidR="00265F05" w:rsidRPr="00CA7AFE">
              <w:rPr>
                <w:rStyle w:val="Hyperlink"/>
                <w:rFonts w:ascii="Helvetica" w:hAnsi="Helvetica"/>
              </w:rPr>
              <w:t>Chunk 3: downsampling, clustering and dimension reduction</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30617B76" w14:textId="2024B86D" w:rsidR="00265F05" w:rsidRPr="00CA7AFE" w:rsidRDefault="00000000">
          <w:pPr>
            <w:pStyle w:val="TOC3"/>
            <w:rPr>
              <w:rFonts w:ascii="Helvetica" w:eastAsiaTheme="minorEastAsia" w:hAnsi="Helvetica" w:cstheme="minorBidi"/>
              <w:i w:val="0"/>
              <w:iCs w:val="0"/>
              <w:lang w:val="nl-NL" w:eastAsia="nl-NL"/>
            </w:rPr>
          </w:pPr>
          <w:hyperlink w:anchor="_Toc157523411" w:history="1">
            <w:r w:rsidR="00265F05" w:rsidRPr="00CA7AFE">
              <w:rPr>
                <w:rStyle w:val="Hyperlink"/>
                <w:rFonts w:ascii="Helvetica" w:hAnsi="Helvetica"/>
              </w:rPr>
              <w:t>Chunk 4: determination requirement of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26CA2460" w14:textId="19A32427" w:rsidR="00265F05" w:rsidRPr="00CA7AFE" w:rsidRDefault="00000000">
          <w:pPr>
            <w:pStyle w:val="TOC3"/>
            <w:rPr>
              <w:rFonts w:ascii="Helvetica" w:eastAsiaTheme="minorEastAsia" w:hAnsi="Helvetica" w:cstheme="minorBidi"/>
              <w:i w:val="0"/>
              <w:iCs w:val="0"/>
              <w:lang w:val="nl-NL" w:eastAsia="nl-NL"/>
            </w:rPr>
          </w:pPr>
          <w:hyperlink w:anchor="_Toc157523412" w:history="1">
            <w:r w:rsidR="00265F05" w:rsidRPr="00CA7AFE">
              <w:rPr>
                <w:rStyle w:val="Hyperlink"/>
                <w:rFonts w:ascii="Helvetica" w:hAnsi="Helvetica"/>
              </w:rPr>
              <w:t>Chunk 5: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18</w:t>
            </w:r>
            <w:r w:rsidR="00265F05" w:rsidRPr="00CA7AFE">
              <w:rPr>
                <w:rFonts w:ascii="Helvetica" w:hAnsi="Helvetica"/>
                <w:webHidden/>
              </w:rPr>
              <w:fldChar w:fldCharType="end"/>
            </w:r>
          </w:hyperlink>
        </w:p>
        <w:p w14:paraId="33E24DCB" w14:textId="275B0E2A" w:rsidR="00265F05" w:rsidRPr="00CA7AFE" w:rsidRDefault="00000000">
          <w:pPr>
            <w:pStyle w:val="TOC3"/>
            <w:rPr>
              <w:rFonts w:ascii="Helvetica" w:eastAsiaTheme="minorEastAsia" w:hAnsi="Helvetica" w:cstheme="minorBidi"/>
              <w:i w:val="0"/>
              <w:iCs w:val="0"/>
              <w:lang w:val="nl-NL" w:eastAsia="nl-NL"/>
            </w:rPr>
          </w:pPr>
          <w:hyperlink w:anchor="_Toc157523413" w:history="1">
            <w:r w:rsidR="00265F05" w:rsidRPr="00CA7AFE">
              <w:rPr>
                <w:rStyle w:val="Hyperlink"/>
                <w:rFonts w:ascii="Helvetica" w:hAnsi="Helvetica"/>
              </w:rPr>
              <w:t>Chunk 6: evaluation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0BCF3333" w14:textId="5D0AFB9D" w:rsidR="00265F05" w:rsidRPr="00CA7AFE" w:rsidRDefault="00000000">
          <w:pPr>
            <w:pStyle w:val="TOC2"/>
            <w:rPr>
              <w:rFonts w:ascii="Helvetica" w:eastAsiaTheme="minorEastAsia" w:hAnsi="Helvetica" w:cstheme="minorBidi"/>
              <w:lang w:val="nl-NL" w:eastAsia="nl-NL"/>
            </w:rPr>
          </w:pPr>
          <w:hyperlink w:anchor="_Toc157523414" w:history="1">
            <w:r w:rsidR="00265F05" w:rsidRPr="00CA7AFE">
              <w:rPr>
                <w:rStyle w:val="Hyperlink"/>
                <w:rFonts w:ascii="Helvetica" w:hAnsi="Helvetica"/>
              </w:rPr>
              <w:t>3.3 Downstream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26EBE5D3" w14:textId="486341EE" w:rsidR="00265F05" w:rsidRPr="00CA7AFE" w:rsidRDefault="00000000">
          <w:pPr>
            <w:pStyle w:val="TOC3"/>
            <w:rPr>
              <w:rFonts w:ascii="Helvetica" w:eastAsiaTheme="minorEastAsia" w:hAnsi="Helvetica" w:cstheme="minorBidi"/>
              <w:i w:val="0"/>
              <w:iCs w:val="0"/>
              <w:lang w:val="nl-NL" w:eastAsia="nl-NL"/>
            </w:rPr>
          </w:pPr>
          <w:hyperlink w:anchor="_Toc157523415"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42DC8F44" w14:textId="22AEB528" w:rsidR="00265F05" w:rsidRPr="00CA7AFE" w:rsidRDefault="00000000">
          <w:pPr>
            <w:pStyle w:val="TOC3"/>
            <w:rPr>
              <w:rFonts w:ascii="Helvetica" w:eastAsiaTheme="minorEastAsia" w:hAnsi="Helvetica" w:cstheme="minorBidi"/>
              <w:i w:val="0"/>
              <w:iCs w:val="0"/>
              <w:lang w:val="nl-NL" w:eastAsia="nl-NL"/>
            </w:rPr>
          </w:pPr>
          <w:hyperlink w:anchor="_Toc157523416" w:history="1">
            <w:r w:rsidR="00265F05" w:rsidRPr="00CA7AFE">
              <w:rPr>
                <w:rStyle w:val="Hyperlink"/>
                <w:rFonts w:ascii="Helvetica" w:hAnsi="Helvetica"/>
              </w:rPr>
              <w:t>Chunk 2: create folder and subset the data if required.</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20</w:t>
            </w:r>
            <w:r w:rsidR="00265F05" w:rsidRPr="00CA7AFE">
              <w:rPr>
                <w:rFonts w:ascii="Helvetica" w:hAnsi="Helvetica"/>
                <w:webHidden/>
              </w:rPr>
              <w:fldChar w:fldCharType="end"/>
            </w:r>
          </w:hyperlink>
        </w:p>
        <w:p w14:paraId="227105B6" w14:textId="2D867778" w:rsidR="00265F05" w:rsidRPr="00CA7AFE" w:rsidRDefault="00000000">
          <w:pPr>
            <w:pStyle w:val="TOC3"/>
            <w:rPr>
              <w:rFonts w:ascii="Helvetica" w:eastAsiaTheme="minorEastAsia" w:hAnsi="Helvetica" w:cstheme="minorBidi"/>
              <w:i w:val="0"/>
              <w:iCs w:val="0"/>
              <w:lang w:val="nl-NL" w:eastAsia="nl-NL"/>
            </w:rPr>
          </w:pPr>
          <w:hyperlink w:anchor="_Toc157523417" w:history="1">
            <w:r w:rsidR="00265F05" w:rsidRPr="00CA7AFE">
              <w:rPr>
                <w:rStyle w:val="Hyperlink"/>
                <w:rFonts w:ascii="Helvetica" w:hAnsi="Helvetica"/>
              </w:rPr>
              <w:t>Chunk 3: statistical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21</w:t>
            </w:r>
            <w:r w:rsidR="00265F05" w:rsidRPr="00CA7AFE">
              <w:rPr>
                <w:rFonts w:ascii="Helvetica" w:hAnsi="Helvetica"/>
                <w:webHidden/>
              </w:rPr>
              <w:fldChar w:fldCharType="end"/>
            </w:r>
          </w:hyperlink>
        </w:p>
        <w:p w14:paraId="7F9883D1" w14:textId="64F4E112"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55C51463" w14:textId="77777777" w:rsidR="004B24F9" w:rsidRDefault="004B24F9" w:rsidP="009C1EE7">
      <w:pPr>
        <w:pStyle w:val="Heading1"/>
        <w:jc w:val="both"/>
        <w:rPr>
          <w:rFonts w:ascii="Helvetica" w:hAnsi="Helvetica" w:cstheme="majorHAnsi"/>
          <w:b/>
          <w:bCs/>
          <w:sz w:val="22"/>
          <w:szCs w:val="22"/>
          <w:lang w:val="en-US"/>
        </w:rPr>
      </w:pPr>
      <w:bookmarkStart w:id="0" w:name="_Toc157523390"/>
    </w:p>
    <w:p w14:paraId="00AF72E2" w14:textId="77777777" w:rsidR="00C57000" w:rsidRPr="00C57000" w:rsidRDefault="00C57000" w:rsidP="00C57000">
      <w:pPr>
        <w:rPr>
          <w:lang w:val="en-US"/>
        </w:rPr>
      </w:pPr>
    </w:p>
    <w:p w14:paraId="1905F665" w14:textId="6B3B1C99" w:rsidR="009C1EE7" w:rsidRPr="00CA7AFE" w:rsidRDefault="009C1EE7" w:rsidP="009C1EE7">
      <w:pPr>
        <w:pStyle w:val="Heading1"/>
        <w:jc w:val="both"/>
        <w:rPr>
          <w:rFonts w:ascii="Helvetica" w:hAnsi="Helvetica" w:cstheme="majorHAnsi"/>
          <w:b/>
          <w:bCs/>
          <w:sz w:val="22"/>
          <w:szCs w:val="22"/>
          <w:lang w:val="en-US"/>
        </w:rPr>
      </w:pPr>
      <w:r w:rsidRPr="00CA7AFE">
        <w:rPr>
          <w:rFonts w:ascii="Helvetica" w:hAnsi="Helvetica" w:cstheme="majorHAnsi"/>
          <w:b/>
          <w:bCs/>
          <w:sz w:val="22"/>
          <w:szCs w:val="22"/>
          <w:lang w:val="en-US"/>
        </w:rPr>
        <w:lastRenderedPageBreak/>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w:t>
      </w:r>
      <w:proofErr w:type="spellStart"/>
      <w:r w:rsidRPr="00CA7AFE">
        <w:rPr>
          <w:rFonts w:ascii="Helvetica" w:hAnsi="Helvetica" w:cstheme="majorHAnsi"/>
          <w:lang w:val="en-US"/>
        </w:rPr>
        <w:t>Cytobank</w:t>
      </w:r>
      <w:proofErr w:type="spellEnd"/>
      <w:r w:rsidRPr="00CA7AFE">
        <w:rPr>
          <w:rFonts w:ascii="Helvetica" w:hAnsi="Helvetica" w:cstheme="majorHAnsi"/>
          <w:lang w:val="en-US"/>
        </w:rPr>
        <w:t xml:space="preserve">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FlowSOM,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Pr="00C63455" w:rsidRDefault="00F51DAB" w:rsidP="002104AA">
      <w:pPr>
        <w:pStyle w:val="NoSpacing"/>
        <w:spacing w:line="360" w:lineRule="auto"/>
        <w:jc w:val="both"/>
        <w:rPr>
          <w:rFonts w:ascii="Helvetica" w:hAnsi="Helvetica" w:cstheme="majorHAnsi"/>
          <w:lang w:val="en-US"/>
        </w:rPr>
      </w:pPr>
      <w:r w:rsidRPr="00C63455">
        <w:rPr>
          <w:rFonts w:ascii="Helvetica" w:hAnsi="Helvetica" w:cstheme="majorHAnsi"/>
          <w:lang w:val="en-US"/>
        </w:rPr>
        <w:t>Pipeline Overview:</w:t>
      </w:r>
    </w:p>
    <w:p w14:paraId="6205C5FE" w14:textId="4C20864E" w:rsidR="002104AA" w:rsidRPr="00C63455" w:rsidRDefault="002104AA" w:rsidP="00F51DAB">
      <w:pPr>
        <w:pStyle w:val="NoSpacing"/>
        <w:spacing w:line="360" w:lineRule="auto"/>
        <w:jc w:val="both"/>
        <w:rPr>
          <w:rFonts w:ascii="Helvetica" w:hAnsi="Helvetica" w:cstheme="majorHAnsi"/>
          <w:b/>
          <w:bCs/>
          <w:lang w:val="en-US"/>
        </w:rPr>
      </w:pPr>
      <w:r w:rsidRPr="00C63455">
        <w:rPr>
          <w:rFonts w:ascii="Helvetica" w:hAnsi="Helvetica" w:cstheme="majorHAnsi"/>
          <w:lang w:val="en-US"/>
        </w:rPr>
        <w:t>Pre-processing:</w:t>
      </w:r>
      <w:r w:rsidR="00F51DAB" w:rsidRPr="00C63455">
        <w:rPr>
          <w:rFonts w:ascii="Helvetica" w:hAnsi="Helvetica" w:cstheme="majorHAnsi"/>
          <w:lang w:val="en-US"/>
        </w:rPr>
        <w:t xml:space="preserve"> </w:t>
      </w:r>
      <w:r w:rsidR="00F51DAB" w:rsidRPr="00C63455">
        <w:rPr>
          <w:rFonts w:ascii="Helvetica" w:hAnsi="Helvetica" w:cstheme="majorHAnsi"/>
          <w:b/>
          <w:bCs/>
          <w:lang w:val="en-US"/>
        </w:rPr>
        <w:t>1_Data_Preprocessing_usr_RADIANT_v1.0.rmd</w:t>
      </w:r>
    </w:p>
    <w:p w14:paraId="16EF8604" w14:textId="0FD87B50" w:rsidR="002104AA" w:rsidRPr="00C63455" w:rsidRDefault="002104AA" w:rsidP="002104AA">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preparation of the analysis folders</w:t>
      </w:r>
    </w:p>
    <w:p w14:paraId="2A2353EF" w14:textId="007FDC50" w:rsidR="002104AA" w:rsidRPr="00C63455" w:rsidRDefault="002104AA" w:rsidP="00F51DAB">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data import</w:t>
      </w:r>
      <w:r w:rsidR="00F51DAB" w:rsidRPr="00C63455">
        <w:rPr>
          <w:rFonts w:ascii="Helvetica" w:hAnsi="Helvetica" w:cstheme="majorHAnsi"/>
          <w:lang w:val="en-US"/>
        </w:rPr>
        <w:t xml:space="preserve">, </w:t>
      </w:r>
      <w:r w:rsidRPr="00C63455">
        <w:rPr>
          <w:rFonts w:ascii="Helvetica" w:hAnsi="Helvetica" w:cstheme="majorHAnsi"/>
          <w:lang w:val="en-US"/>
        </w:rPr>
        <w:t xml:space="preserve">data cleaning </w:t>
      </w:r>
    </w:p>
    <w:p w14:paraId="6CCC3F6C" w14:textId="19674734" w:rsidR="002104AA" w:rsidRPr="00C63455" w:rsidRDefault="002104AA" w:rsidP="002104AA">
      <w:pPr>
        <w:pStyle w:val="NoSpacing"/>
        <w:numPr>
          <w:ilvl w:val="0"/>
          <w:numId w:val="35"/>
        </w:numPr>
        <w:spacing w:line="360" w:lineRule="auto"/>
        <w:jc w:val="both"/>
        <w:rPr>
          <w:rFonts w:ascii="Helvetica" w:hAnsi="Helvetica" w:cstheme="majorHAnsi"/>
          <w:lang w:val="en-US"/>
        </w:rPr>
      </w:pPr>
      <w:proofErr w:type="spellStart"/>
      <w:r w:rsidRPr="00C63455">
        <w:rPr>
          <w:rFonts w:ascii="Helvetica" w:hAnsi="Helvetica" w:cstheme="majorHAnsi"/>
          <w:lang w:val="en-US"/>
        </w:rPr>
        <w:t>CytoNorm</w:t>
      </w:r>
      <w:proofErr w:type="spellEnd"/>
      <w:r w:rsidRPr="00C63455">
        <w:rPr>
          <w:rFonts w:ascii="Helvetica" w:hAnsi="Helvetica" w:cstheme="majorHAnsi"/>
          <w:lang w:val="en-US"/>
        </w:rPr>
        <w:t xml:space="preserve"> </w:t>
      </w:r>
    </w:p>
    <w:p w14:paraId="7562BC1A" w14:textId="0C708C60" w:rsidR="002104AA" w:rsidRPr="00C63455" w:rsidRDefault="00F51DAB" w:rsidP="002104AA">
      <w:pPr>
        <w:pStyle w:val="NoSpacing"/>
        <w:spacing w:line="360" w:lineRule="auto"/>
        <w:jc w:val="both"/>
        <w:rPr>
          <w:rFonts w:ascii="Helvetica" w:hAnsi="Helvetica" w:cstheme="majorHAnsi"/>
          <w:b/>
          <w:bCs/>
          <w:lang w:val="en-US"/>
        </w:rPr>
      </w:pPr>
      <w:r w:rsidRPr="00C63455">
        <w:rPr>
          <w:rFonts w:ascii="Helvetica" w:hAnsi="Helvetica" w:cstheme="majorHAnsi"/>
          <w:lang w:val="en-US"/>
        </w:rPr>
        <w:t>FlowSOM c</w:t>
      </w:r>
      <w:r w:rsidR="002104AA" w:rsidRPr="00C63455">
        <w:rPr>
          <w:rFonts w:ascii="Helvetica" w:hAnsi="Helvetica" w:cstheme="majorHAnsi"/>
          <w:lang w:val="en-US"/>
        </w:rPr>
        <w:t>lustering:</w:t>
      </w:r>
      <w:r w:rsidRPr="00C63455">
        <w:rPr>
          <w:rFonts w:ascii="Helvetica" w:hAnsi="Helvetica"/>
        </w:rPr>
        <w:t xml:space="preserve"> </w:t>
      </w:r>
      <w:r w:rsidRPr="00C63455">
        <w:rPr>
          <w:rFonts w:ascii="Helvetica" w:hAnsi="Helvetica" w:cstheme="majorHAnsi"/>
          <w:b/>
          <w:bCs/>
          <w:lang w:val="en-US"/>
        </w:rPr>
        <w:t>2_FlowSOM_clustering_RADIANT</w:t>
      </w:r>
      <w:r w:rsidR="00110E84">
        <w:rPr>
          <w:rFonts w:ascii="Helvetica" w:hAnsi="Helvetica" w:cstheme="majorHAnsi"/>
          <w:b/>
          <w:bCs/>
          <w:lang w:val="en-US"/>
        </w:rPr>
        <w:t>_v0.1</w:t>
      </w:r>
      <w:r w:rsidRPr="00C63455">
        <w:rPr>
          <w:rFonts w:ascii="Helvetica" w:hAnsi="Helvetica" w:cstheme="majorHAnsi"/>
          <w:b/>
          <w:bCs/>
          <w:lang w:val="en-US"/>
        </w:rPr>
        <w:t>.rmd</w:t>
      </w:r>
    </w:p>
    <w:p w14:paraId="1D49F84F" w14:textId="604B3E88"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 xml:space="preserve">Determining number of </w:t>
      </w:r>
      <w:proofErr w:type="spellStart"/>
      <w:r w:rsidRPr="00C63455">
        <w:rPr>
          <w:rFonts w:ascii="Helvetica" w:hAnsi="Helvetica" w:cstheme="majorHAnsi"/>
          <w:lang w:val="en-US"/>
        </w:rPr>
        <w:t>Metacluster</w:t>
      </w:r>
      <w:proofErr w:type="spellEnd"/>
      <w:r w:rsidRPr="00C63455">
        <w:rPr>
          <w:rFonts w:ascii="Helvetica" w:hAnsi="Helvetica" w:cstheme="majorHAnsi"/>
          <w:lang w:val="en-US"/>
        </w:rPr>
        <w:t xml:space="preserve"> </w:t>
      </w:r>
    </w:p>
    <w:p w14:paraId="52D210DF" w14:textId="66ABCBE5"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FlowSOM</w:t>
      </w:r>
    </w:p>
    <w:p w14:paraId="67224F39" w14:textId="7E61FB6B"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Cluster Merging</w:t>
      </w:r>
    </w:p>
    <w:p w14:paraId="31C4EE0A" w14:textId="1FF31159" w:rsidR="002104AA" w:rsidRPr="00C63455" w:rsidRDefault="002104AA" w:rsidP="002104AA">
      <w:pPr>
        <w:pStyle w:val="NoSpacing"/>
        <w:spacing w:line="360" w:lineRule="auto"/>
        <w:jc w:val="both"/>
        <w:rPr>
          <w:rFonts w:ascii="Helvetica" w:hAnsi="Helvetica" w:cstheme="majorHAnsi"/>
          <w:u w:val="single"/>
          <w:lang w:val="en-US"/>
        </w:rPr>
      </w:pPr>
      <w:r w:rsidRPr="00C63455">
        <w:rPr>
          <w:rFonts w:ascii="Helvetica" w:hAnsi="Helvetica" w:cstheme="majorHAnsi"/>
          <w:u w:val="single"/>
          <w:lang w:val="en-US"/>
        </w:rPr>
        <w:t>Downstream analysis:</w:t>
      </w:r>
      <w:r w:rsidR="00F51DAB" w:rsidRPr="00C63455">
        <w:rPr>
          <w:rFonts w:ascii="Helvetica" w:hAnsi="Helvetica" w:cstheme="majorHAnsi"/>
          <w:u w:val="single"/>
          <w:lang w:val="en-US"/>
        </w:rPr>
        <w:t xml:space="preserve"> </w:t>
      </w:r>
      <w:r w:rsidR="00F51DAB" w:rsidRPr="00C63455">
        <w:rPr>
          <w:rFonts w:ascii="Helvetica" w:hAnsi="Helvetica" w:cs="Segoe UI"/>
          <w:b/>
          <w:bCs/>
          <w:color w:val="1F2328"/>
          <w:shd w:val="clear" w:color="auto" w:fill="FFFFFF"/>
        </w:rPr>
        <w:t>3_Downstream_analysis_RADIANT</w:t>
      </w:r>
      <w:r w:rsidR="00110E84">
        <w:rPr>
          <w:rFonts w:ascii="Helvetica" w:hAnsi="Helvetica" w:cstheme="majorHAnsi"/>
          <w:b/>
          <w:bCs/>
          <w:lang w:val="en-US"/>
        </w:rPr>
        <w:t>_v0.1</w:t>
      </w:r>
      <w:r w:rsidR="00F51DAB" w:rsidRPr="00C63455">
        <w:rPr>
          <w:rFonts w:ascii="Helvetica" w:hAnsi="Helvetica" w:cs="Segoe UI"/>
          <w:b/>
          <w:bCs/>
          <w:color w:val="1F2328"/>
          <w:shd w:val="clear" w:color="auto" w:fill="FFFFFF"/>
        </w:rPr>
        <w:t>.</w:t>
      </w:r>
      <w:proofErr w:type="spellStart"/>
      <w:r w:rsidR="00C63455" w:rsidRPr="00C63455">
        <w:rPr>
          <w:rFonts w:ascii="Helvetica" w:hAnsi="Helvetica" w:cs="Segoe UI"/>
          <w:b/>
          <w:bCs/>
          <w:color w:val="1F2328"/>
          <w:shd w:val="clear" w:color="auto" w:fill="FFFFFF"/>
        </w:rPr>
        <w:t>r</w:t>
      </w:r>
      <w:r w:rsidR="00F51DAB" w:rsidRPr="00C63455">
        <w:rPr>
          <w:rFonts w:ascii="Helvetica" w:hAnsi="Helvetica" w:cs="Segoe UI"/>
          <w:b/>
          <w:bCs/>
          <w:color w:val="1F2328"/>
          <w:shd w:val="clear" w:color="auto" w:fill="FFFFFF"/>
        </w:rPr>
        <w:t>md</w:t>
      </w:r>
      <w:proofErr w:type="spellEnd"/>
    </w:p>
    <w:p w14:paraId="19AD4865" w14:textId="77777777" w:rsidR="00F51DAB"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Setting up work environment for statistical analysis</w:t>
      </w:r>
    </w:p>
    <w:p w14:paraId="74559C90" w14:textId="77777777" w:rsidR="003510B1" w:rsidRPr="00C63455" w:rsidRDefault="003510B1" w:rsidP="003510B1">
      <w:pPr>
        <w:pStyle w:val="NoSpacing"/>
        <w:spacing w:line="360" w:lineRule="auto"/>
        <w:ind w:left="360"/>
        <w:jc w:val="both"/>
        <w:rPr>
          <w:rFonts w:ascii="Helvetica" w:hAnsi="Helvetica" w:cstheme="majorHAnsi"/>
          <w:lang w:val="en-US"/>
        </w:rPr>
      </w:pPr>
    </w:p>
    <w:p w14:paraId="6B59A82A" w14:textId="0E6FBA6B" w:rsidR="00C63455" w:rsidRPr="00C63455" w:rsidRDefault="007525B5" w:rsidP="00415D27">
      <w:pPr>
        <w:pStyle w:val="NoSpacing"/>
        <w:spacing w:line="360" w:lineRule="auto"/>
        <w:jc w:val="both"/>
        <w:rPr>
          <w:rFonts w:ascii="Helvetica" w:hAnsi="Helvetica" w:cstheme="majorHAnsi"/>
          <w:lang w:val="en-US"/>
        </w:rPr>
      </w:pPr>
      <w:r w:rsidRPr="00C63455">
        <w:rPr>
          <w:rFonts w:ascii="Helvetica" w:hAnsi="Helvetica" w:cstheme="majorHAnsi"/>
          <w:lang w:val="en-US"/>
        </w:rPr>
        <w:t xml:space="preserve">You will need </w:t>
      </w:r>
      <w:r w:rsidRPr="00C63455">
        <w:rPr>
          <w:rFonts w:ascii="Helvetica" w:hAnsi="Helvetica" w:cstheme="majorHAnsi"/>
          <w:b/>
          <w:bCs/>
          <w:lang w:val="en-US"/>
        </w:rPr>
        <w:t>RADIANT_dependencies</w:t>
      </w:r>
      <w:r w:rsidR="00110E84">
        <w:rPr>
          <w:rFonts w:ascii="Helvetica" w:hAnsi="Helvetica" w:cstheme="majorHAnsi"/>
          <w:b/>
          <w:bCs/>
          <w:lang w:val="en-US"/>
        </w:rPr>
        <w:t>_v0.</w:t>
      </w:r>
      <w:proofErr w:type="gramStart"/>
      <w:r w:rsidR="00110E84">
        <w:rPr>
          <w:rFonts w:ascii="Helvetica" w:hAnsi="Helvetica" w:cstheme="majorHAnsi"/>
          <w:b/>
          <w:bCs/>
          <w:lang w:val="en-US"/>
        </w:rPr>
        <w:t>1</w:t>
      </w:r>
      <w:r w:rsidRPr="00C63455">
        <w:rPr>
          <w:rFonts w:ascii="Helvetica" w:hAnsi="Helvetica" w:cstheme="majorHAnsi"/>
          <w:b/>
          <w:bCs/>
          <w:lang w:val="en-US"/>
        </w:rPr>
        <w:t>.R</w:t>
      </w:r>
      <w:proofErr w:type="gramEnd"/>
      <w:r w:rsidRPr="00C63455">
        <w:rPr>
          <w:rFonts w:ascii="Helvetica" w:hAnsi="Helvetica" w:cstheme="majorHAnsi"/>
          <w:lang w:val="en-US"/>
        </w:rPr>
        <w:t xml:space="preserve"> for all the functions </w:t>
      </w:r>
      <w:r w:rsidR="00415D27" w:rsidRPr="00C63455">
        <w:rPr>
          <w:rFonts w:ascii="Helvetica" w:hAnsi="Helvetica" w:cstheme="majorHAnsi"/>
          <w:lang w:val="en-US"/>
        </w:rPr>
        <w:t xml:space="preserve">the </w:t>
      </w:r>
      <w:r w:rsidRPr="00C63455">
        <w:rPr>
          <w:rFonts w:ascii="Helvetica" w:hAnsi="Helvetica" w:cstheme="majorHAnsi"/>
          <w:lang w:val="en-US"/>
        </w:rPr>
        <w:t>pipeline is running.</w:t>
      </w:r>
    </w:p>
    <w:p w14:paraId="1FB872BD" w14:textId="77777777" w:rsidR="00C63455" w:rsidRDefault="00C63455" w:rsidP="00415D27">
      <w:pPr>
        <w:pStyle w:val="NoSpacing"/>
        <w:spacing w:line="360" w:lineRule="auto"/>
        <w:jc w:val="both"/>
        <w:rPr>
          <w:rFonts w:ascii="Helvetica" w:hAnsi="Helvetica" w:cstheme="majorHAnsi"/>
          <w:lang w:val="en-US"/>
        </w:rPr>
      </w:pPr>
    </w:p>
    <w:p w14:paraId="02167FCD" w14:textId="26663CB1" w:rsidR="00C63455" w:rsidRPr="00F51DAB" w:rsidRDefault="00C63455" w:rsidP="00C63455">
      <w:pPr>
        <w:pStyle w:val="NoSpacing"/>
        <w:spacing w:line="360" w:lineRule="auto"/>
        <w:jc w:val="both"/>
        <w:rPr>
          <w:rFonts w:ascii="Helvetica" w:hAnsi="Helvetica" w:cstheme="majorHAnsi"/>
          <w:b/>
          <w:bCs/>
          <w:lang w:val="en-US"/>
        </w:rPr>
      </w:pPr>
    </w:p>
    <w:p w14:paraId="3518B4AF" w14:textId="69954D04" w:rsidR="00F51DAB" w:rsidRPr="003510B1" w:rsidRDefault="00B2589F" w:rsidP="00415D27">
      <w:pPr>
        <w:pStyle w:val="NoSpacing"/>
        <w:spacing w:line="360" w:lineRule="auto"/>
        <w:jc w:val="both"/>
        <w:rPr>
          <w:rFonts w:ascii="Helvetica" w:hAnsi="Helvetica" w:cstheme="majorHAnsi"/>
          <w:lang w:val="en-US"/>
        </w:rPr>
      </w:pPr>
      <w:r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5752339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w:t>
            </w:r>
            <w:proofErr w:type="gramStart"/>
            <w:r w:rsidRPr="00CA7AFE">
              <w:rPr>
                <w:rFonts w:ascii="Helvetica" w:hAnsi="Helvetica" w:cstheme="majorHAnsi"/>
                <w:sz w:val="20"/>
                <w:szCs w:val="20"/>
                <w:lang w:val="en-US"/>
              </w:rPr>
              <w:t>+.fcs</w:t>
            </w:r>
            <w:proofErr w:type="gramEnd"/>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5752339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w:t>
      </w:r>
      <w:proofErr w:type="gramStart"/>
      <w:r w:rsidRPr="00CA7AFE">
        <w:rPr>
          <w:rFonts w:ascii="Helvetica" w:hAnsi="Helvetica" w:cstheme="majorHAnsi"/>
          <w:b/>
          <w:bCs/>
          <w:lang w:val="en-US"/>
        </w:rPr>
        <w:t>not .</w:t>
      </w:r>
      <w:proofErr w:type="spellStart"/>
      <w:r w:rsidRPr="00CA7AFE">
        <w:rPr>
          <w:rFonts w:ascii="Helvetica" w:hAnsi="Helvetica" w:cstheme="majorHAnsi"/>
          <w:b/>
          <w:bCs/>
          <w:lang w:val="en-US"/>
        </w:rPr>
        <w:t>mtx</w:t>
      </w:r>
      <w:proofErr w:type="spellEnd"/>
      <w:proofErr w:type="gram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w:t>
      </w:r>
      <w:proofErr w:type="gramStart"/>
      <w:r w:rsidRPr="00CA7AFE">
        <w:rPr>
          <w:rFonts w:ascii="Helvetica" w:hAnsi="Helvetica" w:cstheme="majorHAnsi"/>
          <w:lang w:val="en-US"/>
        </w:rPr>
        <w:t>-“ sign</w:t>
      </w:r>
      <w:proofErr w:type="gramEnd"/>
      <w:r w:rsidRPr="00CA7AFE">
        <w:rPr>
          <w:rFonts w:ascii="Helvetica" w:hAnsi="Helvetica" w:cstheme="majorHAnsi"/>
          <w:lang w:val="en-US"/>
        </w:rPr>
        <w:t xml:space="preserve">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w:t>
      </w:r>
      <w:proofErr w:type="gramStart"/>
      <w:r w:rsidRPr="00CA7AFE">
        <w:rPr>
          <w:rFonts w:ascii="Helvetica" w:hAnsi="Helvetica" w:cstheme="majorHAnsi"/>
          <w:lang w:val="en-US"/>
        </w:rPr>
        <w:t>tissue</w:t>
      </w:r>
      <w:proofErr w:type="gramEnd"/>
      <w:r w:rsidRPr="00CA7AFE">
        <w:rPr>
          <w:rFonts w:ascii="Helvetica" w:hAnsi="Helvetica" w:cstheme="majorHAnsi"/>
          <w:lang w:val="en-US"/>
        </w:rPr>
        <w:t xml:space="preserv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5752339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5752339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2D35D74" w14:textId="77777777" w:rsidR="00C63455" w:rsidRDefault="008A7D4A" w:rsidP="00C63455">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w:t>
      </w:r>
      <w:r w:rsidR="00C63455">
        <w:rPr>
          <w:rFonts w:ascii="Helvetica" w:hAnsi="Helvetica" w:cstheme="majorHAnsi"/>
          <w:lang w:val="en-US"/>
        </w:rPr>
        <w:t xml:space="preserve"> GitHub repository. These are the </w:t>
      </w:r>
    </w:p>
    <w:p w14:paraId="283D4600" w14:textId="767F335A"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1_Data_Preprocessing_usr_RADIANT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2_FlowSOM_clustering_RADIANT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3_Downstream_analysis_RADIANT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w:t>
      </w:r>
      <w:r>
        <w:rPr>
          <w:rFonts w:ascii="Helvetica" w:hAnsi="Helvetica" w:cstheme="majorHAnsi"/>
          <w:color w:val="000000" w:themeColor="text1"/>
          <w:lang w:val="en-US"/>
        </w:rPr>
        <w:t>r</w:t>
      </w:r>
      <w:r w:rsidRPr="00C63455">
        <w:rPr>
          <w:rFonts w:ascii="Helvetica" w:hAnsi="Helvetica" w:cstheme="majorHAnsi"/>
          <w:color w:val="000000" w:themeColor="text1"/>
          <w:lang w:val="en-US"/>
        </w:rPr>
        <w:t>md,</w:t>
      </w:r>
    </w:p>
    <w:p w14:paraId="4D5801EF" w14:textId="4BDDBBB9"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RADIANT_dependencies</w:t>
      </w:r>
      <w:r w:rsidR="00110E84" w:rsidRPr="00110E84">
        <w:rPr>
          <w:rFonts w:ascii="Helvetica" w:hAnsi="Helvetica" w:cstheme="majorHAnsi"/>
          <w:lang w:val="en-US"/>
        </w:rPr>
        <w:t>_v0.1</w:t>
      </w:r>
      <w:r w:rsidRPr="00C63455">
        <w:rPr>
          <w:rFonts w:ascii="Helvetica" w:hAnsi="Helvetica" w:cstheme="majorHAnsi"/>
          <w:color w:val="000000" w:themeColor="text1"/>
          <w:lang w:val="en-US"/>
        </w:rPr>
        <w:t xml:space="preserve">.R </w:t>
      </w:r>
    </w:p>
    <w:p w14:paraId="6CCA1D64" w14:textId="77777777" w:rsidR="00C63455" w:rsidRDefault="00C63455" w:rsidP="00AA2D00">
      <w:pPr>
        <w:pStyle w:val="NoSpacing"/>
        <w:spacing w:line="276" w:lineRule="auto"/>
        <w:jc w:val="both"/>
        <w:rPr>
          <w:rFonts w:ascii="Helvetica" w:hAnsi="Helvetica" w:cstheme="majorHAnsi"/>
          <w:color w:val="000000" w:themeColor="text1"/>
          <w:lang w:val="en-US"/>
        </w:rPr>
      </w:pPr>
    </w:p>
    <w:p w14:paraId="4DB4E273" w14:textId="20D67652"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w:t>
      </w:r>
      <w:proofErr w:type="gramStart"/>
      <w:r w:rsidRPr="00CA7AFE">
        <w:rPr>
          <w:rFonts w:ascii="Helvetica" w:hAnsi="Helvetica" w:cstheme="majorHAnsi"/>
          <w:lang w:val="en-US"/>
        </w:rPr>
        <w:t>to</w:t>
      </w:r>
      <w:r w:rsidR="008A7D4A" w:rsidRPr="00CA7AFE">
        <w:rPr>
          <w:rFonts w:ascii="Helvetica" w:hAnsi="Helvetica" w:cstheme="majorHAnsi"/>
          <w:lang w:val="en-US"/>
        </w:rPr>
        <w:t xml:space="preserve"> </w:t>
      </w:r>
      <w:r w:rsidRPr="00CA7AFE">
        <w:rPr>
          <w:rFonts w:ascii="Helvetica" w:hAnsi="Helvetica" w:cstheme="majorHAnsi"/>
          <w:lang w:val="en-US"/>
        </w:rPr>
        <w:t>:</w:t>
      </w:r>
      <w:proofErr w:type="gramEnd"/>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5752339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5752339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5752339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w:t>
      </w:r>
      <w:proofErr w:type="gramStart"/>
      <w:r w:rsidRPr="00CA7AFE">
        <w:rPr>
          <w:rFonts w:ascii="Helvetica" w:hAnsi="Helvetica" w:cstheme="majorHAnsi"/>
          <w:lang w:val="en-US"/>
        </w:rPr>
        <w:t>fill</w:t>
      </w:r>
      <w:proofErr w:type="gramEnd"/>
      <w:r w:rsidRPr="00CA7AFE">
        <w:rPr>
          <w:rFonts w:ascii="Helvetica" w:hAnsi="Helvetica" w:cstheme="majorHAnsi"/>
          <w:lang w:val="en-US"/>
        </w:rPr>
        <w:t xml:space="preserve">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proofErr w:type="gramStart"/>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w:t>
      </w:r>
      <w:proofErr w:type="gramEnd"/>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of the screen and type either “</w:t>
      </w:r>
      <w:r w:rsidRPr="00F3225D">
        <w:rPr>
          <w:rFonts w:ascii="Helvetica" w:hAnsi="Helvetica" w:cstheme="majorHAnsi"/>
          <w:b/>
          <w:bCs/>
          <w:lang w:val="en-US"/>
        </w:rPr>
        <w:t>y</w:t>
      </w:r>
      <w:r w:rsidRPr="00CA7AFE">
        <w:rPr>
          <w:rFonts w:ascii="Helvetica" w:hAnsi="Helvetica" w:cstheme="majorHAnsi"/>
          <w:lang w:val="en-US"/>
        </w:rPr>
        <w:t>”, or “</w:t>
      </w:r>
      <w:r w:rsidRPr="00F3225D">
        <w:rPr>
          <w:rFonts w:ascii="Helvetica" w:hAnsi="Helvetica" w:cstheme="majorHAnsi"/>
          <w:b/>
          <w:bCs/>
          <w:lang w:val="en-US"/>
        </w:rPr>
        <w:t>n</w:t>
      </w:r>
      <w:r w:rsidRPr="00CA7AFE">
        <w:rPr>
          <w:rFonts w:ascii="Helvetica" w:hAnsi="Helvetica" w:cstheme="majorHAnsi"/>
          <w:lang w:val="en-US"/>
        </w:rPr>
        <w:t xml:space="preserve">”.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cellType folder. Inside this folder there are two subfolders </w:t>
      </w:r>
      <w:proofErr w:type="gramStart"/>
      <w:r w:rsidRPr="00CA7AFE">
        <w:rPr>
          <w:rFonts w:ascii="Helvetica" w:hAnsi="Helvetica" w:cstheme="majorHAnsi"/>
          <w:lang w:val="en-US"/>
        </w:rPr>
        <w:t>called ”Compensation</w:t>
      </w:r>
      <w:proofErr w:type="gramEnd"/>
      <w:r w:rsidRPr="00CA7AFE">
        <w:rPr>
          <w:rFonts w:ascii="Helvetica" w:hAnsi="Helvetica" w:cstheme="majorHAnsi"/>
          <w:lang w:val="en-US"/>
        </w:rPr>
        <w:t xml:space="preserve">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5752339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lastRenderedPageBreak/>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5B570818" w:rsidR="00022C0D" w:rsidRDefault="00022C0D" w:rsidP="0066433E">
      <w:pPr>
        <w:pStyle w:val="NoSpacing"/>
        <w:jc w:val="both"/>
        <w:rPr>
          <w:rFonts w:ascii="Helvetica" w:hAnsi="Helvetica" w:cstheme="majorHAnsi"/>
          <w:lang w:val="en-US"/>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E83DB48" w:rsidR="00022C0D" w:rsidRDefault="00F3225D" w:rsidP="0066433E">
      <w:pPr>
        <w:pStyle w:val="NoSpacing"/>
        <w:jc w:val="both"/>
        <w:rPr>
          <w:rFonts w:ascii="Helvetica" w:hAnsi="Helvetica" w:cstheme="majorHAnsi"/>
          <w:lang w:val="en-US"/>
        </w:rPr>
      </w:pPr>
      <w:r>
        <w:rPr>
          <w:rFonts w:ascii="Helvetica" w:hAnsi="Helvetica" w:cstheme="majorHAnsi"/>
          <w:lang w:val="en-US"/>
        </w:rPr>
        <w:t>As an example, i</w:t>
      </w:r>
      <w:r w:rsidR="00022C0D">
        <w:rPr>
          <w:rFonts w:ascii="Helvetica" w:hAnsi="Helvetica" w:cstheme="majorHAnsi"/>
          <w:lang w:val="en-US"/>
        </w:rPr>
        <w:t xml:space="preserve">n my case row 17 was HLA-DR and row 22 was PD-1, then I </w:t>
      </w:r>
      <w:r>
        <w:rPr>
          <w:rFonts w:ascii="Helvetica" w:hAnsi="Helvetica" w:cstheme="majorHAnsi"/>
          <w:lang w:val="en-US"/>
        </w:rPr>
        <w:t>used the</w:t>
      </w:r>
      <w:r w:rsidR="00022C0D">
        <w:rPr>
          <w:rFonts w:ascii="Helvetica" w:hAnsi="Helvetica" w:cstheme="majorHAnsi"/>
          <w:lang w:val="en-US"/>
        </w:rPr>
        <w:t xml:space="preserve"> code below to re-write HLA-DR into HLADR, PD-1 into PD</w:t>
      </w:r>
      <w:r w:rsidR="00C12741">
        <w:rPr>
          <w:rFonts w:ascii="Helvetica" w:hAnsi="Helvetica" w:cstheme="majorHAnsi"/>
          <w:lang w:val="en-US"/>
        </w:rPr>
        <w:t>1</w:t>
      </w:r>
      <w:r>
        <w:rPr>
          <w:rFonts w:ascii="Helvetica" w:hAnsi="Helvetica" w:cstheme="majorHAnsi"/>
          <w:lang w:val="en-US"/>
        </w:rPr>
        <w:t xml:space="preserve">. </w:t>
      </w:r>
    </w:p>
    <w:p w14:paraId="410E1B4E" w14:textId="77777777" w:rsidR="00022C0D" w:rsidRDefault="00022C0D" w:rsidP="0066433E">
      <w:pPr>
        <w:pStyle w:val="NoSpacing"/>
        <w:jc w:val="both"/>
        <w:rPr>
          <w:rFonts w:ascii="Helvetica" w:hAnsi="Helvetica" w:cstheme="majorHAnsi"/>
          <w:lang w:val="en-US"/>
        </w:rPr>
      </w:pPr>
    </w:p>
    <w:p w14:paraId="7CC2B654" w14:textId="5EA83225" w:rsidR="00F3225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 xml:space="preserve"> in </w:t>
      </w:r>
      <w:proofErr w:type="gramStart"/>
      <w:r w:rsidRPr="00022C0D">
        <w:rPr>
          <w:rFonts w:ascii="Helvetica" w:eastAsia="Times New Roman" w:hAnsi="Helvetica" w:cstheme="majorHAnsi"/>
          <w:color w:val="000000"/>
          <w:highlight w:val="lightGray"/>
          <w:lang w:val="en-US" w:eastAsia="nl-NL"/>
        </w:rPr>
        <w:t>1:length</w:t>
      </w:r>
      <w:proofErr w:type="gramEnd"/>
      <w:r w:rsidRPr="00022C0D">
        <w:rPr>
          <w:rFonts w:ascii="Helvetica" w:eastAsia="Times New Roman" w:hAnsi="Helvetica" w:cstheme="majorHAnsi"/>
          <w:color w:val="000000"/>
          <w:highlight w:val="lightGray"/>
          <w:lang w:val="en-US" w:eastAsia="nl-NL"/>
        </w:rPr>
        <w:t>(fs))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desc[17] &lt;- "HLADR"</w:t>
      </w:r>
    </w:p>
    <w:p w14:paraId="22A63E13" w14:textId="77777777" w:rsidR="00F3225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desc[22] &lt;- "PD1"</w:t>
      </w:r>
      <w:r>
        <w:rPr>
          <w:rFonts w:ascii="Helvetica" w:eastAsia="Times New Roman" w:hAnsi="Helvetica" w:cstheme="majorHAnsi"/>
          <w:color w:val="000000"/>
          <w:highlight w:val="lightGray"/>
          <w:lang w:val="en-US" w:eastAsia="nl-NL"/>
        </w:rPr>
        <w:t xml:space="preserve">  </w:t>
      </w:r>
    </w:p>
    <w:p w14:paraId="3A62062F" w14:textId="20817D07" w:rsid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w:t>
      </w:r>
    </w:p>
    <w:p w14:paraId="6D0D1E0A" w14:textId="77777777" w:rsidR="009B3C64" w:rsidRDefault="009B3C64" w:rsidP="00022C0D">
      <w:pPr>
        <w:pStyle w:val="NoSpacing"/>
        <w:jc w:val="both"/>
        <w:rPr>
          <w:rFonts w:ascii="Helvetica" w:eastAsia="Times New Roman" w:hAnsi="Helvetica" w:cstheme="majorHAnsi"/>
          <w:color w:val="000000"/>
          <w:highlight w:val="lightGray"/>
          <w:lang w:val="en-US" w:eastAsia="nl-NL"/>
        </w:rPr>
      </w:pPr>
    </w:p>
    <w:p w14:paraId="2F9158FB" w14:textId="7B054B79" w:rsidR="00EF43F2" w:rsidRPr="00EF43F2" w:rsidRDefault="00F3225D" w:rsidP="00022C0D">
      <w:pPr>
        <w:pStyle w:val="NoSpacing"/>
        <w:jc w:val="both"/>
        <w:rPr>
          <w:rFonts w:ascii="Helvetica" w:hAnsi="Helvetica" w:cstheme="majorHAnsi"/>
          <w:lang w:val="en-US"/>
        </w:rPr>
      </w:pPr>
      <w:r>
        <w:rPr>
          <w:rFonts w:ascii="Helvetica" w:hAnsi="Helvetica" w:cstheme="majorHAnsi"/>
          <w:lang w:val="en-US"/>
        </w:rPr>
        <w:t xml:space="preserve">Simply change the column position and the antigen name you want to modify. </w:t>
      </w:r>
      <w:r w:rsidR="00022C0D">
        <w:rPr>
          <w:rFonts w:ascii="Helvetica" w:hAnsi="Helvetica" w:cstheme="majorHAnsi"/>
          <w:lang w:val="en-US"/>
        </w:rPr>
        <w:t xml:space="preserve">Then rerun </w:t>
      </w:r>
      <w:proofErr w:type="spellStart"/>
      <w:r w:rsidR="00022C0D" w:rsidRPr="00022C0D">
        <w:rPr>
          <w:rFonts w:ascii="Helvetica" w:eastAsia="Times New Roman" w:hAnsi="Helvetica" w:cstheme="majorHAnsi"/>
          <w:color w:val="000000"/>
          <w:highlight w:val="lightGray"/>
          <w:lang w:val="en-US" w:eastAsia="nl-NL"/>
        </w:rPr>
        <w:t>pData</w:t>
      </w:r>
      <w:proofErr w:type="spellEnd"/>
      <w:r w:rsidR="00022C0D" w:rsidRPr="00022C0D">
        <w:rPr>
          <w:rFonts w:ascii="Helvetica" w:eastAsia="Times New Roman" w:hAnsi="Helvetica" w:cstheme="majorHAnsi"/>
          <w:color w:val="000000"/>
          <w:highlight w:val="lightGray"/>
          <w:lang w:val="en-US" w:eastAsia="nl-NL"/>
        </w:rPr>
        <w:t>(parameters(</w:t>
      </w:r>
      <w:proofErr w:type="gramStart"/>
      <w:r w:rsidR="00022C0D" w:rsidRPr="00022C0D">
        <w:rPr>
          <w:rFonts w:ascii="Helvetica" w:eastAsia="Times New Roman" w:hAnsi="Helvetica" w:cstheme="majorHAnsi"/>
          <w:color w:val="000000"/>
          <w:highlight w:val="lightGray"/>
          <w:lang w:val="en-US" w:eastAsia="nl-NL"/>
        </w:rPr>
        <w:t>fs[</w:t>
      </w:r>
      <w:proofErr w:type="gramEnd"/>
      <w:r w:rsidR="00022C0D" w:rsidRPr="00022C0D">
        <w:rPr>
          <w:rFonts w:ascii="Helvetica" w:eastAsia="Times New Roman" w:hAnsi="Helvetica" w:cstheme="majorHAnsi"/>
          <w:color w:val="000000"/>
          <w:highlight w:val="lightGray"/>
          <w:lang w:val="en-US" w:eastAsia="nl-NL"/>
        </w:rPr>
        <w:t>[1]]))[,1:2]</w:t>
      </w:r>
      <w:r w:rsidR="00022C0D">
        <w:rPr>
          <w:rFonts w:ascii="Helvetica" w:hAnsi="Helvetica" w:cstheme="majorHAnsi"/>
          <w:lang w:val="en-US"/>
        </w:rPr>
        <w:t xml:space="preserve"> run to see </w:t>
      </w:r>
      <w:r w:rsidR="00AC5F08">
        <w:rPr>
          <w:rFonts w:ascii="Helvetica" w:hAnsi="Helvetica" w:cstheme="majorHAnsi"/>
          <w:lang w:val="en-US"/>
        </w:rPr>
        <w:t>whether</w:t>
      </w:r>
      <w:r w:rsidR="00022C0D">
        <w:rPr>
          <w:rFonts w:ascii="Helvetica" w:hAnsi="Helvetica" w:cstheme="majorHAnsi"/>
          <w:lang w:val="en-US"/>
        </w:rPr>
        <w:t xml:space="preserve"> the changes </w:t>
      </w:r>
      <w:r>
        <w:rPr>
          <w:rFonts w:ascii="Helvetica" w:hAnsi="Helvetica" w:cstheme="majorHAnsi"/>
          <w:lang w:val="en-US"/>
        </w:rPr>
        <w:t xml:space="preserve">have </w:t>
      </w:r>
      <w:r w:rsidR="00022C0D">
        <w:rPr>
          <w:rFonts w:ascii="Helvetica" w:hAnsi="Helvetica" w:cstheme="majorHAnsi"/>
          <w:lang w:val="en-US"/>
        </w:rPr>
        <w:t>worked</w:t>
      </w:r>
      <w:r w:rsidR="00AC5F08">
        <w:rPr>
          <w:rFonts w:ascii="Helvetica" w:hAnsi="Helvetica" w:cstheme="majorHAnsi"/>
          <w:lang w:val="en-US"/>
        </w:rPr>
        <w:t xml:space="preserve"> or not</w:t>
      </w:r>
      <w:r w:rsidR="00022C0D">
        <w:rPr>
          <w:rFonts w:ascii="Helvetica" w:hAnsi="Helvetica" w:cstheme="majorHAnsi"/>
          <w:lang w:val="en-US"/>
        </w:rPr>
        <w:t>.</w:t>
      </w:r>
      <w:r w:rsidR="00EF43F2">
        <w:rPr>
          <w:rFonts w:ascii="Helvetica" w:hAnsi="Helvetica" w:cstheme="majorHAnsi"/>
          <w:lang w:val="en-US"/>
        </w:rPr>
        <w:t xml:space="preserve"> </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5752339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w:t>
      </w:r>
      <w:proofErr w:type="gramStart"/>
      <w:r w:rsidRPr="00CA7AFE">
        <w:rPr>
          <w:rFonts w:ascii="Helvetica" w:hAnsi="Helvetica" w:cstheme="majorHAnsi"/>
          <w:lang w:val="en-US"/>
        </w:rPr>
        <w:t>state)(</w:t>
      </w:r>
      <w:proofErr w:type="gramEnd"/>
      <w:r w:rsidRPr="00CA7AFE">
        <w:rPr>
          <w:rFonts w:ascii="Helvetica" w:hAnsi="Helvetica" w:cstheme="majorHAnsi"/>
          <w:lang w:val="en-US"/>
        </w:rPr>
        <w:t>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BBFF410"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w:t>
      </w:r>
      <w:r w:rsidR="00BD6134">
        <w:rPr>
          <w:rFonts w:ascii="Helvetica" w:hAnsi="Helvetica" w:cstheme="majorHAnsi"/>
          <w:lang w:val="en-US"/>
        </w:rPr>
        <w:t>I</w:t>
      </w:r>
      <w:r w:rsidR="00BD6134" w:rsidRPr="00CA7AFE">
        <w:rPr>
          <w:rFonts w:ascii="Helvetica" w:hAnsi="Helvetica" w:cstheme="majorHAnsi"/>
          <w:lang w:val="en-US"/>
        </w:rPr>
        <w:t xml:space="preserve">f you’re working with pre-transformed data, </w:t>
      </w:r>
      <w:proofErr w:type="gramStart"/>
      <w:r w:rsidR="00BD6134" w:rsidRPr="00CA7AFE">
        <w:rPr>
          <w:rFonts w:ascii="Helvetica" w:hAnsi="Helvetica" w:cstheme="majorHAnsi"/>
          <w:lang w:val="en-US"/>
        </w:rPr>
        <w:t>e.g.</w:t>
      </w:r>
      <w:proofErr w:type="gramEnd"/>
      <w:r w:rsidR="00BD6134" w:rsidRPr="00CA7AFE">
        <w:rPr>
          <w:rFonts w:ascii="Helvetica" w:hAnsi="Helvetica" w:cstheme="majorHAnsi"/>
          <w:lang w:val="en-US"/>
        </w:rPr>
        <w:t xml:space="preserve"> from a previous run</w:t>
      </w:r>
      <w:r w:rsidR="00BD6134">
        <w:rPr>
          <w:rFonts w:ascii="Helvetica" w:hAnsi="Helvetica" w:cstheme="majorHAnsi"/>
          <w:lang w:val="en-US"/>
        </w:rPr>
        <w:t xml:space="preserve">, set the </w:t>
      </w:r>
      <w:r w:rsidRPr="00CA7AFE">
        <w:rPr>
          <w:rFonts w:ascii="Helvetica" w:hAnsi="Helvetica" w:cstheme="majorHAnsi"/>
          <w:lang w:val="en-US"/>
        </w:rPr>
        <w:t xml:space="preserve">transformation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w:t>
      </w:r>
      <w:proofErr w:type="gramStart"/>
      <w:r w:rsidR="00045AA9" w:rsidRPr="00CA7AFE">
        <w:rPr>
          <w:rFonts w:ascii="Helvetica" w:hAnsi="Helvetica" w:cstheme="majorHAnsi"/>
          <w:lang w:val="en-US"/>
        </w:rPr>
        <w:t>i.e.</w:t>
      </w:r>
      <w:proofErr w:type="gramEnd"/>
      <w:r w:rsidR="00045AA9" w:rsidRPr="00CA7AFE">
        <w:rPr>
          <w:rFonts w:ascii="Helvetica" w:hAnsi="Helvetica" w:cstheme="majorHAnsi"/>
          <w:lang w:val="en-US"/>
        </w:rPr>
        <w:t xml:space="preserv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000EF5BC"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parameters</w:t>
      </w:r>
      <w:r w:rsidR="00BD6134">
        <w:rPr>
          <w:rFonts w:ascii="Helvetica" w:hAnsi="Helvetica" w:cstheme="majorHAnsi"/>
          <w:lang w:val="en-US"/>
        </w:rPr>
        <w:t xml:space="preserve"> </w:t>
      </w:r>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 ”</w:t>
      </w:r>
      <w:proofErr w:type="gramEnd"/>
      <w:r w:rsidRPr="00CA7AFE">
        <w:rPr>
          <w:rFonts w:ascii="Helvetica" w:eastAsia="Times New Roman" w:hAnsi="Helvetica" w:cstheme="majorHAnsi"/>
          <w:highlight w:val="lightGray"/>
          <w:lang w:val="en-US" w:eastAsia="nl-NL"/>
        </w:rPr>
        <w:t>$SRC”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58F5DF4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files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5752340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w:t>
      </w:r>
      <w:proofErr w:type="gramStart"/>
      <w:r w:rsidRPr="00CA7AFE">
        <w:rPr>
          <w:rFonts w:ascii="Helvetica" w:hAnsi="Helvetica" w:cstheme="majorHAnsi"/>
          <w:lang w:val="en-US"/>
        </w:rPr>
        <w:t xml:space="preserve">to  </w:t>
      </w:r>
      <w:r w:rsidR="00AF19CC" w:rsidRPr="00CA7AFE">
        <w:rPr>
          <w:rFonts w:ascii="Helvetica" w:eastAsia="Times New Roman" w:hAnsi="Helvetica" w:cstheme="majorHAnsi"/>
          <w:b/>
          <w:bCs/>
          <w:color w:val="0000FF"/>
          <w:highlight w:val="lightGray"/>
          <w:lang w:val="en-US" w:eastAsia="nl-NL"/>
        </w:rPr>
        <w:t>TRUE</w:t>
      </w:r>
      <w:proofErr w:type="gramEnd"/>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xml:space="preserve">” column should contain a unique entry for every sample. When you have technical controls in your </w:t>
      </w:r>
      <w:proofErr w:type="gramStart"/>
      <w:r w:rsidRPr="00CA7AFE">
        <w:rPr>
          <w:rFonts w:ascii="Helvetica" w:hAnsi="Helvetica" w:cstheme="majorHAnsi"/>
          <w:lang w:val="en-US"/>
        </w:rPr>
        <w:t>dataset</w:t>
      </w:r>
      <w:proofErr w:type="gramEnd"/>
      <w:r w:rsidRPr="00CA7AFE">
        <w:rPr>
          <w:rFonts w:ascii="Helvetica" w:hAnsi="Helvetica" w:cstheme="majorHAnsi"/>
          <w:lang w:val="en-US"/>
        </w:rPr>
        <w:t xml:space="preserve">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column. Normal samples can be labeled as “sample”. You can add as many columns as you like with additional information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5752340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760F0D2F" w:rsidR="006F5A04" w:rsidRPr="00CA7AFE" w:rsidRDefault="000A4006" w:rsidP="006F5A04">
      <w:pPr>
        <w:pStyle w:val="Heading3"/>
        <w:rPr>
          <w:rFonts w:ascii="Helvetica" w:hAnsi="Helvetica" w:cstheme="majorHAnsi"/>
          <w:b/>
          <w:bCs/>
          <w:sz w:val="22"/>
          <w:szCs w:val="22"/>
          <w:lang w:val="en-US"/>
        </w:rPr>
      </w:pPr>
      <w:bookmarkStart w:id="12" w:name="_Toc157523402"/>
      <w:r w:rsidRPr="00CA7AFE">
        <w:rPr>
          <w:rFonts w:ascii="Helvetica" w:hAnsi="Helvetica" w:cstheme="majorHAnsi"/>
          <w:b/>
          <w:bCs/>
          <w:sz w:val="22"/>
          <w:szCs w:val="22"/>
          <w:lang w:val="en-US"/>
        </w:rPr>
        <w:lastRenderedPageBreak/>
        <w:t>Chunk 6: preparing files and directions for cross entropy test</w:t>
      </w:r>
      <w:r w:rsidR="00C63455">
        <w:rPr>
          <w:rFonts w:ascii="Helvetica" w:hAnsi="Helvetica" w:cstheme="majorHAnsi"/>
          <w:b/>
          <w:bCs/>
          <w:sz w:val="22"/>
          <w:szCs w:val="22"/>
          <w:lang w:val="en-US"/>
        </w:rPr>
        <w:t xml:space="preserve"> (Controls)</w:t>
      </w:r>
      <w:r w:rsidRPr="00CA7AFE">
        <w:rPr>
          <w:rFonts w:ascii="Helvetica" w:hAnsi="Helvetica" w:cstheme="majorHAnsi"/>
          <w:b/>
          <w:bCs/>
          <w:sz w:val="22"/>
          <w:szCs w:val="22"/>
          <w:lang w:val="en-US"/>
        </w:rPr>
        <w: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 xml:space="preserve">copies the files of interest (either all or a subset) based on a column of the metadata file, renames them by giving a prefix (e.g., all healthy cells get healthy_ as prefix, and all diseased cells diseased_), groups all cells of the different prefixes together and runs the </w:t>
      </w:r>
      <w:proofErr w:type="gramStart"/>
      <w:r w:rsidR="00BB63E2" w:rsidRPr="00CA7AFE">
        <w:rPr>
          <w:rFonts w:ascii="Helvetica" w:hAnsi="Helvetica" w:cstheme="majorHAnsi"/>
          <w:lang w:val="en-US"/>
        </w:rPr>
        <w:t>cross entropy</w:t>
      </w:r>
      <w:proofErr w:type="gramEnd"/>
      <w:r w:rsidR="00BB63E2" w:rsidRPr="00CA7AFE">
        <w:rPr>
          <w:rFonts w:ascii="Helvetica" w:hAnsi="Helvetica" w:cstheme="majorHAnsi"/>
          <w:lang w:val="en-US"/>
        </w:rPr>
        <w:t xml:space="preserve">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c(</w:t>
      </w:r>
      <w:proofErr w:type="gramEnd"/>
      <w:r w:rsidRPr="00CA7AFE">
        <w:rPr>
          <w:rFonts w:ascii="Helvetica" w:eastAsia="Times New Roman" w:hAnsi="Helvetica" w:cstheme="majorHAnsi"/>
          <w:highlight w:val="lightGray"/>
          <w:lang w:val="en-US" w:eastAsia="nl-NL"/>
        </w:rPr>
        <w:t>"CD8",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proofErr w:type="gramStart"/>
      <w:r w:rsidRPr="00CA7AFE">
        <w:rPr>
          <w:rFonts w:ascii="Helvetica" w:hAnsi="Helvetica" w:cstheme="majorHAnsi"/>
          <w:highlight w:val="lightGray"/>
          <w:lang w:val="en-US"/>
        </w:rPr>
        <w:t>fcs.seed</w:t>
      </w:r>
      <w:proofErr w:type="gramEnd"/>
      <w:r w:rsidRPr="00CA7AFE">
        <w:rPr>
          <w:rFonts w:ascii="Helvetica" w:hAnsi="Helvetica" w:cstheme="majorHAnsi"/>
          <w:highlight w:val="lightGray"/>
          <w:lang w:val="en-US"/>
        </w:rPr>
        <w:t>.base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proofErr w:type="gramStart"/>
      <w:r w:rsidRPr="00CA7AFE">
        <w:rPr>
          <w:rFonts w:ascii="Helvetica" w:eastAsia="Times New Roman" w:hAnsi="Helvetica" w:cstheme="majorHAnsi"/>
          <w:highlight w:val="lightGray"/>
          <w:lang w:val="en-US" w:eastAsia="nl-NL"/>
        </w:rPr>
        <w:t>fcs.channel</w:t>
      </w:r>
      <w:proofErr w:type="gramEnd"/>
      <w:r w:rsidRPr="00CA7AFE">
        <w:rPr>
          <w:rFonts w:ascii="Helvetica" w:eastAsia="Times New Roman" w:hAnsi="Helvetica" w:cstheme="majorHAnsi"/>
          <w:highlight w:val="lightGray"/>
          <w:lang w:val="en-US" w:eastAsia="nl-NL"/>
        </w:rPr>
        <w:t>.label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57523403"/>
      <w:r w:rsidRPr="00CA7AFE">
        <w:rPr>
          <w:rFonts w:ascii="Helvetica" w:hAnsi="Helvetica" w:cstheme="majorHAnsi"/>
          <w:b/>
          <w:bCs/>
          <w:sz w:val="22"/>
          <w:szCs w:val="22"/>
          <w:lang w:val="en-US"/>
        </w:rPr>
        <w:lastRenderedPageBreak/>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proofErr w:type="spellStart"/>
      <w:proofErr w:type="gramStart"/>
      <w:r w:rsidRPr="00CA7AFE">
        <w:rPr>
          <w:rFonts w:ascii="Helvetica" w:eastAsia="Times New Roman" w:hAnsi="Helvetica" w:cstheme="majorHAnsi"/>
          <w:color w:val="000000"/>
          <w:highlight w:val="lightGray"/>
          <w:lang w:val="en-US" w:eastAsia="nl-NL"/>
        </w:rPr>
        <w:t>fcs.channel</w:t>
      </w:r>
      <w:proofErr w:type="gramEnd"/>
      <w:r w:rsidRPr="00CA7AFE">
        <w:rPr>
          <w:rFonts w:ascii="Helvetica" w:eastAsia="Times New Roman" w:hAnsi="Helvetica" w:cstheme="majorHAnsi"/>
          <w:color w:val="000000"/>
          <w:highlight w:val="lightGray"/>
          <w:lang w:val="en-US" w:eastAsia="nl-NL"/>
        </w:rPr>
        <w:t>.label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proofErr w:type="gramStart"/>
      <w:r w:rsidRPr="00CA7AFE">
        <w:rPr>
          <w:rFonts w:ascii="Helvetica" w:eastAsia="Times New Roman" w:hAnsi="Helvetica" w:cstheme="majorHAnsi"/>
          <w:color w:val="000000"/>
          <w:highlight w:val="lightGray"/>
          <w:lang w:val="en-US" w:eastAsia="nl-NL"/>
        </w:rPr>
        <w:t>FCS.cluster.n</w:t>
      </w:r>
      <w:proofErr w:type="spellEnd"/>
      <w:proofErr w:type="gram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proofErr w:type="gramStart"/>
      <w:r w:rsidRPr="00CA7AFE">
        <w:rPr>
          <w:rFonts w:ascii="Helvetica" w:hAnsi="Helvetica" w:cstheme="majorHAnsi"/>
          <w:highlight w:val="lightGray"/>
          <w:lang w:val="en-US"/>
        </w:rPr>
        <w:t>fcs.dmrd.data.sample.n.per.condition</w:t>
      </w:r>
      <w:proofErr w:type="spellEnd"/>
      <w:proofErr w:type="gram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w:t>
      </w:r>
      <w:proofErr w:type="gramStart"/>
      <w:r w:rsidR="00FA0D49" w:rsidRPr="00CA7AFE">
        <w:rPr>
          <w:rFonts w:ascii="Helvetica" w:hAnsi="Helvetica" w:cstheme="majorHAnsi"/>
          <w:lang w:val="en-US"/>
        </w:rPr>
        <w:t>Otherwise</w:t>
      </w:r>
      <w:proofErr w:type="gramEnd"/>
      <w:r w:rsidR="00FA0D49" w:rsidRPr="00CA7AFE">
        <w:rPr>
          <w:rFonts w:ascii="Helvetica" w:hAnsi="Helvetica" w:cstheme="majorHAnsi"/>
          <w:lang w:val="en-US"/>
        </w:rPr>
        <w:t xml:space="preserv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5752340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w:t>
      </w:r>
      <w:proofErr w:type="gramStart"/>
      <w:r w:rsidR="00EE7538" w:rsidRPr="00CA7AFE">
        <w:rPr>
          <w:rFonts w:ascii="Helvetica" w:hAnsi="Helvetica" w:cstheme="majorHAnsi"/>
          <w:lang w:val="en-US"/>
        </w:rPr>
        <w:t>c(</w:t>
      </w:r>
      <w:proofErr w:type="gramEnd"/>
      <w:r w:rsidR="00EE7538" w:rsidRPr="00CA7AFE">
        <w:rPr>
          <w:rFonts w:ascii="Helvetica" w:hAnsi="Helvetica" w:cstheme="majorHAnsi"/>
          <w:lang w:val="en-US"/>
        </w:rPr>
        <w:t xml:space="preserve">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8"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5752340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w:t>
      </w:r>
      <w:proofErr w:type="gramStart"/>
      <w:r w:rsidR="00AB5C74" w:rsidRPr="00CA7AFE">
        <w:rPr>
          <w:rFonts w:ascii="Helvetica" w:hAnsi="Helvetica" w:cstheme="majorHAnsi"/>
          <w:lang w:val="en-US"/>
        </w:rPr>
        <w:t>i.e.</w:t>
      </w:r>
      <w:proofErr w:type="gramEnd"/>
      <w:r w:rsidR="00AB5C74" w:rsidRPr="00CA7AFE">
        <w:rPr>
          <w:rFonts w:ascii="Helvetica" w:hAnsi="Helvetica" w:cstheme="majorHAnsi"/>
          <w:lang w:val="en-US"/>
        </w:rPr>
        <w:t xml:space="preserv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w:t>
      </w:r>
      <w:proofErr w:type="gramStart"/>
      <w:r w:rsidRPr="00CA7AFE">
        <w:rPr>
          <w:rFonts w:ascii="Helvetica" w:hAnsi="Helvetica" w:cstheme="majorHAnsi"/>
          <w:lang w:val="en-US"/>
        </w:rPr>
        <w:t xml:space="preserve">before,  </w:t>
      </w:r>
      <w:proofErr w:type="spellStart"/>
      <w:r w:rsidRPr="00CA7AFE">
        <w:rPr>
          <w:rFonts w:ascii="Helvetica" w:hAnsi="Helvetica" w:cstheme="majorHAnsi"/>
          <w:shd w:val="clear" w:color="auto" w:fill="E7E6E6" w:themeFill="background2"/>
          <w:lang w:val="en-US"/>
        </w:rPr>
        <w:t>performCN</w:t>
      </w:r>
      <w:proofErr w:type="spellEnd"/>
      <w:proofErr w:type="gram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5752340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5752340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5752340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5752340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w:t>
      </w:r>
      <w:proofErr w:type="gramStart"/>
      <w:r w:rsidRPr="00CA7AFE">
        <w:rPr>
          <w:rFonts w:ascii="Helvetica" w:hAnsi="Helvetica" w:cstheme="majorHAnsi"/>
          <w:lang w:val="en-US"/>
        </w:rPr>
        <w:t>d”(</w:t>
      </w:r>
      <w:proofErr w:type="gramEnd"/>
      <w:r w:rsidRPr="00CA7AFE">
        <w:rPr>
          <w:rFonts w:ascii="Helvetica" w:hAnsi="Helvetica" w:cstheme="majorHAnsi"/>
          <w:lang w:val="en-US"/>
        </w:rPr>
        <w:t xml:space="preserve">=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5752341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FlowSOM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w:t>
      </w:r>
      <w:proofErr w:type="gramStart"/>
      <w:r w:rsidRPr="00CA7AFE">
        <w:rPr>
          <w:rFonts w:ascii="Helvetica" w:hAnsi="Helvetica" w:cstheme="majorHAnsi"/>
          <w:lang w:val="en-US"/>
        </w:rPr>
        <w:t>c(</w:t>
      </w:r>
      <w:proofErr w:type="gramEnd"/>
      <w:r w:rsidRPr="00CA7AFE">
        <w:rPr>
          <w:rFonts w:ascii="Helvetica" w:hAnsi="Helvetica" w:cstheme="majorHAnsi"/>
          <w:lang w:val="en-US"/>
        </w:rPr>
        <w:t>"UMAP",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4"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xml:space="preserve">) analysis. Recommended </w:t>
      </w:r>
      <w:proofErr w:type="gramStart"/>
      <w:r w:rsidRPr="00CA7AFE">
        <w:rPr>
          <w:rFonts w:ascii="Helvetica" w:hAnsi="Helvetica" w:cstheme="majorHAnsi"/>
          <w:lang w:val="en-US"/>
        </w:rPr>
        <w:t>is</w:t>
      </w:r>
      <w:proofErr w:type="gramEnd"/>
      <w:r w:rsidRPr="00CA7AFE">
        <w:rPr>
          <w:rFonts w:ascii="Helvetica" w:hAnsi="Helvetica" w:cstheme="majorHAnsi"/>
          <w:lang w:val="en-US"/>
        </w:rPr>
        <w:t xml:space="preserve">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5752341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w:t>
      </w:r>
      <w:proofErr w:type="gramStart"/>
      <w:r w:rsidRPr="00CA7AFE">
        <w:rPr>
          <w:rFonts w:ascii="Helvetica" w:hAnsi="Helvetica" w:cstheme="majorHAnsi"/>
          <w:lang w:val="en-US"/>
        </w:rPr>
        <w:t>ran</w:t>
      </w:r>
      <w:proofErr w:type="gramEnd"/>
      <w:r w:rsidRPr="00CA7AFE">
        <w:rPr>
          <w:rFonts w:ascii="Helvetica" w:hAnsi="Helvetica" w:cstheme="majorHAnsi"/>
          <w:lang w:val="en-US"/>
        </w:rPr>
        <w:t xml:space="preserve">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5752341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w:t>
      </w:r>
      <w:proofErr w:type="gramStart"/>
      <w:r w:rsidRPr="00CA7AFE">
        <w:rPr>
          <w:rFonts w:ascii="Helvetica" w:hAnsi="Helvetica" w:cstheme="majorHAnsi"/>
          <w:lang w:val="en-US"/>
        </w:rPr>
        <w:t xml:space="preserve">required  </w:t>
      </w:r>
      <w:r w:rsidR="0020273C" w:rsidRPr="00CA7AFE">
        <w:rPr>
          <w:rFonts w:ascii="Helvetica" w:hAnsi="Helvetica" w:cstheme="majorHAnsi"/>
          <w:lang w:val="en-US"/>
        </w:rPr>
        <w:t>(</w:t>
      </w:r>
      <w:proofErr w:type="gramEnd"/>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w:t>
      </w:r>
      <w:proofErr w:type="gramStart"/>
      <w:r w:rsidRPr="00CA7AFE">
        <w:rPr>
          <w:rFonts w:ascii="Helvetica" w:hAnsi="Helvetica" w:cstheme="majorHAnsi"/>
          <w:lang w:val="en-US"/>
        </w:rPr>
        <w:t>thee</w:t>
      </w:r>
      <w:proofErr w:type="gramEnd"/>
      <w:r w:rsidRPr="00CA7AFE">
        <w:rPr>
          <w:rFonts w:ascii="Helvetica" w:hAnsi="Helvetica" w:cstheme="majorHAnsi"/>
          <w:lang w:val="en-US"/>
        </w:rPr>
        <w:t xml:space="preserv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5752341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5752341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5752341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w:t>
      </w:r>
      <w:r w:rsidRPr="00CA7AFE">
        <w:rPr>
          <w:rFonts w:ascii="Helvetica" w:hAnsi="Helvetica" w:cstheme="majorHAnsi"/>
          <w:lang w:val="en-US"/>
        </w:rPr>
        <w:lastRenderedPageBreak/>
        <w:t xml:space="preserve">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5752341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w:t>
      </w:r>
      <w:proofErr w:type="gramStart"/>
      <w:r w:rsidRPr="00CA7AFE">
        <w:rPr>
          <w:rFonts w:ascii="Helvetica" w:hAnsi="Helvetica" w:cstheme="majorHAnsi"/>
          <w:lang w:val="en-US"/>
        </w:rPr>
        <w:t>you  can</w:t>
      </w:r>
      <w:proofErr w:type="gramEnd"/>
      <w:r w:rsidRPr="00CA7AFE">
        <w:rPr>
          <w:rFonts w:ascii="Helvetica" w:hAnsi="Helvetica" w:cstheme="majorHAnsi"/>
          <w:lang w:val="en-US"/>
        </w:rPr>
        <w:t xml:space="preserve">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w:t>
      </w:r>
      <w:proofErr w:type="gramStart"/>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sce</w:t>
      </w:r>
      <w:proofErr w:type="gramEnd"/>
      <w:r w:rsidRPr="00CA7AFE">
        <w:rPr>
          <w:rFonts w:ascii="Helvetica" w:hAnsi="Helvetica" w:cstheme="majorHAnsi"/>
          <w:highlight w:val="lightGray"/>
          <w:lang w:val="en-US"/>
        </w:rPr>
        <w:t>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w:t>
      </w:r>
      <w:proofErr w:type="gramStart"/>
      <w:r w:rsidRPr="00CA7AFE">
        <w:rPr>
          <w:rFonts w:ascii="Helvetica" w:hAnsi="Helvetica" w:cstheme="majorHAnsi"/>
          <w:lang w:val="en-US"/>
        </w:rPr>
        <w:t>Additionally</w:t>
      </w:r>
      <w:proofErr w:type="gramEnd"/>
      <w:r w:rsidRPr="00CA7AFE">
        <w:rPr>
          <w:rFonts w:ascii="Helvetica" w:hAnsi="Helvetica" w:cstheme="majorHAnsi"/>
          <w:lang w:val="en-US"/>
        </w:rPr>
        <w:t xml:space="preserve"> you can indicate if you want boxplots and/or violin plots for the metacluster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proofErr w:type="gramStart"/>
      <w:r w:rsidRPr="00CA7AFE">
        <w:rPr>
          <w:rFonts w:ascii="Helvetica" w:hAnsi="Helvetica" w:cstheme="majorHAnsi"/>
          <w:lang w:val="en-US"/>
        </w:rPr>
        <w:t>x,y</w:t>
      </w:r>
      <w:proofErr w:type="gramEnd"/>
      <w:r w:rsidRPr="00CA7AFE">
        <w:rPr>
          <w:rFonts w:ascii="Helvetica" w:hAnsi="Helvetica" w:cstheme="majorHAnsi"/>
          <w:lang w:val="en-US"/>
        </w:rPr>
        <w:t>,z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w:t>
      </w:r>
      <w:proofErr w:type="gramStart"/>
      <w:r w:rsidR="00A730CF" w:rsidRPr="00CA7AFE">
        <w:rPr>
          <w:rFonts w:ascii="Helvetica" w:hAnsi="Helvetica" w:cstheme="majorHAnsi"/>
          <w:lang w:val="en-US"/>
        </w:rPr>
        <w:t>So</w:t>
      </w:r>
      <w:proofErr w:type="gramEnd"/>
      <w:r w:rsidR="00A730CF" w:rsidRPr="00CA7AFE">
        <w:rPr>
          <w:rFonts w:ascii="Helvetica" w:hAnsi="Helvetica" w:cstheme="majorHAnsi"/>
          <w:lang w:val="en-US"/>
        </w:rPr>
        <w:t xml:space="preserve">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5752341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Nowicka</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Krieg</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Crowell</w:t>
      </w:r>
      <w:proofErr w:type="spellEnd"/>
      <w:r>
        <w:rPr>
          <w:rFonts w:ascii="Segoe UI" w:hAnsi="Segoe UI" w:cs="Segoe UI"/>
          <w:color w:val="212121"/>
          <w:shd w:val="clear" w:color="auto" w:fill="FFFFFF"/>
        </w:rPr>
        <w:t xml:space="preserve">, H. L., Weber, L. M., </w:t>
      </w:r>
      <w:proofErr w:type="spellStart"/>
      <w:r>
        <w:rPr>
          <w:rFonts w:ascii="Segoe UI" w:hAnsi="Segoe UI" w:cs="Segoe UI"/>
          <w:color w:val="212121"/>
          <w:shd w:val="clear" w:color="auto" w:fill="FFFFFF"/>
        </w:rPr>
        <w:t>Hartmann</w:t>
      </w:r>
      <w:proofErr w:type="spellEnd"/>
      <w:r>
        <w:rPr>
          <w:rFonts w:ascii="Segoe UI" w:hAnsi="Segoe UI" w:cs="Segoe UI"/>
          <w:color w:val="212121"/>
          <w:shd w:val="clear" w:color="auto" w:fill="FFFFFF"/>
        </w:rPr>
        <w:t xml:space="preserve">, F. J., </w:t>
      </w:r>
      <w:proofErr w:type="spellStart"/>
      <w:r>
        <w:rPr>
          <w:rFonts w:ascii="Segoe UI" w:hAnsi="Segoe UI" w:cs="Segoe UI"/>
          <w:color w:val="212121"/>
          <w:shd w:val="clear" w:color="auto" w:fill="FFFFFF"/>
        </w:rPr>
        <w:t>Guglietta</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Becher</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Levesque</w:t>
      </w:r>
      <w:proofErr w:type="spellEnd"/>
      <w:r>
        <w:rPr>
          <w:rFonts w:ascii="Segoe UI" w:hAnsi="Segoe UI" w:cs="Segoe UI"/>
          <w:color w:val="212121"/>
          <w:shd w:val="clear" w:color="auto" w:fill="FFFFFF"/>
        </w:rPr>
        <w:t xml:space="preserve">, M. P., &amp; Robinson, M. D. (2017). </w:t>
      </w:r>
      <w:proofErr w:type="spellStart"/>
      <w:r>
        <w:rPr>
          <w:rFonts w:ascii="Segoe UI" w:hAnsi="Segoe UI" w:cs="Segoe UI"/>
          <w:color w:val="212121"/>
          <w:shd w:val="clear" w:color="auto" w:fill="FFFFFF"/>
        </w:rPr>
        <w:t>CyTOF</w:t>
      </w:r>
      <w:proofErr w:type="spellEnd"/>
      <w:r>
        <w:rPr>
          <w:rFonts w:ascii="Segoe UI" w:hAnsi="Segoe UI" w:cs="Segoe UI"/>
          <w:color w:val="212121"/>
          <w:shd w:val="clear" w:color="auto" w:fill="FFFFFF"/>
        </w:rPr>
        <w:t xml:space="preserve"> workflow: </w:t>
      </w:r>
      <w:proofErr w:type="spellStart"/>
      <w:r>
        <w:rPr>
          <w:rFonts w:ascii="Segoe UI" w:hAnsi="Segoe UI" w:cs="Segoe UI"/>
          <w:color w:val="212121"/>
          <w:shd w:val="clear" w:color="auto" w:fill="FFFFFF"/>
        </w:rPr>
        <w:t>differential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discovery</w:t>
      </w:r>
      <w:proofErr w:type="spellEnd"/>
      <w:r>
        <w:rPr>
          <w:rFonts w:ascii="Segoe UI" w:hAnsi="Segoe UI" w:cs="Segoe UI"/>
          <w:color w:val="212121"/>
          <w:shd w:val="clear" w:color="auto" w:fill="FFFFFF"/>
        </w:rPr>
        <w:t xml:space="preserve"> in high-</w:t>
      </w:r>
      <w:proofErr w:type="spellStart"/>
      <w:r>
        <w:rPr>
          <w:rFonts w:ascii="Segoe UI" w:hAnsi="Segoe UI" w:cs="Segoe UI"/>
          <w:color w:val="212121"/>
          <w:shd w:val="clear" w:color="auto" w:fill="FFFFFF"/>
        </w:rPr>
        <w:t>throughput</w:t>
      </w:r>
      <w:proofErr w:type="spellEnd"/>
      <w:r>
        <w:rPr>
          <w:rFonts w:ascii="Segoe UI" w:hAnsi="Segoe UI" w:cs="Segoe UI"/>
          <w:color w:val="212121"/>
          <w:shd w:val="clear" w:color="auto" w:fill="FFFFFF"/>
        </w:rPr>
        <w:t xml:space="preserve">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Ashhurst</w:t>
      </w:r>
      <w:proofErr w:type="spellEnd"/>
      <w:r>
        <w:rPr>
          <w:rFonts w:ascii="Segoe UI" w:hAnsi="Segoe UI" w:cs="Segoe UI"/>
          <w:color w:val="212121"/>
          <w:shd w:val="clear" w:color="auto" w:fill="FFFFFF"/>
        </w:rPr>
        <w:t xml:space="preserve">, T. M., </w:t>
      </w:r>
      <w:proofErr w:type="spellStart"/>
      <w:r>
        <w:rPr>
          <w:rFonts w:ascii="Segoe UI" w:hAnsi="Segoe UI" w:cs="Segoe UI"/>
          <w:color w:val="212121"/>
          <w:shd w:val="clear" w:color="auto" w:fill="FFFFFF"/>
        </w:rPr>
        <w:t>Marsh</w:t>
      </w:r>
      <w:proofErr w:type="spellEnd"/>
      <w:r>
        <w:rPr>
          <w:rFonts w:ascii="Segoe UI" w:hAnsi="Segoe UI" w:cs="Segoe UI"/>
          <w:color w:val="212121"/>
          <w:shd w:val="clear" w:color="auto" w:fill="FFFFFF"/>
        </w:rPr>
        <w:t xml:space="preserve">-Wakefield, F., </w:t>
      </w:r>
      <w:proofErr w:type="spellStart"/>
      <w:r>
        <w:rPr>
          <w:rFonts w:ascii="Segoe UI" w:hAnsi="Segoe UI" w:cs="Segoe UI"/>
          <w:color w:val="212121"/>
          <w:shd w:val="clear" w:color="auto" w:fill="FFFFFF"/>
        </w:rPr>
        <w:t>Putri</w:t>
      </w:r>
      <w:proofErr w:type="spellEnd"/>
      <w:r>
        <w:rPr>
          <w:rFonts w:ascii="Segoe UI" w:hAnsi="Segoe UI" w:cs="Segoe UI"/>
          <w:color w:val="212121"/>
          <w:shd w:val="clear" w:color="auto" w:fill="FFFFFF"/>
        </w:rPr>
        <w:t xml:space="preserve">, G. H., </w:t>
      </w:r>
      <w:proofErr w:type="spellStart"/>
      <w:r>
        <w:rPr>
          <w:rFonts w:ascii="Segoe UI" w:hAnsi="Segoe UI" w:cs="Segoe UI"/>
          <w:color w:val="212121"/>
          <w:shd w:val="clear" w:color="auto" w:fill="FFFFFF"/>
        </w:rPr>
        <w:t>Spiteri</w:t>
      </w:r>
      <w:proofErr w:type="spellEnd"/>
      <w:r>
        <w:rPr>
          <w:rFonts w:ascii="Segoe UI" w:hAnsi="Segoe UI" w:cs="Segoe UI"/>
          <w:color w:val="212121"/>
          <w:shd w:val="clear" w:color="auto" w:fill="FFFFFF"/>
        </w:rPr>
        <w:t xml:space="preserve">, A. G., </w:t>
      </w:r>
      <w:proofErr w:type="spellStart"/>
      <w:r>
        <w:rPr>
          <w:rFonts w:ascii="Segoe UI" w:hAnsi="Segoe UI" w:cs="Segoe UI"/>
          <w:color w:val="212121"/>
          <w:shd w:val="clear" w:color="auto" w:fill="FFFFFF"/>
        </w:rPr>
        <w:t>Shinko</w:t>
      </w:r>
      <w:proofErr w:type="spellEnd"/>
      <w:r>
        <w:rPr>
          <w:rFonts w:ascii="Segoe UI" w:hAnsi="Segoe UI" w:cs="Segoe UI"/>
          <w:color w:val="212121"/>
          <w:shd w:val="clear" w:color="auto" w:fill="FFFFFF"/>
        </w:rPr>
        <w:t xml:space="preserve">, D., Read, M. N., Smith, A. L., &amp; King, N. J. C. (2022). Integration, </w:t>
      </w:r>
      <w:proofErr w:type="spellStart"/>
      <w:r>
        <w:rPr>
          <w:rFonts w:ascii="Segoe UI" w:hAnsi="Segoe UI" w:cs="Segoe UI"/>
          <w:color w:val="212121"/>
          <w:shd w:val="clear" w:color="auto" w:fill="FFFFFF"/>
        </w:rPr>
        <w:t>exploration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analysis of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single-</w:t>
      </w:r>
      <w:proofErr w:type="spellStart"/>
      <w:r>
        <w:rPr>
          <w:rFonts w:ascii="Segoe UI" w:hAnsi="Segoe UI" w:cs="Segoe UI"/>
          <w:color w:val="212121"/>
          <w:shd w:val="clear" w:color="auto" w:fill="FFFFFF"/>
        </w:rPr>
        <w:t>cell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color w:val="212121"/>
          <w:shd w:val="clear" w:color="auto" w:fill="FFFFFF"/>
        </w:rPr>
        <w:t>using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Spectre</w:t>
      </w:r>
      <w:proofErr w:type="spellEnd"/>
      <w:r>
        <w:rPr>
          <w:rFonts w:ascii="Segoe UI" w:hAnsi="Segoe UI" w:cs="Segoe UI"/>
          <w:color w:val="212121"/>
          <w:shd w:val="clear" w:color="auto" w:fill="FFFFFF"/>
        </w:rPr>
        <w:t>.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Pr>
          <w:rFonts w:ascii="Segoe UI" w:hAnsi="Segoe UI" w:cs="Segoe UI"/>
          <w:color w:val="212121"/>
          <w:shd w:val="clear" w:color="auto" w:fill="FFFFFF"/>
        </w:rPr>
        <w:t>PeacoQC</w:t>
      </w:r>
      <w:proofErr w:type="spellEnd"/>
      <w:r>
        <w:rPr>
          <w:rFonts w:ascii="Segoe UI" w:hAnsi="Segoe UI" w:cs="Segoe UI"/>
          <w:color w:val="212121"/>
          <w:shd w:val="clear" w:color="auto" w:fill="FFFFFF"/>
        </w:rPr>
        <w:t>: Peak-</w:t>
      </w:r>
      <w:proofErr w:type="spellStart"/>
      <w:r>
        <w:rPr>
          <w:rFonts w:ascii="Segoe UI" w:hAnsi="Segoe UI" w:cs="Segoe UI"/>
          <w:color w:val="212121"/>
          <w:shd w:val="clear" w:color="auto" w:fill="FFFFFF"/>
        </w:rPr>
        <w:t>based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selection</w:t>
      </w:r>
      <w:proofErr w:type="spellEnd"/>
      <w:r>
        <w:rPr>
          <w:rFonts w:ascii="Segoe UI" w:hAnsi="Segoe UI" w:cs="Segoe UI"/>
          <w:color w:val="212121"/>
          <w:shd w:val="clear" w:color="auto" w:fill="FFFFFF"/>
        </w:rPr>
        <w:t xml:space="preserve"> of high </w:t>
      </w:r>
      <w:proofErr w:type="spellStart"/>
      <w:r>
        <w:rPr>
          <w:rFonts w:ascii="Segoe UI" w:hAnsi="Segoe UI" w:cs="Segoe UI"/>
          <w:color w:val="212121"/>
          <w:shd w:val="clear" w:color="auto" w:fill="FFFFFF"/>
        </w:rPr>
        <w:t>quality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 xml:space="preserve">Van Gassen, S., </w:t>
      </w:r>
      <w:proofErr w:type="spellStart"/>
      <w:r>
        <w:rPr>
          <w:rFonts w:ascii="Open Sans" w:hAnsi="Open Sans" w:cs="Open Sans"/>
          <w:color w:val="1C1D1E"/>
          <w:sz w:val="21"/>
          <w:szCs w:val="21"/>
        </w:rPr>
        <w:t>Gaudilliere</w:t>
      </w:r>
      <w:proofErr w:type="spellEnd"/>
      <w:r>
        <w:rPr>
          <w:rFonts w:ascii="Open Sans" w:hAnsi="Open Sans" w:cs="Open Sans"/>
          <w:color w:val="1C1D1E"/>
          <w:sz w:val="21"/>
          <w:szCs w:val="21"/>
        </w:rPr>
        <w:t xml:space="preserve">, B., Angst, M.S., </w:t>
      </w:r>
      <w:proofErr w:type="spellStart"/>
      <w:r>
        <w:rPr>
          <w:rFonts w:ascii="Open Sans" w:hAnsi="Open Sans" w:cs="Open Sans"/>
          <w:color w:val="1C1D1E"/>
          <w:sz w:val="21"/>
          <w:szCs w:val="21"/>
        </w:rPr>
        <w:t>Saeys</w:t>
      </w:r>
      <w:proofErr w:type="spellEnd"/>
      <w:r>
        <w:rPr>
          <w:rFonts w:ascii="Open Sans" w:hAnsi="Open Sans" w:cs="Open Sans"/>
          <w:color w:val="1C1D1E"/>
          <w:sz w:val="21"/>
          <w:szCs w:val="21"/>
        </w:rPr>
        <w:t xml:space="preserve">, Y. </w:t>
      </w:r>
      <w:proofErr w:type="spellStart"/>
      <w:r>
        <w:rPr>
          <w:rFonts w:ascii="Open Sans" w:hAnsi="Open Sans" w:cs="Open Sans"/>
          <w:color w:val="1C1D1E"/>
          <w:sz w:val="21"/>
          <w:szCs w:val="21"/>
        </w:rPr>
        <w:t>and</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Aghaeepour</w:t>
      </w:r>
      <w:proofErr w:type="spellEnd"/>
      <w:r>
        <w:rPr>
          <w:rFonts w:ascii="Open Sans" w:hAnsi="Open Sans" w:cs="Open Sans"/>
          <w:color w:val="1C1D1E"/>
          <w:sz w:val="21"/>
          <w:szCs w:val="21"/>
        </w:rPr>
        <w:t xml:space="preserve">, N. (2020), </w:t>
      </w:r>
      <w:proofErr w:type="spellStart"/>
      <w:r>
        <w:rPr>
          <w:rFonts w:ascii="Open Sans" w:hAnsi="Open Sans" w:cs="Open Sans"/>
          <w:color w:val="1C1D1E"/>
          <w:sz w:val="21"/>
          <w:szCs w:val="21"/>
        </w:rPr>
        <w:t>CytoNorm</w:t>
      </w:r>
      <w:proofErr w:type="spellEnd"/>
      <w:r>
        <w:rPr>
          <w:rFonts w:ascii="Open Sans" w:hAnsi="Open Sans" w:cs="Open Sans"/>
          <w:color w:val="1C1D1E"/>
          <w:sz w:val="21"/>
          <w:szCs w:val="21"/>
        </w:rPr>
        <w:t xml:space="preserve">: A </w:t>
      </w:r>
      <w:proofErr w:type="spellStart"/>
      <w:r>
        <w:rPr>
          <w:rFonts w:ascii="Open Sans" w:hAnsi="Open Sans" w:cs="Open Sans"/>
          <w:color w:val="1C1D1E"/>
          <w:sz w:val="21"/>
          <w:szCs w:val="21"/>
        </w:rPr>
        <w:t>Normalization</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Algorithm</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for</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xml:space="preserve">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FlowSOM: Using </w:t>
      </w:r>
      <w:proofErr w:type="spellStart"/>
      <w:r>
        <w:rPr>
          <w:rFonts w:ascii="Segoe UI" w:hAnsi="Segoe UI" w:cs="Segoe UI"/>
          <w:color w:val="212121"/>
          <w:shd w:val="clear" w:color="auto" w:fill="FFFFFF"/>
        </w:rPr>
        <w:t>self-organizing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maps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for</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visualization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interpretation</w:t>
      </w:r>
      <w:proofErr w:type="spellEnd"/>
      <w:r>
        <w:rPr>
          <w:rFonts w:ascii="Segoe UI" w:hAnsi="Segoe UI" w:cs="Segoe UI"/>
          <w:color w:val="212121"/>
          <w:shd w:val="clear" w:color="auto" w:fill="FFFFFF"/>
        </w:rPr>
        <w:t xml:space="preserve"> of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 xml:space="preserve">Roca, C. P., Burton, O. T., Neumann, J., Tareen, S., Whyte, C. E., </w:t>
      </w:r>
      <w:proofErr w:type="spellStart"/>
      <w:r>
        <w:rPr>
          <w:rFonts w:ascii="Segoe UI" w:hAnsi="Segoe UI" w:cs="Segoe UI"/>
          <w:color w:val="212121"/>
          <w:shd w:val="clear" w:color="auto" w:fill="FFFFFF"/>
          <w:lang w:val="en-US"/>
        </w:rPr>
        <w:t>Gergelits</w:t>
      </w:r>
      <w:proofErr w:type="spellEnd"/>
      <w:r>
        <w:rPr>
          <w:rFonts w:ascii="Segoe UI" w:hAnsi="Segoe UI" w:cs="Segoe UI"/>
          <w:color w:val="212121"/>
          <w:shd w:val="clear" w:color="auto" w:fill="FFFFFF"/>
          <w:lang w:val="en-US"/>
        </w:rPr>
        <w:t xml:space="preserve">, V., </w:t>
      </w:r>
      <w:proofErr w:type="spellStart"/>
      <w:r>
        <w:rPr>
          <w:rFonts w:ascii="Segoe UI" w:hAnsi="Segoe UI" w:cs="Segoe UI"/>
          <w:color w:val="212121"/>
          <w:shd w:val="clear" w:color="auto" w:fill="FFFFFF"/>
          <w:lang w:val="en-US"/>
        </w:rPr>
        <w:t>Veiga</w:t>
      </w:r>
      <w:proofErr w:type="spellEnd"/>
      <w:r>
        <w:rPr>
          <w:rFonts w:ascii="Segoe UI" w:hAnsi="Segoe UI" w:cs="Segoe UI"/>
          <w:color w:val="212121"/>
          <w:shd w:val="clear" w:color="auto" w:fill="FFFFFF"/>
          <w:lang w:val="en-US"/>
        </w:rPr>
        <w:t xml:space="preserve">, R. V., </w:t>
      </w:r>
      <w:proofErr w:type="spellStart"/>
      <w:r>
        <w:rPr>
          <w:rFonts w:ascii="Segoe UI" w:hAnsi="Segoe UI" w:cs="Segoe UI"/>
          <w:color w:val="212121"/>
          <w:shd w:val="clear" w:color="auto" w:fill="FFFFFF"/>
          <w:lang w:val="en-US"/>
        </w:rPr>
        <w:t>Humblet</w:t>
      </w:r>
      <w:proofErr w:type="spellEnd"/>
      <w:r>
        <w:rPr>
          <w:rFonts w:ascii="Segoe UI" w:hAnsi="Segoe UI" w:cs="Segoe UI"/>
          <w:color w:val="212121"/>
          <w:shd w:val="clear" w:color="auto" w:fill="FFFFFF"/>
          <w:lang w:val="en-US"/>
        </w:rPr>
        <w:t>-Baron, S., &amp; Liston, A. (2023). 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E1AD" w14:textId="77777777" w:rsidR="002B199D" w:rsidRDefault="002B199D" w:rsidP="00272213">
      <w:pPr>
        <w:spacing w:after="0" w:line="240" w:lineRule="auto"/>
      </w:pPr>
      <w:r>
        <w:separator/>
      </w:r>
    </w:p>
  </w:endnote>
  <w:endnote w:type="continuationSeparator" w:id="0">
    <w:p w14:paraId="7A43E5B0" w14:textId="77777777" w:rsidR="002B199D" w:rsidRDefault="002B199D"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9394" w14:textId="77777777" w:rsidR="002B199D" w:rsidRDefault="002B199D" w:rsidP="00272213">
      <w:pPr>
        <w:spacing w:after="0" w:line="240" w:lineRule="auto"/>
      </w:pPr>
      <w:r>
        <w:separator/>
      </w:r>
    </w:p>
  </w:footnote>
  <w:footnote w:type="continuationSeparator" w:id="0">
    <w:p w14:paraId="4D75EA2F" w14:textId="77777777" w:rsidR="002B199D" w:rsidRDefault="002B199D"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CCE6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07C8"/>
    <w:rsid w:val="00003783"/>
    <w:rsid w:val="00011327"/>
    <w:rsid w:val="00022C0D"/>
    <w:rsid w:val="0003519E"/>
    <w:rsid w:val="00045AA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0E84"/>
    <w:rsid w:val="001161EB"/>
    <w:rsid w:val="00125019"/>
    <w:rsid w:val="00143F7B"/>
    <w:rsid w:val="001671C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95673"/>
    <w:rsid w:val="002A5BC9"/>
    <w:rsid w:val="002B199D"/>
    <w:rsid w:val="002C5300"/>
    <w:rsid w:val="002E592D"/>
    <w:rsid w:val="002E775F"/>
    <w:rsid w:val="00302872"/>
    <w:rsid w:val="00307F63"/>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B24F9"/>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4258B"/>
    <w:rsid w:val="00853359"/>
    <w:rsid w:val="00854EF7"/>
    <w:rsid w:val="00856EB5"/>
    <w:rsid w:val="008724A8"/>
    <w:rsid w:val="00882F82"/>
    <w:rsid w:val="00887875"/>
    <w:rsid w:val="00897F04"/>
    <w:rsid w:val="008A7D4A"/>
    <w:rsid w:val="008B60C0"/>
    <w:rsid w:val="008C4EBD"/>
    <w:rsid w:val="008C517F"/>
    <w:rsid w:val="008D2619"/>
    <w:rsid w:val="008F17DF"/>
    <w:rsid w:val="008F3B7D"/>
    <w:rsid w:val="008F4740"/>
    <w:rsid w:val="00900703"/>
    <w:rsid w:val="009066D3"/>
    <w:rsid w:val="00927512"/>
    <w:rsid w:val="0094150D"/>
    <w:rsid w:val="00946467"/>
    <w:rsid w:val="00963948"/>
    <w:rsid w:val="009713E8"/>
    <w:rsid w:val="00982F4A"/>
    <w:rsid w:val="00985D2B"/>
    <w:rsid w:val="009A0A81"/>
    <w:rsid w:val="009A45B4"/>
    <w:rsid w:val="009B02F6"/>
    <w:rsid w:val="009B2960"/>
    <w:rsid w:val="009B3C64"/>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C5F08"/>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134"/>
    <w:rsid w:val="00BD64E3"/>
    <w:rsid w:val="00BE47D5"/>
    <w:rsid w:val="00BE52B1"/>
    <w:rsid w:val="00C10457"/>
    <w:rsid w:val="00C120EE"/>
    <w:rsid w:val="00C12741"/>
    <w:rsid w:val="00C1473E"/>
    <w:rsid w:val="00C32497"/>
    <w:rsid w:val="00C35C05"/>
    <w:rsid w:val="00C57000"/>
    <w:rsid w:val="00C63455"/>
    <w:rsid w:val="00C823A0"/>
    <w:rsid w:val="00C86DA7"/>
    <w:rsid w:val="00CA20DF"/>
    <w:rsid w:val="00CA7AFE"/>
    <w:rsid w:val="00CB6145"/>
    <w:rsid w:val="00CD28E3"/>
    <w:rsid w:val="00CE0F32"/>
    <w:rsid w:val="00D00714"/>
    <w:rsid w:val="00D0641E"/>
    <w:rsid w:val="00D10503"/>
    <w:rsid w:val="00D10D99"/>
    <w:rsid w:val="00D20B8F"/>
    <w:rsid w:val="00D2760F"/>
    <w:rsid w:val="00D428B9"/>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EF43F2"/>
    <w:rsid w:val="00F00CD2"/>
    <w:rsid w:val="00F15D9E"/>
    <w:rsid w:val="00F3225D"/>
    <w:rsid w:val="00F351F5"/>
    <w:rsid w:val="00F4148D"/>
    <w:rsid w:val="00F51DAB"/>
    <w:rsid w:val="00F60972"/>
    <w:rsid w:val="00F6591C"/>
    <w:rsid w:val="00F75CE0"/>
    <w:rsid w:val="00F80C3A"/>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7491</Words>
  <Characters>42700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10</cp:revision>
  <dcterms:created xsi:type="dcterms:W3CDTF">2024-02-06T08:07:00Z</dcterms:created>
  <dcterms:modified xsi:type="dcterms:W3CDTF">2024-03-21T06:45:00Z</dcterms:modified>
</cp:coreProperties>
</file>