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8459" w14:textId="18A1C31E" w:rsidR="00792FBB" w:rsidRDefault="00792FBB">
      <w:r>
        <w:fldChar w:fldCharType="begin"/>
      </w:r>
      <w:r w:rsidR="002C27ED">
        <w:instrText xml:space="preserve"> ADDIN ZOTERO_ITEM CSL_CITATION {"citationID":"ikabgDB9","properties":{"formattedCitation":"(Cevirgel et al., 2022)","plainCitation":"(Cevirgel et al., 2022)","noteIndex":0},"citationItems":[{"id":109,"uris":["http://zotero.org/users/8582949/items/NQQEA5JQ"],"itemData":{"id":109,"type":"article-journal","abstract":"Immunosenescence describes immune dysfunction observed in older individuals. To identify individuals at-risk for immune dysfunction, it is crucial to understand the diverse immune phenotypes and their intrinsic functional capabilities. We investigated immune cell subsets and variation in the aging population. We observed that inter-individual immune variation was associated with age and cytomegalovirus seropositivity. Based on the similarities of immune subset composition among individuals, we identified nine immunotypes that displayed different aging-associated immune signatures, which explained inter-individual variation better than age. Additionally, we correlated the immune subset composition of individuals over approximately a year as a measure of stability of immune parameters. Immune stability was significantly lower in immunotypes that contained aging-associated immune subsets and correlated with a circulating CD38 + CD4+ T follicular helper cell increase 7 days after influenza vaccination. In conclusion, immune stability is a feature of immunotypes and could be a potential indicator of post-vaccination cellular kinetics.© 2022 The Authors. Aging Cell published by Anatomical Society and John Wiley &amp; Sons Ltd.","container-title":"Aging cell","DOI":"10.1111/acel.13703","note":"DOI: 10.1111/acel.13703\nPMID: 36081314","title":"Identification of aging-associated immunotypes and immune stability as indicators of post-vaccination immune activation.","author":[{"family":"Cevirgel","given":"A"},{"family":"Shetty","given":"SA"},{"family":"Vos","given":"M"},{"family":"Nanlohy","given":"NM"},{"family":"Beckers","given":"L"},{"family":"Bijvank","given":"E"},{"family":"Rots","given":"N"},{"family":"Van","given":"J Beek"},{"family":"Buisman","given":"AM"},{"family":"Van","given":"D Baarle"}],"issued":{"date-parts":[["2022"]]}}}],"schema":"https://github.com/citation-style-language/schema/raw/master/csl-citation.json"} </w:instrText>
      </w:r>
      <w:r>
        <w:fldChar w:fldCharType="separate"/>
      </w:r>
      <w:r w:rsidR="002C27ED">
        <w:rPr>
          <w:noProof/>
        </w:rPr>
        <w:t>(Cevirgel et al., 2022)</w:t>
      </w:r>
      <w:r>
        <w:fldChar w:fldCharType="end"/>
      </w:r>
    </w:p>
    <w:p w14:paraId="71CB0123" w14:textId="13F794E0" w:rsidR="00792FBB" w:rsidRDefault="00792FBB"/>
    <w:p w14:paraId="3ED77589" w14:textId="229A0422" w:rsidR="00792FBB" w:rsidRDefault="00792FBB" w:rsidP="00792FBB">
      <w:r>
        <w:fldChar w:fldCharType="begin"/>
      </w:r>
      <w:r w:rsidR="002C27ED">
        <w:instrText xml:space="preserve"> ADDIN ZOTERO_ITEM CSL_CITATION {"citationID":"FCSoQSav","properties":{"formattedCitation":"(Kaaijk et al., 2022)","plainCitation":"(Kaaijk et al., 2022)","noteIndex":0},"citationItems":[{"id":122,"uris":["http://zotero.org/users/8582949/items/NCW4K3WZ"],"itemData":{"id":122,"type":"article-journal","abstract":"Background Severe acute respiratory syndrome coronavirus-2 (SARS-CoV-2) has led to considerable morbidity/mortality worldwide, but most infections, especially among children, have a mild course. However, it remains largely unknown whether infected children develop cellular immune memory. Methods To determine whether a memory T cell response is being developed, we performed a longitudinal assessment of the SARS-CoV-2-specific T cell response by IFN-γ ELISPOT and activation marker analyses of peripheral blood samples from unvaccinated children and adults with mild-to-moderate COVID-19. Results Upon stimulation of PBMCs with heat-inactivated SARS-CoV-2 or overlapping peptides of spike (S-SARS-CoV-2) and nucleocapsid proteins, we found S-SARS-CoV-2-specific IFN-γ T cell responses in infected children (83%) and adults (100%) that were absent in unexposed controls. Frequencies of SARS-CoV-2-specific T cells were higher in infected adults, especially in those with moderate symptoms, compared to infected children. The S-SARS-CoV-2 IFN-γ T cell response correlated with S1-SARS-CoV-2-specific serum antibody concentrations. Predominantly, effector memory CD4 + T cells of a Th1 phenotype were activated upon exposure to SARS-CoV-2 antigens. Frequencies of SARS-CoV-2-specific T cells were significantly reduced at 10 months after symptom onset, while S1-SARS-CoV-2-specific IgG concentrations were still detectable in 90% of all children and adults. Conclusions Our data indicate that an antigen-specific T cell and antibody response is developed after mild SARS-CoV-2 infection in children and adults. It remains to be elucidated to what extent this SARS-CoV-2-specific response can contribute to an effective recall response after reinfection.","container-title":"Frontiers in Immunology","DOI":"10.3389/fimmu.2022.817876","note":"DOI: 10.3389/fimmu.2022.817876\nMAG ID: 4210458119\nPMCID: 8858984\nPMID: 35197982\nS2ID: 9378350acd3dad573d787aeacc2a5f490fdaecc4","title":"Children and Adults With Mild COVID-19: Dynamics of the Memory T Cell Response up to 10 Months","volume":"13","author":[{"family":"Kaaijk","given":"Patricia"},{"family":"Pimentel","given":"Verónica Olivo"},{"family":"Emmelot","given":"Maarten E."},{"family":"Poelen","given":"Martien"},{"family":"Cevirgel","given":"Alper"},{"family":"Schepp","given":"Rutger M."},{"family":"Hartog","given":"Gerco","dropping-particle":"den"},{"family":"Reukers","given":"Daphne F M"},{"family":"Beckers","given":"Lisa"},{"family":"Beek","given":"Josine","non-dropping-particle":"van"},{"family":"Els","given":"Cécile A. C. M.","dropping-particle":"van"},{"family":"Meijer","given":"Adam"},{"family":"Rots","given":"Nynke Y."},{"family":"Wit","given":"Jelle","dropping-particle":"de"}],"issued":{"date-parts":[["2022",2,7]]}}}],"schema":"https://github.com/citation-style-language/schema/raw/master/csl-citation.json"} </w:instrText>
      </w:r>
      <w:r>
        <w:fldChar w:fldCharType="separate"/>
      </w:r>
      <w:r w:rsidR="002C27ED">
        <w:rPr>
          <w:noProof/>
        </w:rPr>
        <w:t>(Kaaijk et al., 2022)</w:t>
      </w:r>
      <w:r>
        <w:fldChar w:fldCharType="end"/>
      </w:r>
    </w:p>
    <w:p w14:paraId="1C172447" w14:textId="6AC4D605" w:rsidR="00792FBB" w:rsidRDefault="00792FBB"/>
    <w:p w14:paraId="1C536213" w14:textId="072AF38D" w:rsidR="00792FBB" w:rsidRDefault="00792FBB">
      <w:r>
        <w:fldChar w:fldCharType="begin"/>
      </w:r>
      <w:r w:rsidR="002C27ED">
        <w:instrText xml:space="preserve"> ADDIN ZOTERO_ITEM CSL_CITATION {"citationID":"bOZ5f7tr","properties":{"formattedCitation":"(van der Schoot et al., 2019)","plainCitation":"(van der Schoot et al., 2019)","noteIndex":0},"citationItems":[{"id":124,"uris":["http://zotero.org/users/8582949/items/J5RWWICK"],"itemData":{"id":124,"type":"article-journal","abstract":"Hybridoma technology is instrumental for the development of novel antibody therapeutics and diagnostics. Recent preclinical and clinical studies highlight the importance of antibody isotype for therapeutic efficacy. However, since the sequence encoding the constant domains is fixed, tuning antibody function in hybridomas has been restricted. Here, we demonstrate a versatile CRISPR/HDR platform to rapidly engineer the constant immunoglobulin domains to obtain recombinant hybridomas, which secrete antibodies in the preferred format, species, and isotype. Using this platform, we obtained recombinant hybridomas secreting Fab′ fragments, isotype-switched chimeric antibodies, and Fc-silent mutants. These antibody products are stable, retain their antigen specificity, and display their intrinsic Fc-effector functions in vitro and in vivo. Furthermore, we can site-specifically attach cargo to these antibody products via chemoenzymatic modification. We believe that this versatile platform facilitates antibody engineering for the entire scientific community, empowering preclinical antibody research.","container-title":"Science Advances","DOI":"10.1126/sciadv.aaw1822","issue":"8","note":"DOI: 10.1126/sciadv.aaw1822\nMAG ID: 2970436629\nPMCID: 6713500\nPMID: 31489367\nS2ID: 78ad7e7ea1dbed10f29b95d87f6285730466bf54","title":"Functional diversification of hybridoma-produced antibodies by CRISPR/HDR genomic engineering.","volume":"5","author":[{"family":"Schoot","given":"Johan M.S.","non-dropping-particle":"van der"},{"family":"Fennemann","given":"Felix L."},{"literal":"Michael Valente"},{"family":"Valente","given":"Michael"},{"family":"Dolen","given":"Yusuf"},{"family":"Hagemans","given":"Iris M."},{"family":"Becker","given":"Anouk M. D."},{"family":"Le Gall","given":"Camille M."},{"family":"Dalen","given":"Duco","non-dropping-particle":"van"},{"family":"Cevirgel","given":"Alper"},{"family":"Bruggen","given":"J. Armando C.","non-dropping-particle":"van"},{"family":"Engelfriet","given":"Melanie"},{"literal":"Melanie Engelfriet"},{"family":"Čaval","given":"Tomislav"},{"family":"Bentlage","given":"Arthur E. H."},{"family":"Fransen","given":"Marieke F."},{"family":"Nederend","given":"Maaike"},{"family":"Leusen","given":"Jeanette H. W."},{"family":"Heck","given":"Albert J. R."},{"family":"Vidarsson","given":"Gestur"},{"family":"Vidarsson","given":"Gestur"},{"family":"Figdor","given":"Carl G."},{"family":"Verdoes","given":"Martijn"},{"family":"Scheeren","given":"Ferenc A."}],"issued":{"date-parts":[["2019",8,1]]}}}],"schema":"https://github.com/citation-style-language/schema/raw/master/csl-citation.json"} </w:instrText>
      </w:r>
      <w:r>
        <w:fldChar w:fldCharType="separate"/>
      </w:r>
      <w:r w:rsidR="002C27ED">
        <w:rPr>
          <w:noProof/>
        </w:rPr>
        <w:t>(van der Schoot et al., 2019)</w:t>
      </w:r>
      <w:r>
        <w:fldChar w:fldCharType="end"/>
      </w:r>
    </w:p>
    <w:p w14:paraId="3768595B" w14:textId="3938D39F" w:rsidR="00792FBB" w:rsidRDefault="00792FBB"/>
    <w:p w14:paraId="78EC4A3D" w14:textId="77777777" w:rsidR="002C27ED" w:rsidRPr="002C27ED" w:rsidRDefault="00792FBB" w:rsidP="002C27ED">
      <w:pPr>
        <w:pStyle w:val="Bibliography"/>
        <w:rPr>
          <w:rFonts w:ascii="Calibri" w:cs="Calibri"/>
          <w:lang w:val="en-GB"/>
        </w:rPr>
      </w:pPr>
      <w:r>
        <w:fldChar w:fldCharType="begin"/>
      </w:r>
      <w:r w:rsidR="002C27ED">
        <w:instrText xml:space="preserve"> ADDIN ZOTERO_BIBL {"uncited":[],"omitted":[],"custom":[]} CSL_BIBLIOGRAPHY </w:instrText>
      </w:r>
      <w:r>
        <w:fldChar w:fldCharType="separate"/>
      </w:r>
      <w:proofErr w:type="spellStart"/>
      <w:r w:rsidR="002C27ED" w:rsidRPr="002C27ED">
        <w:rPr>
          <w:rFonts w:ascii="Calibri" w:cs="Calibri"/>
          <w:lang w:val="en-GB"/>
        </w:rPr>
        <w:t>Cevirgel</w:t>
      </w:r>
      <w:proofErr w:type="spellEnd"/>
      <w:r w:rsidR="002C27ED" w:rsidRPr="002C27ED">
        <w:rPr>
          <w:rFonts w:ascii="Calibri" w:cs="Calibri"/>
          <w:lang w:val="en-GB"/>
        </w:rPr>
        <w:t xml:space="preserve">, A., Shetty, S., Vos, M., </w:t>
      </w:r>
      <w:proofErr w:type="spellStart"/>
      <w:r w:rsidR="002C27ED" w:rsidRPr="002C27ED">
        <w:rPr>
          <w:rFonts w:ascii="Calibri" w:cs="Calibri"/>
          <w:lang w:val="en-GB"/>
        </w:rPr>
        <w:t>Nanlohy</w:t>
      </w:r>
      <w:proofErr w:type="spellEnd"/>
      <w:r w:rsidR="002C27ED" w:rsidRPr="002C27ED">
        <w:rPr>
          <w:rFonts w:ascii="Calibri" w:cs="Calibri"/>
          <w:lang w:val="en-GB"/>
        </w:rPr>
        <w:t xml:space="preserve">, N., Beckers, L., </w:t>
      </w:r>
      <w:proofErr w:type="spellStart"/>
      <w:r w:rsidR="002C27ED" w:rsidRPr="002C27ED">
        <w:rPr>
          <w:rFonts w:ascii="Calibri" w:cs="Calibri"/>
          <w:lang w:val="en-GB"/>
        </w:rPr>
        <w:t>Bijvank</w:t>
      </w:r>
      <w:proofErr w:type="spellEnd"/>
      <w:r w:rsidR="002C27ED" w:rsidRPr="002C27ED">
        <w:rPr>
          <w:rFonts w:ascii="Calibri" w:cs="Calibri"/>
          <w:lang w:val="en-GB"/>
        </w:rPr>
        <w:t xml:space="preserve">, E., Rots, N., Van, J. B., Buisman, A., &amp; Van, D. B. (2022). Identification of aging-associated immunotypes and immune stability as indicators of post-vaccination immune activation. </w:t>
      </w:r>
      <w:r w:rsidR="002C27ED" w:rsidRPr="002C27ED">
        <w:rPr>
          <w:rFonts w:ascii="Calibri" w:cs="Calibri"/>
          <w:i/>
          <w:iCs/>
          <w:lang w:val="en-GB"/>
        </w:rPr>
        <w:t>Aging Cell</w:t>
      </w:r>
      <w:r w:rsidR="002C27ED" w:rsidRPr="002C27ED">
        <w:rPr>
          <w:rFonts w:ascii="Calibri" w:cs="Calibri"/>
          <w:lang w:val="en-GB"/>
        </w:rPr>
        <w:t>. https://doi.org/10.1111/acel.13703</w:t>
      </w:r>
    </w:p>
    <w:p w14:paraId="1BE8F7FB" w14:textId="77777777" w:rsidR="002C27ED" w:rsidRPr="002C27ED" w:rsidRDefault="002C27ED" w:rsidP="002C27ED">
      <w:pPr>
        <w:pStyle w:val="Bibliography"/>
        <w:rPr>
          <w:rFonts w:ascii="Calibri" w:cs="Calibri"/>
          <w:lang w:val="en-GB"/>
        </w:rPr>
      </w:pPr>
      <w:proofErr w:type="spellStart"/>
      <w:r w:rsidRPr="002C27ED">
        <w:rPr>
          <w:rFonts w:ascii="Calibri" w:cs="Calibri"/>
          <w:lang w:val="en-GB"/>
        </w:rPr>
        <w:t>Kaaijk</w:t>
      </w:r>
      <w:proofErr w:type="spellEnd"/>
      <w:r w:rsidRPr="002C27ED">
        <w:rPr>
          <w:rFonts w:ascii="Calibri" w:cs="Calibri"/>
          <w:lang w:val="en-GB"/>
        </w:rPr>
        <w:t xml:space="preserve">, P., Pimentel, V. O., </w:t>
      </w:r>
      <w:proofErr w:type="spellStart"/>
      <w:r w:rsidRPr="002C27ED">
        <w:rPr>
          <w:rFonts w:ascii="Calibri" w:cs="Calibri"/>
          <w:lang w:val="en-GB"/>
        </w:rPr>
        <w:t>Emmelot</w:t>
      </w:r>
      <w:proofErr w:type="spellEnd"/>
      <w:r w:rsidRPr="002C27ED">
        <w:rPr>
          <w:rFonts w:ascii="Calibri" w:cs="Calibri"/>
          <w:lang w:val="en-GB"/>
        </w:rPr>
        <w:t xml:space="preserve">, M. E., </w:t>
      </w:r>
      <w:proofErr w:type="spellStart"/>
      <w:r w:rsidRPr="002C27ED">
        <w:rPr>
          <w:rFonts w:ascii="Calibri" w:cs="Calibri"/>
          <w:lang w:val="en-GB"/>
        </w:rPr>
        <w:t>Poelen</w:t>
      </w:r>
      <w:proofErr w:type="spellEnd"/>
      <w:r w:rsidRPr="002C27ED">
        <w:rPr>
          <w:rFonts w:ascii="Calibri" w:cs="Calibri"/>
          <w:lang w:val="en-GB"/>
        </w:rPr>
        <w:t xml:space="preserve">, M., </w:t>
      </w:r>
      <w:proofErr w:type="spellStart"/>
      <w:r w:rsidRPr="002C27ED">
        <w:rPr>
          <w:rFonts w:ascii="Calibri" w:cs="Calibri"/>
          <w:lang w:val="en-GB"/>
        </w:rPr>
        <w:t>Cevirgel</w:t>
      </w:r>
      <w:proofErr w:type="spellEnd"/>
      <w:r w:rsidRPr="002C27ED">
        <w:rPr>
          <w:rFonts w:ascii="Calibri" w:cs="Calibri"/>
          <w:lang w:val="en-GB"/>
        </w:rPr>
        <w:t xml:space="preserve">, A., </w:t>
      </w:r>
      <w:proofErr w:type="spellStart"/>
      <w:r w:rsidRPr="002C27ED">
        <w:rPr>
          <w:rFonts w:ascii="Calibri" w:cs="Calibri"/>
          <w:lang w:val="en-GB"/>
        </w:rPr>
        <w:t>Schepp</w:t>
      </w:r>
      <w:proofErr w:type="spellEnd"/>
      <w:r w:rsidRPr="002C27ED">
        <w:rPr>
          <w:rFonts w:ascii="Calibri" w:cs="Calibri"/>
          <w:lang w:val="en-GB"/>
        </w:rPr>
        <w:t xml:space="preserve">, R. M., Hartog, G. den, </w:t>
      </w:r>
      <w:proofErr w:type="spellStart"/>
      <w:r w:rsidRPr="002C27ED">
        <w:rPr>
          <w:rFonts w:ascii="Calibri" w:cs="Calibri"/>
          <w:lang w:val="en-GB"/>
        </w:rPr>
        <w:t>Reukers</w:t>
      </w:r>
      <w:proofErr w:type="spellEnd"/>
      <w:r w:rsidRPr="002C27ED">
        <w:rPr>
          <w:rFonts w:ascii="Calibri" w:cs="Calibri"/>
          <w:lang w:val="en-GB"/>
        </w:rPr>
        <w:t xml:space="preserve">, D. F. M., Beckers, L., van Beek, J., Els, C. A. C. M. van, Meijer, A., Rots, N. Y., &amp; Wit, J. de. (2022). Children and Adults </w:t>
      </w:r>
      <w:proofErr w:type="gramStart"/>
      <w:r w:rsidRPr="002C27ED">
        <w:rPr>
          <w:rFonts w:ascii="Calibri" w:cs="Calibri"/>
          <w:lang w:val="en-GB"/>
        </w:rPr>
        <w:t>With</w:t>
      </w:r>
      <w:proofErr w:type="gramEnd"/>
      <w:r w:rsidRPr="002C27ED">
        <w:rPr>
          <w:rFonts w:ascii="Calibri" w:cs="Calibri"/>
          <w:lang w:val="en-GB"/>
        </w:rPr>
        <w:t xml:space="preserve"> Mild COVID-19: Dynamics of the Memory T Cell Response up to 10 Months. </w:t>
      </w:r>
      <w:r w:rsidRPr="002C27ED">
        <w:rPr>
          <w:rFonts w:ascii="Calibri" w:cs="Calibri"/>
          <w:i/>
          <w:iCs/>
          <w:lang w:val="en-GB"/>
        </w:rPr>
        <w:t>Frontiers in Immunology</w:t>
      </w:r>
      <w:r w:rsidRPr="002C27ED">
        <w:rPr>
          <w:rFonts w:ascii="Calibri" w:cs="Calibri"/>
          <w:lang w:val="en-GB"/>
        </w:rPr>
        <w:t xml:space="preserve">, </w:t>
      </w:r>
      <w:r w:rsidRPr="002C27ED">
        <w:rPr>
          <w:rFonts w:ascii="Calibri" w:cs="Calibri"/>
          <w:i/>
          <w:iCs/>
          <w:lang w:val="en-GB"/>
        </w:rPr>
        <w:t>13</w:t>
      </w:r>
      <w:r w:rsidRPr="002C27ED">
        <w:rPr>
          <w:rFonts w:ascii="Calibri" w:cs="Calibri"/>
          <w:lang w:val="en-GB"/>
        </w:rPr>
        <w:t>. https://doi.org/10.3389/fimmu.2022.817876</w:t>
      </w:r>
    </w:p>
    <w:p w14:paraId="537E085D" w14:textId="77777777" w:rsidR="002C27ED" w:rsidRPr="002C27ED" w:rsidRDefault="002C27ED" w:rsidP="002C27ED">
      <w:pPr>
        <w:pStyle w:val="Bibliography"/>
        <w:rPr>
          <w:rFonts w:ascii="Calibri" w:cs="Calibri"/>
          <w:lang w:val="en-GB"/>
        </w:rPr>
      </w:pPr>
      <w:r w:rsidRPr="002C27ED">
        <w:rPr>
          <w:rFonts w:ascii="Calibri" w:cs="Calibri"/>
          <w:lang w:val="en-GB"/>
        </w:rPr>
        <w:t xml:space="preserve">van der </w:t>
      </w:r>
      <w:proofErr w:type="spellStart"/>
      <w:r w:rsidRPr="002C27ED">
        <w:rPr>
          <w:rFonts w:ascii="Calibri" w:cs="Calibri"/>
          <w:lang w:val="en-GB"/>
        </w:rPr>
        <w:t>Schoot</w:t>
      </w:r>
      <w:proofErr w:type="spellEnd"/>
      <w:r w:rsidRPr="002C27ED">
        <w:rPr>
          <w:rFonts w:ascii="Calibri" w:cs="Calibri"/>
          <w:lang w:val="en-GB"/>
        </w:rPr>
        <w:t xml:space="preserve">, J. M. S., </w:t>
      </w:r>
      <w:proofErr w:type="spellStart"/>
      <w:r w:rsidRPr="002C27ED">
        <w:rPr>
          <w:rFonts w:ascii="Calibri" w:cs="Calibri"/>
          <w:lang w:val="en-GB"/>
        </w:rPr>
        <w:t>Fennemann</w:t>
      </w:r>
      <w:proofErr w:type="spellEnd"/>
      <w:r w:rsidRPr="002C27ED">
        <w:rPr>
          <w:rFonts w:ascii="Calibri" w:cs="Calibri"/>
          <w:lang w:val="en-GB"/>
        </w:rPr>
        <w:t xml:space="preserve">, F. L., Michael Valente, Valente, M., </w:t>
      </w:r>
      <w:proofErr w:type="spellStart"/>
      <w:r w:rsidRPr="002C27ED">
        <w:rPr>
          <w:rFonts w:ascii="Calibri" w:cs="Calibri"/>
          <w:lang w:val="en-GB"/>
        </w:rPr>
        <w:t>Dolen</w:t>
      </w:r>
      <w:proofErr w:type="spellEnd"/>
      <w:r w:rsidRPr="002C27ED">
        <w:rPr>
          <w:rFonts w:ascii="Calibri" w:cs="Calibri"/>
          <w:lang w:val="en-GB"/>
        </w:rPr>
        <w:t xml:space="preserve">, Y., </w:t>
      </w:r>
      <w:proofErr w:type="spellStart"/>
      <w:r w:rsidRPr="002C27ED">
        <w:rPr>
          <w:rFonts w:ascii="Calibri" w:cs="Calibri"/>
          <w:lang w:val="en-GB"/>
        </w:rPr>
        <w:t>Hagemans</w:t>
      </w:r>
      <w:proofErr w:type="spellEnd"/>
      <w:r w:rsidRPr="002C27ED">
        <w:rPr>
          <w:rFonts w:ascii="Calibri" w:cs="Calibri"/>
          <w:lang w:val="en-GB"/>
        </w:rPr>
        <w:t xml:space="preserve">, I. M., Becker, A. M. D., Le Gall, C. M., van Dalen, D., </w:t>
      </w:r>
      <w:proofErr w:type="spellStart"/>
      <w:r w:rsidRPr="002C27ED">
        <w:rPr>
          <w:rFonts w:ascii="Calibri" w:cs="Calibri"/>
          <w:lang w:val="en-GB"/>
        </w:rPr>
        <w:t>Cevirgel</w:t>
      </w:r>
      <w:proofErr w:type="spellEnd"/>
      <w:r w:rsidRPr="002C27ED">
        <w:rPr>
          <w:rFonts w:ascii="Calibri" w:cs="Calibri"/>
          <w:lang w:val="en-GB"/>
        </w:rPr>
        <w:t xml:space="preserve">, A., van </w:t>
      </w:r>
      <w:proofErr w:type="spellStart"/>
      <w:r w:rsidRPr="002C27ED">
        <w:rPr>
          <w:rFonts w:ascii="Calibri" w:cs="Calibri"/>
          <w:lang w:val="en-GB"/>
        </w:rPr>
        <w:t>Bruggen</w:t>
      </w:r>
      <w:proofErr w:type="spellEnd"/>
      <w:r w:rsidRPr="002C27ED">
        <w:rPr>
          <w:rFonts w:ascii="Calibri" w:cs="Calibri"/>
          <w:lang w:val="en-GB"/>
        </w:rPr>
        <w:t xml:space="preserve">, J. A. C., </w:t>
      </w:r>
      <w:proofErr w:type="spellStart"/>
      <w:r w:rsidRPr="002C27ED">
        <w:rPr>
          <w:rFonts w:ascii="Calibri" w:cs="Calibri"/>
          <w:lang w:val="en-GB"/>
        </w:rPr>
        <w:t>Engelfriet</w:t>
      </w:r>
      <w:proofErr w:type="spellEnd"/>
      <w:r w:rsidRPr="002C27ED">
        <w:rPr>
          <w:rFonts w:ascii="Calibri" w:cs="Calibri"/>
          <w:lang w:val="en-GB"/>
        </w:rPr>
        <w:t xml:space="preserve">, M., Melanie </w:t>
      </w:r>
      <w:proofErr w:type="spellStart"/>
      <w:r w:rsidRPr="002C27ED">
        <w:rPr>
          <w:rFonts w:ascii="Calibri" w:cs="Calibri"/>
          <w:lang w:val="en-GB"/>
        </w:rPr>
        <w:t>Engelfriet</w:t>
      </w:r>
      <w:proofErr w:type="spellEnd"/>
      <w:r w:rsidRPr="002C27ED">
        <w:rPr>
          <w:rFonts w:ascii="Calibri" w:cs="Calibri"/>
          <w:lang w:val="en-GB"/>
        </w:rPr>
        <w:t xml:space="preserve">, </w:t>
      </w:r>
      <w:proofErr w:type="spellStart"/>
      <w:r w:rsidRPr="002C27ED">
        <w:rPr>
          <w:rFonts w:ascii="Calibri" w:cs="Calibri"/>
          <w:lang w:val="en-GB"/>
        </w:rPr>
        <w:t>Čaval</w:t>
      </w:r>
      <w:proofErr w:type="spellEnd"/>
      <w:r w:rsidRPr="002C27ED">
        <w:rPr>
          <w:rFonts w:ascii="Calibri" w:cs="Calibri"/>
          <w:lang w:val="en-GB"/>
        </w:rPr>
        <w:t xml:space="preserve">, T., </w:t>
      </w:r>
      <w:proofErr w:type="spellStart"/>
      <w:r w:rsidRPr="002C27ED">
        <w:rPr>
          <w:rFonts w:ascii="Calibri" w:cs="Calibri"/>
          <w:lang w:val="en-GB"/>
        </w:rPr>
        <w:t>Bentlage</w:t>
      </w:r>
      <w:proofErr w:type="spellEnd"/>
      <w:r w:rsidRPr="002C27ED">
        <w:rPr>
          <w:rFonts w:ascii="Calibri" w:cs="Calibri"/>
          <w:lang w:val="en-GB"/>
        </w:rPr>
        <w:t xml:space="preserve">, A. E. H., </w:t>
      </w:r>
      <w:proofErr w:type="spellStart"/>
      <w:r w:rsidRPr="002C27ED">
        <w:rPr>
          <w:rFonts w:ascii="Calibri" w:cs="Calibri"/>
          <w:lang w:val="en-GB"/>
        </w:rPr>
        <w:t>Fransen</w:t>
      </w:r>
      <w:proofErr w:type="spellEnd"/>
      <w:r w:rsidRPr="002C27ED">
        <w:rPr>
          <w:rFonts w:ascii="Calibri" w:cs="Calibri"/>
          <w:lang w:val="en-GB"/>
        </w:rPr>
        <w:t xml:space="preserve">, M. F., </w:t>
      </w:r>
      <w:proofErr w:type="spellStart"/>
      <w:r w:rsidRPr="002C27ED">
        <w:rPr>
          <w:rFonts w:ascii="Calibri" w:cs="Calibri"/>
          <w:lang w:val="en-GB"/>
        </w:rPr>
        <w:t>Nederend</w:t>
      </w:r>
      <w:proofErr w:type="spellEnd"/>
      <w:r w:rsidRPr="002C27ED">
        <w:rPr>
          <w:rFonts w:ascii="Calibri" w:cs="Calibri"/>
          <w:lang w:val="en-GB"/>
        </w:rPr>
        <w:t xml:space="preserve">, M., </w:t>
      </w:r>
      <w:proofErr w:type="spellStart"/>
      <w:r w:rsidRPr="002C27ED">
        <w:rPr>
          <w:rFonts w:ascii="Calibri" w:cs="Calibri"/>
          <w:lang w:val="en-GB"/>
        </w:rPr>
        <w:t>Leusen</w:t>
      </w:r>
      <w:proofErr w:type="spellEnd"/>
      <w:r w:rsidRPr="002C27ED">
        <w:rPr>
          <w:rFonts w:ascii="Calibri" w:cs="Calibri"/>
          <w:lang w:val="en-GB"/>
        </w:rPr>
        <w:t xml:space="preserve">, J. H. W., Heck, A. J. R., … </w:t>
      </w:r>
      <w:proofErr w:type="spellStart"/>
      <w:r w:rsidRPr="002C27ED">
        <w:rPr>
          <w:rFonts w:ascii="Calibri" w:cs="Calibri"/>
          <w:lang w:val="en-GB"/>
        </w:rPr>
        <w:t>Scheeren</w:t>
      </w:r>
      <w:proofErr w:type="spellEnd"/>
      <w:r w:rsidRPr="002C27ED">
        <w:rPr>
          <w:rFonts w:ascii="Calibri" w:cs="Calibri"/>
          <w:lang w:val="en-GB"/>
        </w:rPr>
        <w:t xml:space="preserve">, F. A. (2019). Functional diversification of hybridoma-produced antibodies by CRISPR/HDR genomic engineering. </w:t>
      </w:r>
      <w:r w:rsidRPr="002C27ED">
        <w:rPr>
          <w:rFonts w:ascii="Calibri" w:cs="Calibri"/>
          <w:i/>
          <w:iCs/>
          <w:lang w:val="en-GB"/>
        </w:rPr>
        <w:t>Science Advances</w:t>
      </w:r>
      <w:r w:rsidRPr="002C27ED">
        <w:rPr>
          <w:rFonts w:ascii="Calibri" w:cs="Calibri"/>
          <w:lang w:val="en-GB"/>
        </w:rPr>
        <w:t xml:space="preserve">, </w:t>
      </w:r>
      <w:r w:rsidRPr="002C27ED">
        <w:rPr>
          <w:rFonts w:ascii="Calibri" w:cs="Calibri"/>
          <w:i/>
          <w:iCs/>
          <w:lang w:val="en-GB"/>
        </w:rPr>
        <w:t>5</w:t>
      </w:r>
      <w:r w:rsidRPr="002C27ED">
        <w:rPr>
          <w:rFonts w:ascii="Calibri" w:cs="Calibri"/>
          <w:lang w:val="en-GB"/>
        </w:rPr>
        <w:t>(8). https://doi.org/10.1126/sciadv.aaw1822</w:t>
      </w:r>
    </w:p>
    <w:p w14:paraId="541B5340" w14:textId="7E64465F" w:rsidR="00792FBB" w:rsidRDefault="00792FBB">
      <w:r>
        <w:fldChar w:fldCharType="end"/>
      </w:r>
    </w:p>
    <w:sectPr w:rsidR="00792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BB"/>
    <w:rsid w:val="002C27ED"/>
    <w:rsid w:val="004A5508"/>
    <w:rsid w:val="00792F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5CAE64F"/>
  <w15:chartTrackingRefBased/>
  <w15:docId w15:val="{6A5E98B2-3CDF-DE46-BA61-5C7CC531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92FBB"/>
    <w:pPr>
      <w:tabs>
        <w:tab w:val="left" w:pos="260"/>
      </w:tabs>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Çevirgel</dc:creator>
  <cp:keywords/>
  <dc:description/>
  <cp:lastModifiedBy>Alper Çevirgel</cp:lastModifiedBy>
  <cp:revision>1</cp:revision>
  <dcterms:created xsi:type="dcterms:W3CDTF">2023-01-16T14:01:00Z</dcterms:created>
  <dcterms:modified xsi:type="dcterms:W3CDTF">2023-01-16T15:04:00Z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id="4YlTRDfW"/&gt;&lt;style id="http://www.zotero.org/styles/apa" locale="en-US" hasBibliography="1" bibliographyStyleHasBeenSet="1"/&gt;&lt;prefs&gt;&lt;pref name="fieldType" value="Field"/&gt;&lt;/prefs&gt;&lt;/data&gt;</vt:lpwstr>
  </property>
  <property fmtid="{D5CDD505-2E9C-101B-9397-08002B2CF9AE}" pid="3" name="ZOTERO_PREF_2">
    <vt:lpwstr/>
  </property>
</Properties>
</file>