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340B" w:rsidRDefault="00E604E7">
      <w:pPr>
        <w:spacing w:before="240" w:after="240"/>
        <w:jc w:val="both"/>
        <w:rPr>
          <w:rFonts w:ascii="Calibri" w:eastAsia="Calibri" w:hAnsi="Calibri" w:cs="Calibri"/>
          <w:color w:val="1B1C1D"/>
          <w:sz w:val="24"/>
          <w:szCs w:val="24"/>
        </w:rPr>
      </w:pPr>
      <w:r>
        <w:rPr>
          <w:rFonts w:ascii="Calibri" w:eastAsia="Calibri" w:hAnsi="Calibri" w:cs="Calibri"/>
          <w:color w:val="1B1C1D"/>
          <w:sz w:val="24"/>
          <w:szCs w:val="24"/>
        </w:rPr>
        <w:t>Ofício MPC/PB - PROGE n. 002/2026                             João Pessoa (PB), 6 de março de 2026.</w:t>
      </w:r>
    </w:p>
    <w:p w:rsidR="00EC340B" w:rsidRDefault="00EC34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1B1C1D"/>
          <w:sz w:val="24"/>
          <w:szCs w:val="24"/>
        </w:rPr>
      </w:pPr>
    </w:p>
    <w:p w:rsidR="00EC340B" w:rsidRDefault="00E604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1B1C1D"/>
          <w:sz w:val="24"/>
          <w:szCs w:val="24"/>
        </w:rPr>
      </w:pPr>
      <w:r>
        <w:rPr>
          <w:rFonts w:ascii="Calibri" w:eastAsia="Calibri" w:hAnsi="Calibri" w:cs="Calibri"/>
          <w:color w:val="1B1C1D"/>
          <w:sz w:val="24"/>
          <w:szCs w:val="24"/>
        </w:rPr>
        <w:t>Excelentíssimo Senhor</w:t>
      </w:r>
    </w:p>
    <w:p w:rsidR="00EC340B" w:rsidRDefault="00E604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1B1C1D"/>
          <w:sz w:val="24"/>
          <w:szCs w:val="24"/>
        </w:rPr>
      </w:pPr>
      <w:r>
        <w:rPr>
          <w:rFonts w:ascii="Calibri" w:eastAsia="Calibri" w:hAnsi="Calibri" w:cs="Calibri"/>
          <w:color w:val="1B1C1D"/>
          <w:sz w:val="24"/>
          <w:szCs w:val="24"/>
        </w:rPr>
        <w:t xml:space="preserve">José Wilson Santiago Filho </w:t>
      </w:r>
    </w:p>
    <w:p w:rsidR="00EC340B" w:rsidRDefault="00E604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1B1C1D"/>
          <w:sz w:val="24"/>
          <w:szCs w:val="24"/>
        </w:rPr>
      </w:pPr>
      <w:r>
        <w:rPr>
          <w:rFonts w:ascii="Calibri" w:eastAsia="Calibri" w:hAnsi="Calibri" w:cs="Calibri"/>
          <w:color w:val="1B1C1D"/>
          <w:sz w:val="24"/>
          <w:szCs w:val="24"/>
        </w:rPr>
        <w:t>Secretaria de Estado da Educação da Paraíba – SEE PB</w:t>
      </w:r>
    </w:p>
    <w:p w:rsidR="00EC340B" w:rsidRDefault="00E604E7">
      <w:pPr>
        <w:jc w:val="both"/>
        <w:rPr>
          <w:rFonts w:ascii="Calibri" w:eastAsia="Calibri" w:hAnsi="Calibri" w:cs="Calibri"/>
          <w:color w:val="1B1C1D"/>
          <w:sz w:val="24"/>
          <w:szCs w:val="24"/>
        </w:rPr>
      </w:pPr>
      <w:r>
        <w:rPr>
          <w:rFonts w:ascii="Calibri" w:eastAsia="Calibri" w:hAnsi="Calibri" w:cs="Calibri"/>
          <w:color w:val="1B1C1D"/>
          <w:sz w:val="24"/>
          <w:szCs w:val="24"/>
        </w:rPr>
        <w:t>Rua João da Mata, nº 818, Jaguaribe</w:t>
      </w:r>
    </w:p>
    <w:p w:rsidR="00EC340B" w:rsidRDefault="00E604E7">
      <w:pPr>
        <w:jc w:val="both"/>
        <w:rPr>
          <w:rFonts w:ascii="Calibri" w:eastAsia="Calibri" w:hAnsi="Calibri" w:cs="Calibri"/>
          <w:color w:val="1B1C1D"/>
          <w:sz w:val="24"/>
          <w:szCs w:val="24"/>
        </w:rPr>
      </w:pPr>
      <w:r>
        <w:rPr>
          <w:rFonts w:ascii="Calibri" w:eastAsia="Calibri" w:hAnsi="Calibri" w:cs="Calibri"/>
          <w:color w:val="1B1C1D"/>
          <w:sz w:val="24"/>
          <w:szCs w:val="24"/>
        </w:rPr>
        <w:t>58.015-020, João Pessoa (PB)</w:t>
      </w:r>
    </w:p>
    <w:p w:rsidR="00EC340B" w:rsidRDefault="00EC34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7F6000"/>
          <w:sz w:val="24"/>
          <w:szCs w:val="24"/>
        </w:rPr>
      </w:pPr>
    </w:p>
    <w:p w:rsidR="00EC340B" w:rsidRDefault="00EC34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7F6000"/>
          <w:sz w:val="24"/>
          <w:szCs w:val="24"/>
        </w:rPr>
      </w:pPr>
    </w:p>
    <w:p w:rsidR="00EC340B" w:rsidRDefault="00E604E7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Assunto: </w:t>
      </w:r>
      <w:r>
        <w:rPr>
          <w:rFonts w:ascii="Calibri" w:eastAsia="Calibri" w:hAnsi="Calibri" w:cs="Calibri"/>
          <w:sz w:val="24"/>
          <w:szCs w:val="24"/>
        </w:rPr>
        <w:t>Requisição de informações sobre a implementação de políticas de educação preventiva à violência contra a mulher na rede estadual de ensino.</w:t>
      </w:r>
    </w:p>
    <w:p w:rsidR="00EC340B" w:rsidRDefault="00EC34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:rsidR="00EC340B" w:rsidRDefault="00E604E7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Senhor Secretário,</w:t>
      </w:r>
    </w:p>
    <w:p w:rsidR="00EC340B" w:rsidRDefault="00E604E7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Ao cumprimentar Vossa Excelência, registro que este Ministério Público de Contas acompanha com extrema preocupação o cenário de gravidade e a persistência da violência contra a mulher em suas múltiplas manifestações, conforme dados estatísticos e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fatos amp</w:t>
      </w:r>
      <w:r>
        <w:rPr>
          <w:rFonts w:ascii="Calibri" w:eastAsia="Calibri" w:hAnsi="Calibri" w:cs="Calibri"/>
          <w:sz w:val="24"/>
          <w:szCs w:val="24"/>
        </w:rPr>
        <w:t xml:space="preserve">lamente documentados por veículos de comunicação de alcance nacional, a exemplo do programa Fantástico da Rede Globo e portais de notícias locais. </w:t>
      </w:r>
    </w:p>
    <w:p w:rsidR="00EC340B" w:rsidRDefault="00E604E7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jc w:val="both"/>
        <w:rPr>
          <w:rFonts w:ascii="Calibri" w:eastAsia="Calibri" w:hAnsi="Calibri" w:cs="Calibri"/>
          <w:color w:val="FF0000"/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t>O Anuário Brasileiro de Segurança Pública (2025) confirma, no âmbito do território nacional, o agravamento d</w:t>
      </w:r>
      <w:r>
        <w:rPr>
          <w:rFonts w:ascii="Calibri" w:eastAsia="Calibri" w:hAnsi="Calibri" w:cs="Calibri"/>
          <w:sz w:val="24"/>
          <w:szCs w:val="24"/>
        </w:rPr>
        <w:t xml:space="preserve">essa realidade ao registrar que a proporção de </w:t>
      </w:r>
      <w:proofErr w:type="spellStart"/>
      <w:r>
        <w:rPr>
          <w:rFonts w:ascii="Calibri" w:eastAsia="Calibri" w:hAnsi="Calibri" w:cs="Calibri"/>
          <w:sz w:val="24"/>
          <w:szCs w:val="24"/>
        </w:rPr>
        <w:t>feminicídios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em relação aos homicídios de mulheres no país saltou de </w:t>
      </w:r>
      <w:r>
        <w:rPr>
          <w:rFonts w:ascii="Calibri" w:eastAsia="Calibri" w:hAnsi="Calibri" w:cs="Calibri"/>
          <w:b/>
          <w:bCs/>
          <w:sz w:val="24"/>
          <w:szCs w:val="24"/>
        </w:rPr>
        <w:t>37,5% em 2023 para 40,3% em 2024</w:t>
      </w:r>
      <w:r>
        <w:rPr>
          <w:rFonts w:ascii="Calibri" w:eastAsia="Calibri" w:hAnsi="Calibri" w:cs="Calibri"/>
          <w:sz w:val="24"/>
          <w:szCs w:val="24"/>
        </w:rPr>
        <w:t xml:space="preserve"> (pág. 135), sinalizando as limitações das estratégias de enfrentamento </w:t>
      </w:r>
      <w:proofErr w:type="gramStart"/>
      <w:r>
        <w:rPr>
          <w:rFonts w:ascii="Calibri" w:eastAsia="Calibri" w:hAnsi="Calibri" w:cs="Calibri"/>
          <w:sz w:val="24"/>
          <w:szCs w:val="24"/>
        </w:rPr>
        <w:t>vigentes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 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a necessidade de uma int</w:t>
      </w:r>
      <w:r>
        <w:rPr>
          <w:rFonts w:ascii="Calibri" w:eastAsia="Calibri" w:hAnsi="Calibri" w:cs="Calibri"/>
          <w:sz w:val="24"/>
          <w:szCs w:val="24"/>
        </w:rPr>
        <w:t xml:space="preserve">ervenção educativa transversal </w:t>
      </w:r>
      <w:r>
        <w:rPr>
          <w:rFonts w:ascii="Calibri" w:eastAsia="Calibri" w:hAnsi="Calibri" w:cs="Calibri"/>
          <w:b/>
          <w:bCs/>
          <w:sz w:val="24"/>
          <w:szCs w:val="24"/>
        </w:rPr>
        <w:t>que atue na raiz cultural do problema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EC340B" w:rsidRDefault="00E604E7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No Estado da Paraíba, o referido documento registra indicadores alarmantes que exigem resposta estatal imediata: um </w:t>
      </w:r>
      <w:r>
        <w:rPr>
          <w:rFonts w:ascii="Calibri" w:eastAsia="Calibri" w:hAnsi="Calibri" w:cs="Calibri"/>
          <w:b/>
          <w:bCs/>
          <w:sz w:val="24"/>
          <w:szCs w:val="24"/>
        </w:rPr>
        <w:t>aumento de 60,1% nas chamadas para o número 190</w:t>
      </w:r>
      <w:r>
        <w:rPr>
          <w:rFonts w:ascii="Calibri" w:eastAsia="Calibri" w:hAnsi="Calibri" w:cs="Calibri"/>
          <w:sz w:val="24"/>
          <w:szCs w:val="24"/>
        </w:rPr>
        <w:t xml:space="preserve"> por violência doméstic</w:t>
      </w:r>
      <w:r>
        <w:rPr>
          <w:rFonts w:ascii="Calibri" w:eastAsia="Calibri" w:hAnsi="Calibri" w:cs="Calibri"/>
          <w:sz w:val="24"/>
          <w:szCs w:val="24"/>
        </w:rPr>
        <w:t xml:space="preserve">a e uma </w:t>
      </w:r>
      <w:r>
        <w:rPr>
          <w:rFonts w:ascii="Calibri" w:eastAsia="Calibri" w:hAnsi="Calibri" w:cs="Calibri"/>
          <w:b/>
          <w:bCs/>
          <w:sz w:val="24"/>
          <w:szCs w:val="24"/>
        </w:rPr>
        <w:t>alta de 110,2% nos registos de estupro de vulnerável</w:t>
      </w:r>
      <w:r>
        <w:rPr>
          <w:rFonts w:ascii="Calibri" w:eastAsia="Calibri" w:hAnsi="Calibri" w:cs="Calibri"/>
          <w:sz w:val="24"/>
          <w:szCs w:val="24"/>
        </w:rPr>
        <w:t xml:space="preserve">. Tais dados evidenciam que a agressividade atinge as vítimas em estágios cada vez mais precoces e em maior volume, </w:t>
      </w:r>
      <w:r>
        <w:rPr>
          <w:rFonts w:ascii="Calibri" w:eastAsia="Calibri" w:hAnsi="Calibri" w:cs="Calibri"/>
          <w:b/>
          <w:bCs/>
          <w:sz w:val="24"/>
          <w:szCs w:val="24"/>
        </w:rPr>
        <w:t>ratificando a deficiência de medidas puramente repressivas e a necessidade premente de estratégias educativas preventivas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EC340B" w:rsidRDefault="00E604E7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Ou seja, o cenário factual representa um dos desafios mais complexos para a governança </w:t>
      </w:r>
      <w:r>
        <w:rPr>
          <w:rFonts w:ascii="Calibri" w:eastAsia="Calibri" w:hAnsi="Calibri" w:cs="Calibri"/>
          <w:sz w:val="24"/>
          <w:szCs w:val="24"/>
        </w:rPr>
        <w:lastRenderedPageBreak/>
        <w:t>pública e exige a transição de uma postura est</w:t>
      </w:r>
      <w:r>
        <w:rPr>
          <w:rFonts w:ascii="Calibri" w:eastAsia="Calibri" w:hAnsi="Calibri" w:cs="Calibri"/>
          <w:sz w:val="24"/>
          <w:szCs w:val="24"/>
        </w:rPr>
        <w:t>atal meramente reativa para uma atuação administrativa proativa, preventiva e resolutiva. A obrigatoriedade de enfrentar este problema pela via educacional está sedimentada no plano jurídico pátrio e estadual. Vejamos adiante.</w:t>
      </w:r>
    </w:p>
    <w:p w:rsidR="00EC340B" w:rsidRDefault="00E604E7">
      <w:pPr>
        <w:widowControl/>
        <w:spacing w:after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  <w:t xml:space="preserve">A </w:t>
      </w:r>
      <w:r>
        <w:rPr>
          <w:rFonts w:ascii="Calibri" w:eastAsia="Calibri" w:hAnsi="Calibri" w:cs="Calibri"/>
          <w:b/>
          <w:bCs/>
          <w:sz w:val="24"/>
          <w:szCs w:val="24"/>
        </w:rPr>
        <w:t>Lei Maria da Penha (Lei n</w:t>
      </w:r>
      <w:r>
        <w:rPr>
          <w:rFonts w:ascii="Calibri" w:eastAsia="Calibri" w:hAnsi="Calibri" w:cs="Calibri"/>
          <w:b/>
          <w:bCs/>
          <w:sz w:val="24"/>
          <w:szCs w:val="24"/>
        </w:rPr>
        <w:t>º 11.340/2006)</w:t>
      </w:r>
      <w:r>
        <w:rPr>
          <w:rFonts w:ascii="Calibri" w:eastAsia="Calibri" w:hAnsi="Calibri" w:cs="Calibri"/>
          <w:sz w:val="24"/>
          <w:szCs w:val="24"/>
        </w:rPr>
        <w:t xml:space="preserve"> estabeleceu, em seu art. 8º, inciso V, a inclusão de conteúdos relativos aos direitos humanos e à equidade de gênero nos currículos escolares de </w:t>
      </w:r>
      <w:r>
        <w:rPr>
          <w:rFonts w:ascii="Calibri" w:eastAsia="Calibri" w:hAnsi="Calibri" w:cs="Calibri"/>
          <w:b/>
          <w:bCs/>
          <w:sz w:val="24"/>
          <w:szCs w:val="24"/>
        </w:rPr>
        <w:t>todos os níveis de ensino</w:t>
      </w:r>
      <w:r>
        <w:rPr>
          <w:rFonts w:ascii="Calibri" w:eastAsia="Calibri" w:hAnsi="Calibri" w:cs="Calibri"/>
          <w:sz w:val="24"/>
          <w:szCs w:val="24"/>
        </w:rPr>
        <w:t xml:space="preserve">. Nessa corrente, a </w:t>
      </w:r>
      <w:r>
        <w:rPr>
          <w:rFonts w:ascii="Calibri" w:eastAsia="Calibri" w:hAnsi="Calibri" w:cs="Calibri"/>
          <w:b/>
          <w:bCs/>
          <w:sz w:val="24"/>
          <w:szCs w:val="24"/>
        </w:rPr>
        <w:t>Lei Federal nº 14.164/2021</w:t>
      </w:r>
      <w:r>
        <w:rPr>
          <w:rFonts w:ascii="Calibri" w:eastAsia="Calibri" w:hAnsi="Calibri" w:cs="Calibri"/>
          <w:sz w:val="24"/>
          <w:szCs w:val="24"/>
        </w:rPr>
        <w:t xml:space="preserve"> alterou a </w:t>
      </w:r>
      <w:r>
        <w:rPr>
          <w:rFonts w:ascii="Calibri" w:eastAsia="Calibri" w:hAnsi="Calibri" w:cs="Calibri"/>
          <w:b/>
          <w:bCs/>
          <w:sz w:val="24"/>
          <w:szCs w:val="24"/>
        </w:rPr>
        <w:t>Lei de Diretri</w:t>
      </w:r>
      <w:r>
        <w:rPr>
          <w:rFonts w:ascii="Calibri" w:eastAsia="Calibri" w:hAnsi="Calibri" w:cs="Calibri"/>
          <w:b/>
          <w:bCs/>
          <w:sz w:val="24"/>
          <w:szCs w:val="24"/>
        </w:rPr>
        <w:t>zes e Bases da Educação Nacional</w:t>
      </w:r>
      <w:r>
        <w:rPr>
          <w:rFonts w:ascii="Calibri" w:eastAsia="Calibri" w:hAnsi="Calibri" w:cs="Calibri"/>
          <w:sz w:val="24"/>
          <w:szCs w:val="24"/>
        </w:rPr>
        <w:t xml:space="preserve"> (</w:t>
      </w:r>
      <w:r>
        <w:rPr>
          <w:rFonts w:ascii="Calibri" w:eastAsia="Calibri" w:hAnsi="Calibri" w:cs="Calibri"/>
          <w:b/>
          <w:bCs/>
          <w:sz w:val="24"/>
          <w:szCs w:val="24"/>
        </w:rPr>
        <w:t>LDB</w:t>
      </w:r>
      <w:r>
        <w:rPr>
          <w:rFonts w:ascii="Calibri" w:eastAsia="Calibri" w:hAnsi="Calibri" w:cs="Calibri"/>
          <w:sz w:val="24"/>
          <w:szCs w:val="24"/>
        </w:rPr>
        <w:t xml:space="preserve"> - </w:t>
      </w:r>
      <w:r>
        <w:rPr>
          <w:rFonts w:ascii="Calibri" w:eastAsia="Calibri" w:hAnsi="Calibri" w:cs="Calibri"/>
          <w:b/>
          <w:bCs/>
          <w:sz w:val="24"/>
          <w:szCs w:val="24"/>
        </w:rPr>
        <w:t>Lei nº 9.394/96</w:t>
      </w:r>
      <w:r>
        <w:rPr>
          <w:rFonts w:ascii="Calibri" w:eastAsia="Calibri" w:hAnsi="Calibri" w:cs="Calibri"/>
          <w:sz w:val="24"/>
          <w:szCs w:val="24"/>
        </w:rPr>
        <w:t xml:space="preserve">), positivando no § 9º do art. 26 a obrigatoriedade de conteúdos sobre a prevenção de todas as formas de violência contra a mulher como temas transversais em toda a educação básica, impondo o dever de </w:t>
      </w:r>
      <w:r>
        <w:rPr>
          <w:rFonts w:ascii="Calibri" w:eastAsia="Calibri" w:hAnsi="Calibri" w:cs="Calibri"/>
          <w:sz w:val="24"/>
          <w:szCs w:val="24"/>
        </w:rPr>
        <w:t>produção e distribuição de material didático especializado para cada etapa do ensino, de forma a garantir que o letramento de proteção e o respeito aos direitos humanos alcancem os alunos desde a educação infantil até o ensino médio.</w:t>
      </w:r>
    </w:p>
    <w:p w:rsidR="00EC340B" w:rsidRDefault="00E604E7">
      <w:pPr>
        <w:widowControl/>
        <w:spacing w:after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  <w:t xml:space="preserve">No sistema normativo </w:t>
      </w:r>
      <w:r>
        <w:rPr>
          <w:rFonts w:ascii="Calibri" w:eastAsia="Calibri" w:hAnsi="Calibri" w:cs="Calibri"/>
          <w:sz w:val="24"/>
          <w:szCs w:val="24"/>
        </w:rPr>
        <w:t xml:space="preserve">paraibano, este compromisso materializa-se em um arcabouço legislativo avançado. O pilar dessa responsabilidade está na </w:t>
      </w:r>
      <w:r>
        <w:rPr>
          <w:rFonts w:ascii="Calibri" w:eastAsia="Calibri" w:hAnsi="Calibri" w:cs="Calibri"/>
          <w:b/>
          <w:bCs/>
          <w:sz w:val="24"/>
          <w:szCs w:val="24"/>
        </w:rPr>
        <w:t>Lei Estadual nº 12.875/2023</w:t>
      </w:r>
      <w:r>
        <w:rPr>
          <w:rFonts w:ascii="Calibri" w:eastAsia="Calibri" w:hAnsi="Calibri" w:cs="Calibri"/>
          <w:sz w:val="24"/>
          <w:szCs w:val="24"/>
        </w:rPr>
        <w:t>, que determina a inclusão da temática como conteúdo transversal e exige, em seu art. 2º, a habilitação dos p</w:t>
      </w:r>
      <w:r>
        <w:rPr>
          <w:rFonts w:ascii="Calibri" w:eastAsia="Calibri" w:hAnsi="Calibri" w:cs="Calibri"/>
          <w:sz w:val="24"/>
          <w:szCs w:val="24"/>
        </w:rPr>
        <w:t xml:space="preserve">rofessores por meio de formação continuada. </w:t>
      </w:r>
    </w:p>
    <w:p w:rsidR="00EC340B" w:rsidRDefault="00E604E7">
      <w:pPr>
        <w:widowControl/>
        <w:spacing w:after="20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Para o controle externo, a ausência dessa formação não é apenas uma lacuna pedagógica, mas revela indícios de fragilidade na atuação administrativa pertinente a questão em causa. </w:t>
      </w:r>
    </w:p>
    <w:p w:rsidR="00EC340B" w:rsidRDefault="00E604E7">
      <w:pPr>
        <w:widowControl/>
        <w:spacing w:after="20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Adicionalmente, a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Lei Estadual </w:t>
      </w:r>
      <w:r>
        <w:rPr>
          <w:rFonts w:ascii="Calibri" w:eastAsia="Calibri" w:hAnsi="Calibri" w:cs="Calibri"/>
          <w:b/>
          <w:bCs/>
          <w:sz w:val="24"/>
          <w:szCs w:val="24"/>
        </w:rPr>
        <w:t>nº 11.839/2021</w:t>
      </w:r>
      <w:r>
        <w:rPr>
          <w:rFonts w:ascii="Calibri" w:eastAsia="Calibri" w:hAnsi="Calibri" w:cs="Calibri"/>
          <w:sz w:val="24"/>
          <w:szCs w:val="24"/>
        </w:rPr>
        <w:t xml:space="preserve"> instituiu o Programa “Maria da Penha vai à Escola”, cuja execução demanda dotação orçamentária e metas físicas. A inércia na implementação deste programa configura inobservância do dever de planejamento, sobretudo quando conjugada à </w:t>
      </w:r>
      <w:r>
        <w:rPr>
          <w:rFonts w:ascii="Calibri" w:eastAsia="Calibri" w:hAnsi="Calibri" w:cs="Calibri"/>
          <w:b/>
          <w:bCs/>
          <w:sz w:val="24"/>
          <w:szCs w:val="24"/>
        </w:rPr>
        <w:t>Lei Esta</w:t>
      </w:r>
      <w:r>
        <w:rPr>
          <w:rFonts w:ascii="Calibri" w:eastAsia="Calibri" w:hAnsi="Calibri" w:cs="Calibri"/>
          <w:b/>
          <w:bCs/>
          <w:sz w:val="24"/>
          <w:szCs w:val="24"/>
        </w:rPr>
        <w:t>dual nº 12.874/2023</w:t>
      </w:r>
      <w:r>
        <w:rPr>
          <w:rFonts w:ascii="Calibri" w:eastAsia="Calibri" w:hAnsi="Calibri" w:cs="Calibri"/>
          <w:sz w:val="24"/>
          <w:szCs w:val="24"/>
        </w:rPr>
        <w:t>, que institui a “Semana Escolar Estadual de Combate à Violência contra a Mulher” como marco de culminância e aferição da efetividade pedagógica.</w:t>
      </w:r>
    </w:p>
    <w:p w:rsidR="00EC340B" w:rsidRDefault="00E604E7">
      <w:pPr>
        <w:widowControl/>
        <w:spacing w:before="24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É válido registrar que o ordenamento jurídico paraibano, por meio das Leis Estaduais nº 11.</w:t>
      </w:r>
      <w:r>
        <w:rPr>
          <w:rFonts w:ascii="Calibri" w:eastAsia="Calibri" w:hAnsi="Calibri" w:cs="Calibri"/>
          <w:sz w:val="24"/>
          <w:szCs w:val="24"/>
        </w:rPr>
        <w:t>951/2021 e nº 12.015/2021, ainda oferece suporte para o que se denomina “letramento de proteção”, ao prever ações educativas sobre crimes de importunação sexual e o uso de ferramentas digitais de socorro imediato. Sob a ótica do controle externo, a escola,</w:t>
      </w:r>
      <w:r>
        <w:rPr>
          <w:rFonts w:ascii="Calibri" w:eastAsia="Calibri" w:hAnsi="Calibri" w:cs="Calibri"/>
          <w:sz w:val="24"/>
          <w:szCs w:val="24"/>
        </w:rPr>
        <w:t xml:space="preserve"> enquanto instituição sentinela, deve estar instrumentalizada para que o currículo transcenda a teoria e forneça ferramentas práticas de cidadania e segurança, capacitando a comunidade escolar a identificar riscos e a acionar os mecanismos de salvaguarda d</w:t>
      </w:r>
      <w:r>
        <w:rPr>
          <w:rFonts w:ascii="Calibri" w:eastAsia="Calibri" w:hAnsi="Calibri" w:cs="Calibri"/>
          <w:sz w:val="24"/>
          <w:szCs w:val="24"/>
        </w:rPr>
        <w:t>isponíveis às mulheres e meninas paraibanas.</w:t>
      </w:r>
    </w:p>
    <w:p w:rsidR="00EC340B" w:rsidRDefault="00EC340B">
      <w:pPr>
        <w:widowControl/>
        <w:spacing w:after="200"/>
        <w:ind w:firstLine="720"/>
        <w:jc w:val="both"/>
        <w:rPr>
          <w:rFonts w:ascii="Calibri" w:eastAsia="Calibri" w:hAnsi="Calibri" w:cs="Calibri"/>
          <w:strike/>
          <w:sz w:val="24"/>
          <w:szCs w:val="24"/>
        </w:rPr>
      </w:pPr>
    </w:p>
    <w:p w:rsidR="00EC340B" w:rsidRDefault="00E604E7">
      <w:pPr>
        <w:widowControl/>
        <w:spacing w:after="20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Considerando o robusto corpo normativo do Estado da Paraíba, e diante das notícias sobre a elaboração do </w:t>
      </w:r>
      <w:r>
        <w:rPr>
          <w:rFonts w:ascii="Calibri" w:eastAsia="Calibri" w:hAnsi="Calibri" w:cs="Calibri"/>
          <w:b/>
          <w:bCs/>
          <w:sz w:val="24"/>
          <w:szCs w:val="24"/>
        </w:rPr>
        <w:t>Plano Estadual de Educação para o decênio 2026-2035</w:t>
      </w:r>
      <w:r>
        <w:rPr>
          <w:rFonts w:ascii="Calibri" w:eastAsia="Calibri" w:hAnsi="Calibri" w:cs="Calibri"/>
          <w:sz w:val="24"/>
          <w:szCs w:val="24"/>
        </w:rPr>
        <w:t>, este Ministério Público de Contas ainda frisa a impo</w:t>
      </w:r>
      <w:r>
        <w:rPr>
          <w:rFonts w:ascii="Calibri" w:eastAsia="Calibri" w:hAnsi="Calibri" w:cs="Calibri"/>
          <w:sz w:val="24"/>
          <w:szCs w:val="24"/>
        </w:rPr>
        <w:t>rtância do novo texto contemplar metas físicas e indicadores de resultado voltados à prevenção da violência contra a mulher. Entende-se ser este o momento institucional ideal para assegurar que os avanços da legislação paraibana sejam devidamente instituci</w:t>
      </w:r>
      <w:r>
        <w:rPr>
          <w:rFonts w:ascii="Calibri" w:eastAsia="Calibri" w:hAnsi="Calibri" w:cs="Calibri"/>
          <w:sz w:val="24"/>
          <w:szCs w:val="24"/>
        </w:rPr>
        <w:t>onalizados no plano decenal, razão pela qual se torna pertinente questionar o atual estágio de inclusão dessa temática nas minutas e estudos em curso.</w:t>
      </w:r>
    </w:p>
    <w:p w:rsidR="00EC340B" w:rsidRDefault="00E604E7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 não implementação efetiva das diretrizes preventivas pelo Poder Público projeta repercussões que ultrap</w:t>
      </w:r>
      <w:r>
        <w:rPr>
          <w:rFonts w:ascii="Calibri" w:eastAsia="Calibri" w:hAnsi="Calibri" w:cs="Calibri"/>
          <w:sz w:val="24"/>
          <w:szCs w:val="24"/>
        </w:rPr>
        <w:t>assam o âmbito pedagógico, assumindo contornos de desconformidade administrativa, sobretudo diante da formação de passivos sociais evitáveis decorrentes de gestão insuficientemente diligente.</w:t>
      </w:r>
      <w:r>
        <w:rPr>
          <w:rFonts w:ascii="Calibri" w:eastAsia="Calibri" w:hAnsi="Calibri" w:cs="Calibri"/>
          <w:color w:val="9900FF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É certo que a atuação dos gestores deve pautar-se pelos princípi</w:t>
      </w:r>
      <w:r>
        <w:rPr>
          <w:rFonts w:ascii="Calibri" w:eastAsia="Calibri" w:hAnsi="Calibri" w:cs="Calibri"/>
          <w:sz w:val="24"/>
          <w:szCs w:val="24"/>
        </w:rPr>
        <w:t xml:space="preserve">os da legalidade e da eficiência (art. 37, </w:t>
      </w:r>
      <w:r>
        <w:rPr>
          <w:rFonts w:ascii="Calibri" w:eastAsia="Calibri" w:hAnsi="Calibri" w:cs="Calibri"/>
          <w:i/>
          <w:iCs/>
          <w:sz w:val="24"/>
          <w:szCs w:val="24"/>
        </w:rPr>
        <w:t>caput</w:t>
      </w:r>
      <w:r>
        <w:rPr>
          <w:rFonts w:ascii="Calibri" w:eastAsia="Calibri" w:hAnsi="Calibri" w:cs="Calibri"/>
          <w:sz w:val="24"/>
          <w:szCs w:val="24"/>
        </w:rPr>
        <w:t>, CF/88), de modo que a despesa pública em educação observe sempre tais critérios.</w:t>
      </w:r>
    </w:p>
    <w:p w:rsidR="00EC340B" w:rsidRDefault="00E604E7">
      <w:pPr>
        <w:spacing w:after="24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Nesse contexto, impende destacar que o Estado Brasileiro é signatário de pactos que impõem o dever de adotar programas educat</w:t>
      </w:r>
      <w:r>
        <w:rPr>
          <w:rFonts w:ascii="Calibri" w:eastAsia="Calibri" w:hAnsi="Calibri" w:cs="Calibri"/>
          <w:sz w:val="24"/>
          <w:szCs w:val="24"/>
        </w:rPr>
        <w:t xml:space="preserve">ivos destinados a promover o conhecimento do direito da mulher a uma vida livre de violência, destacando-se a </w:t>
      </w:r>
      <w:r>
        <w:rPr>
          <w:rFonts w:ascii="Calibri" w:eastAsia="Calibri" w:hAnsi="Calibri" w:cs="Calibri"/>
          <w:b/>
          <w:bCs/>
          <w:sz w:val="24"/>
          <w:szCs w:val="24"/>
        </w:rPr>
        <w:t>Convenção de Belém do Pará (1994)</w:t>
      </w:r>
      <w:r>
        <w:rPr>
          <w:rFonts w:ascii="Calibri" w:eastAsia="Calibri" w:hAnsi="Calibri" w:cs="Calibri"/>
          <w:sz w:val="24"/>
          <w:szCs w:val="24"/>
        </w:rPr>
        <w:t xml:space="preserve">, a </w:t>
      </w:r>
      <w:r>
        <w:rPr>
          <w:rFonts w:ascii="Calibri" w:eastAsia="Calibri" w:hAnsi="Calibri" w:cs="Calibri"/>
          <w:b/>
          <w:bCs/>
          <w:sz w:val="24"/>
          <w:szCs w:val="24"/>
        </w:rPr>
        <w:t>CEDAW (ONU, 1979)</w:t>
      </w:r>
      <w:r>
        <w:rPr>
          <w:rFonts w:ascii="Calibri" w:eastAsia="Calibri" w:hAnsi="Calibri" w:cs="Calibri"/>
          <w:sz w:val="24"/>
          <w:szCs w:val="24"/>
        </w:rPr>
        <w:t xml:space="preserve"> e os </w:t>
      </w:r>
      <w:r>
        <w:rPr>
          <w:rFonts w:ascii="Calibri" w:eastAsia="Calibri" w:hAnsi="Calibri" w:cs="Calibri"/>
          <w:b/>
          <w:bCs/>
          <w:sz w:val="24"/>
          <w:szCs w:val="24"/>
        </w:rPr>
        <w:t>Objetivos de Desenvolvimento Sustentável (ODS 4, 5 e 16) da Agenda 2030 da ONU</w:t>
      </w:r>
      <w:r>
        <w:rPr>
          <w:rFonts w:ascii="Calibri" w:eastAsia="Calibri" w:hAnsi="Calibri" w:cs="Calibri"/>
          <w:sz w:val="24"/>
          <w:szCs w:val="24"/>
        </w:rPr>
        <w:t>. Tais c</w:t>
      </w:r>
      <w:r>
        <w:rPr>
          <w:rFonts w:ascii="Calibri" w:eastAsia="Calibri" w:hAnsi="Calibri" w:cs="Calibri"/>
          <w:sz w:val="24"/>
          <w:szCs w:val="24"/>
        </w:rPr>
        <w:t xml:space="preserve">ompromissos são reforçados pela </w:t>
      </w:r>
      <w:r>
        <w:rPr>
          <w:rFonts w:ascii="Calibri" w:eastAsia="Calibri" w:hAnsi="Calibri" w:cs="Calibri"/>
          <w:b/>
          <w:bCs/>
          <w:sz w:val="24"/>
          <w:szCs w:val="24"/>
        </w:rPr>
        <w:t>Nota Recomendatória Conjunta nº 01/2025 (ATRICON-IRB-AMPCON)</w:t>
      </w:r>
      <w:r>
        <w:rPr>
          <w:rFonts w:ascii="Calibri" w:eastAsia="Calibri" w:hAnsi="Calibri" w:cs="Calibri"/>
          <w:sz w:val="24"/>
          <w:szCs w:val="24"/>
        </w:rPr>
        <w:t>, que instiga os Ministérios Públicos de Contas a adotarem medidas indutoras de políticas para mulheres, vinculando o combate à misoginia à estruturação dos currícu</w:t>
      </w:r>
      <w:r>
        <w:rPr>
          <w:rFonts w:ascii="Calibri" w:eastAsia="Calibri" w:hAnsi="Calibri" w:cs="Calibri"/>
          <w:sz w:val="24"/>
          <w:szCs w:val="24"/>
        </w:rPr>
        <w:t xml:space="preserve">los escolares. Resta cristalino que a efetivação dessas políticas não é uma faculdade do gestor, mas um </w:t>
      </w:r>
      <w:r>
        <w:rPr>
          <w:rFonts w:ascii="Calibri" w:eastAsia="Calibri" w:hAnsi="Calibri" w:cs="Calibri"/>
          <w:b/>
          <w:bCs/>
          <w:sz w:val="24"/>
          <w:szCs w:val="24"/>
        </w:rPr>
        <w:t>imperativo convencional e legal</w:t>
      </w:r>
      <w:r>
        <w:rPr>
          <w:rFonts w:ascii="Calibri" w:eastAsia="Calibri" w:hAnsi="Calibri" w:cs="Calibri"/>
          <w:sz w:val="24"/>
          <w:szCs w:val="24"/>
        </w:rPr>
        <w:t>, cujo descumprimento distancia a gestão pública dos padrões de eficiência esperados, dificultando a concretização de dir</w:t>
      </w:r>
      <w:r>
        <w:rPr>
          <w:rFonts w:ascii="Calibri" w:eastAsia="Calibri" w:hAnsi="Calibri" w:cs="Calibri"/>
          <w:sz w:val="24"/>
          <w:szCs w:val="24"/>
        </w:rPr>
        <w:t>eitos fundamentais e o pleno atendimento dos compromissos assumidos pelo Estado.</w:t>
      </w:r>
    </w:p>
    <w:p w:rsidR="00EC340B" w:rsidRDefault="00E604E7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Nessa perspectiva, visando acompanhar a implementação e a efetividade da política pública em exame, o Ministério Público de Contas, no exercício de sua função institucional de</w:t>
      </w:r>
      <w:r>
        <w:rPr>
          <w:rFonts w:ascii="Calibri" w:eastAsia="Calibri" w:hAnsi="Calibri" w:cs="Calibri"/>
          <w:sz w:val="24"/>
          <w:szCs w:val="24"/>
        </w:rPr>
        <w:t xml:space="preserve"> zelar pela ordem jurídica e promover a defesa do erário, exerce sua prerrogativa legal de requisitar informações, conforme fundamentado no art. 30, inciso IV, da Lei Complementar Estadual nº 192/2024</w:t>
      </w:r>
      <w:r>
        <w:rPr>
          <w:rFonts w:ascii="Calibri" w:eastAsia="Calibri" w:hAnsi="Calibri" w:cs="Calibri"/>
          <w:sz w:val="24"/>
          <w:szCs w:val="24"/>
          <w:vertAlign w:val="superscript"/>
        </w:rPr>
        <w:footnoteReference w:id="1"/>
      </w:r>
      <w:r>
        <w:rPr>
          <w:rFonts w:ascii="Calibri" w:eastAsia="Calibri" w:hAnsi="Calibri" w:cs="Calibri"/>
          <w:sz w:val="24"/>
          <w:szCs w:val="24"/>
        </w:rPr>
        <w:t xml:space="preserve"> (Lei Orgânica do TCE-PB) e no art. 2º, inciso VIII, da Resolução nº 01/2022–</w:t>
      </w:r>
      <w:r>
        <w:rPr>
          <w:rFonts w:ascii="Calibri" w:eastAsia="Calibri" w:hAnsi="Calibri" w:cs="Calibri"/>
          <w:sz w:val="24"/>
          <w:szCs w:val="24"/>
        </w:rPr>
        <w:lastRenderedPageBreak/>
        <w:t>CP/MPC-PB</w:t>
      </w:r>
      <w:r>
        <w:rPr>
          <w:rFonts w:ascii="Calibri" w:eastAsia="Calibri" w:hAnsi="Calibri" w:cs="Calibri"/>
          <w:sz w:val="24"/>
          <w:szCs w:val="24"/>
          <w:vertAlign w:val="superscript"/>
        </w:rPr>
        <w:footnoteReference w:id="2"/>
      </w:r>
      <w:r>
        <w:rPr>
          <w:rFonts w:ascii="Calibri" w:eastAsia="Calibri" w:hAnsi="Calibri" w:cs="Calibri"/>
          <w:sz w:val="24"/>
          <w:szCs w:val="24"/>
        </w:rPr>
        <w:t xml:space="preserve"> (Regimento Interno do MPC-PB).</w:t>
      </w:r>
    </w:p>
    <w:p w:rsidR="00EC340B" w:rsidRDefault="00E604E7">
      <w:pPr>
        <w:spacing w:after="24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Ante o exposto, este Ministério Público de Contas </w:t>
      </w: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requisita</w:t>
      </w:r>
      <w:r>
        <w:rPr>
          <w:rFonts w:ascii="Calibri" w:eastAsia="Calibri" w:hAnsi="Calibri" w:cs="Calibri"/>
          <w:sz w:val="24"/>
          <w:szCs w:val="24"/>
        </w:rPr>
        <w:t xml:space="preserve"> a Vossa Excelência que, no prazo de </w:t>
      </w:r>
      <w:r>
        <w:rPr>
          <w:rFonts w:ascii="Calibri" w:eastAsia="Calibri" w:hAnsi="Calibri" w:cs="Calibri"/>
          <w:b/>
          <w:bCs/>
          <w:sz w:val="24"/>
          <w:szCs w:val="24"/>
        </w:rPr>
        <w:t>20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(vinte) dias</w:t>
      </w:r>
      <w:r>
        <w:rPr>
          <w:rFonts w:ascii="Calibri" w:eastAsia="Calibri" w:hAnsi="Calibri" w:cs="Calibri"/>
          <w:sz w:val="24"/>
          <w:szCs w:val="24"/>
        </w:rPr>
        <w:t>, preste esclarecimentos a</w:t>
      </w:r>
      <w:r>
        <w:rPr>
          <w:rFonts w:ascii="Calibri" w:eastAsia="Calibri" w:hAnsi="Calibri" w:cs="Calibri"/>
          <w:sz w:val="24"/>
          <w:szCs w:val="24"/>
        </w:rPr>
        <w:t>companhados de documentação comprobatória sobre o atual estágio de execução das seguintes medidas:</w:t>
      </w:r>
    </w:p>
    <w:p w:rsidR="00EC340B" w:rsidRDefault="00EC340B">
      <w:pPr>
        <w:ind w:left="720"/>
        <w:jc w:val="both"/>
        <w:rPr>
          <w:rFonts w:ascii="Calibri" w:eastAsia="Calibri" w:hAnsi="Calibri" w:cs="Calibri"/>
          <w:b/>
          <w:bCs/>
          <w:color w:val="0000FF"/>
          <w:sz w:val="24"/>
          <w:szCs w:val="24"/>
        </w:rPr>
      </w:pPr>
    </w:p>
    <w:p w:rsidR="00EC340B" w:rsidRDefault="00E604E7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Abrangência Curricular (Educação Infantil ao Ensino Médio):</w:t>
      </w:r>
      <w:r>
        <w:rPr>
          <w:rFonts w:ascii="Calibri" w:eastAsia="Calibri" w:hAnsi="Calibri" w:cs="Calibri"/>
          <w:sz w:val="24"/>
          <w:szCs w:val="24"/>
        </w:rPr>
        <w:t xml:space="preserve"> De que forma</w:t>
      </w:r>
      <w:r>
        <w:rPr>
          <w:rFonts w:ascii="Calibri" w:eastAsia="Calibri" w:hAnsi="Calibri" w:cs="Calibri"/>
          <w:sz w:val="24"/>
          <w:szCs w:val="24"/>
        </w:rPr>
        <w:t xml:space="preserve"> a Secretaria tem assegurado a inclusão e a efetiva implementação dos conteúdos de prevenção à violência contra a mulher como </w:t>
      </w:r>
      <w:r>
        <w:rPr>
          <w:rFonts w:ascii="Calibri" w:eastAsia="Calibri" w:hAnsi="Calibri" w:cs="Calibri"/>
          <w:b/>
          <w:bCs/>
          <w:sz w:val="24"/>
          <w:szCs w:val="24"/>
        </w:rPr>
        <w:t>tema transversal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em todo o currículo da rede pública estadual</w:t>
      </w:r>
      <w:r>
        <w:rPr>
          <w:rFonts w:ascii="Calibri" w:eastAsia="Calibri" w:hAnsi="Calibri" w:cs="Calibri"/>
          <w:sz w:val="24"/>
          <w:szCs w:val="24"/>
        </w:rPr>
        <w:t>, abrangendo desde a Educação Infantil até o Ensino Médio, em cumprim</w:t>
      </w:r>
      <w:r>
        <w:rPr>
          <w:rFonts w:ascii="Calibri" w:eastAsia="Calibri" w:hAnsi="Calibri" w:cs="Calibri"/>
          <w:sz w:val="24"/>
          <w:szCs w:val="24"/>
        </w:rPr>
        <w:t xml:space="preserve">ento ao </w:t>
      </w:r>
      <w:r>
        <w:rPr>
          <w:rFonts w:ascii="Calibri" w:eastAsia="Calibri" w:hAnsi="Calibri" w:cs="Calibri"/>
          <w:b/>
          <w:bCs/>
          <w:sz w:val="24"/>
          <w:szCs w:val="24"/>
        </w:rPr>
        <w:t>art. 26, § 9º da LDB</w:t>
      </w:r>
      <w:r>
        <w:rPr>
          <w:rFonts w:ascii="Calibri" w:eastAsia="Calibri" w:hAnsi="Calibri" w:cs="Calibri"/>
          <w:sz w:val="24"/>
          <w:szCs w:val="24"/>
        </w:rPr>
        <w:t xml:space="preserve"> e à </w:t>
      </w:r>
      <w:r>
        <w:rPr>
          <w:rFonts w:ascii="Calibri" w:eastAsia="Calibri" w:hAnsi="Calibri" w:cs="Calibri"/>
          <w:b/>
          <w:bCs/>
          <w:sz w:val="24"/>
          <w:szCs w:val="24"/>
        </w:rPr>
        <w:t>Lei Estadual nº 12.875/2023</w:t>
      </w:r>
      <w:r>
        <w:rPr>
          <w:rFonts w:ascii="Calibri" w:eastAsia="Calibri" w:hAnsi="Calibri" w:cs="Calibri"/>
          <w:sz w:val="24"/>
          <w:szCs w:val="24"/>
        </w:rPr>
        <w:t>?</w:t>
      </w:r>
    </w:p>
    <w:p w:rsidR="00EC340B" w:rsidRDefault="00EC340B">
      <w:pPr>
        <w:ind w:left="720"/>
        <w:jc w:val="both"/>
        <w:rPr>
          <w:rFonts w:ascii="Calibri" w:eastAsia="Calibri" w:hAnsi="Calibri" w:cs="Calibri"/>
          <w:sz w:val="24"/>
          <w:szCs w:val="24"/>
        </w:rPr>
      </w:pPr>
    </w:p>
    <w:p w:rsidR="00EC340B" w:rsidRDefault="00E604E7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Planejamento Decenal (2026-2035):</w:t>
      </w:r>
      <w:r>
        <w:rPr>
          <w:rFonts w:ascii="Calibri" w:eastAsia="Calibri" w:hAnsi="Calibri" w:cs="Calibri"/>
          <w:sz w:val="24"/>
          <w:szCs w:val="24"/>
        </w:rPr>
        <w:t xml:space="preserve"> No processo de elaboração do novo Plano Estadual de Educação (PEE), quais metas físicas, indicadores de resultado e dotações orçamentárias específicas estão se</w:t>
      </w:r>
      <w:r>
        <w:rPr>
          <w:rFonts w:ascii="Calibri" w:eastAsia="Calibri" w:hAnsi="Calibri" w:cs="Calibri"/>
          <w:sz w:val="24"/>
          <w:szCs w:val="24"/>
        </w:rPr>
        <w:t>ndo propostos para garantir a continuidade desta política educativa no próximo decênio?</w:t>
      </w:r>
    </w:p>
    <w:p w:rsidR="00EC340B" w:rsidRDefault="00EC340B">
      <w:pPr>
        <w:ind w:left="720"/>
        <w:jc w:val="both"/>
        <w:rPr>
          <w:rFonts w:ascii="Calibri" w:eastAsia="Calibri" w:hAnsi="Calibri" w:cs="Calibri"/>
          <w:sz w:val="24"/>
          <w:szCs w:val="24"/>
        </w:rPr>
      </w:pPr>
    </w:p>
    <w:p w:rsidR="00EC340B" w:rsidRDefault="00E604E7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Atualização de Instrumentos Pedagógicos:</w:t>
      </w:r>
      <w:r>
        <w:rPr>
          <w:rFonts w:ascii="Calibri" w:eastAsia="Calibri" w:hAnsi="Calibri" w:cs="Calibri"/>
          <w:sz w:val="24"/>
          <w:szCs w:val="24"/>
        </w:rPr>
        <w:t xml:space="preserve"> Houve orientação formal às unidades de ensino para a revisão dos Projetos Político-Pedagógicos (</w:t>
      </w:r>
      <w:proofErr w:type="spellStart"/>
      <w:r>
        <w:rPr>
          <w:rFonts w:ascii="Calibri" w:eastAsia="Calibri" w:hAnsi="Calibri" w:cs="Calibri"/>
          <w:sz w:val="24"/>
          <w:szCs w:val="24"/>
        </w:rPr>
        <w:t>PPPs</w:t>
      </w:r>
      <w:proofErr w:type="spellEnd"/>
      <w:r>
        <w:rPr>
          <w:rFonts w:ascii="Calibri" w:eastAsia="Calibri" w:hAnsi="Calibri" w:cs="Calibri"/>
          <w:sz w:val="24"/>
          <w:szCs w:val="24"/>
        </w:rPr>
        <w:t>), visando assegurar a tra</w:t>
      </w:r>
      <w:r>
        <w:rPr>
          <w:rFonts w:ascii="Calibri" w:eastAsia="Calibri" w:hAnsi="Calibri" w:cs="Calibri"/>
          <w:sz w:val="24"/>
          <w:szCs w:val="24"/>
        </w:rPr>
        <w:t xml:space="preserve">nsversalidade do tema no cotidiano escolar? </w:t>
      </w:r>
      <w:r>
        <w:rPr>
          <w:rFonts w:ascii="Calibri" w:eastAsia="Calibri" w:hAnsi="Calibri" w:cs="Calibri"/>
          <w:i/>
          <w:iCs/>
          <w:sz w:val="24"/>
          <w:szCs w:val="24"/>
        </w:rPr>
        <w:t>Em caso positivo, favor encaminhar cópia das diretrizes expedidas.</w:t>
      </w:r>
    </w:p>
    <w:p w:rsidR="00EC340B" w:rsidRDefault="00EC340B">
      <w:pPr>
        <w:ind w:left="720"/>
        <w:jc w:val="both"/>
        <w:rPr>
          <w:rFonts w:ascii="Calibri" w:eastAsia="Calibri" w:hAnsi="Calibri" w:cs="Calibri"/>
          <w:sz w:val="24"/>
          <w:szCs w:val="24"/>
        </w:rPr>
      </w:pPr>
    </w:p>
    <w:p w:rsidR="00EC340B" w:rsidRDefault="00E604E7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Programa "Maria da Penha vai à Escola" (Lei Estadual nº 11.839/2021):</w:t>
      </w:r>
      <w:r>
        <w:rPr>
          <w:rFonts w:ascii="Calibri" w:eastAsia="Calibri" w:hAnsi="Calibri" w:cs="Calibri"/>
          <w:sz w:val="24"/>
          <w:szCs w:val="24"/>
        </w:rPr>
        <w:t xml:space="preserve"> De que maneira o referido programa tem sido operacionalizado na rede públi</w:t>
      </w:r>
      <w:r>
        <w:rPr>
          <w:rFonts w:ascii="Calibri" w:eastAsia="Calibri" w:hAnsi="Calibri" w:cs="Calibri"/>
          <w:sz w:val="24"/>
          <w:szCs w:val="24"/>
        </w:rPr>
        <w:t xml:space="preserve">ca estadual para a sensibilização da comunidade estudantil sobre a violência doméstica? </w:t>
      </w:r>
      <w:r>
        <w:rPr>
          <w:rFonts w:ascii="Calibri" w:eastAsia="Calibri" w:hAnsi="Calibri" w:cs="Calibri"/>
          <w:i/>
          <w:iCs/>
          <w:sz w:val="24"/>
          <w:szCs w:val="24"/>
        </w:rPr>
        <w:t xml:space="preserve">Favor encaminhar relatórios de atividades, campanhas realizadas ou cronograma de visitas técnicas às </w:t>
      </w:r>
      <w:r>
        <w:rPr>
          <w:rFonts w:ascii="Calibri" w:eastAsia="Calibri" w:hAnsi="Calibri" w:cs="Calibri"/>
          <w:i/>
          <w:iCs/>
          <w:sz w:val="24"/>
          <w:szCs w:val="24"/>
        </w:rPr>
        <w:lastRenderedPageBreak/>
        <w:t>unidades escolares.</w:t>
      </w:r>
    </w:p>
    <w:p w:rsidR="00EC340B" w:rsidRDefault="00EC340B">
      <w:pPr>
        <w:ind w:left="720"/>
        <w:jc w:val="both"/>
        <w:rPr>
          <w:rFonts w:ascii="Calibri" w:eastAsia="Calibri" w:hAnsi="Calibri" w:cs="Calibri"/>
          <w:sz w:val="24"/>
          <w:szCs w:val="24"/>
        </w:rPr>
      </w:pPr>
    </w:p>
    <w:p w:rsidR="00EC340B" w:rsidRDefault="00E604E7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Semana Escolar Estadual de Combate à Violência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contra a Mulher (Lei Estadual nº 12.874/2023):</w:t>
      </w:r>
      <w:r>
        <w:rPr>
          <w:rFonts w:ascii="Calibri" w:eastAsia="Calibri" w:hAnsi="Calibri" w:cs="Calibri"/>
          <w:sz w:val="24"/>
          <w:szCs w:val="24"/>
        </w:rPr>
        <w:t xml:space="preserve"> Quais foram as ações pedagógicas desenvolvidas na última edição da referida semana escolar? Como a Secretaria tem utilizado esse marco cronológico para aferir a efetividade do letramento de proteção acumulado</w:t>
      </w:r>
      <w:r>
        <w:rPr>
          <w:rFonts w:ascii="Calibri" w:eastAsia="Calibri" w:hAnsi="Calibri" w:cs="Calibri"/>
          <w:sz w:val="24"/>
          <w:szCs w:val="24"/>
        </w:rPr>
        <w:t xml:space="preserve"> pelos alunos durante o ciclo letivo?</w:t>
      </w:r>
    </w:p>
    <w:p w:rsidR="00EC340B" w:rsidRDefault="00EC340B">
      <w:pPr>
        <w:ind w:left="720"/>
        <w:jc w:val="both"/>
        <w:rPr>
          <w:rFonts w:ascii="Calibri" w:eastAsia="Calibri" w:hAnsi="Calibri" w:cs="Calibri"/>
          <w:sz w:val="24"/>
          <w:szCs w:val="24"/>
        </w:rPr>
      </w:pPr>
    </w:p>
    <w:p w:rsidR="00EC340B" w:rsidRDefault="00E604E7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Formação Continuada (Lei Estadual nº 12.875/2023):</w:t>
      </w:r>
      <w:r>
        <w:rPr>
          <w:rFonts w:ascii="Calibri" w:eastAsia="Calibri" w:hAnsi="Calibri" w:cs="Calibri"/>
          <w:sz w:val="24"/>
          <w:szCs w:val="24"/>
        </w:rPr>
        <w:t xml:space="preserve"> Quais programas de capacitação docente e técnica sobre o tema “prevenção da violência contra a mulher” foram implementados nos últimos 24 meses? </w:t>
      </w:r>
      <w:r>
        <w:rPr>
          <w:rFonts w:ascii="Calibri" w:eastAsia="Calibri" w:hAnsi="Calibri" w:cs="Calibri"/>
          <w:i/>
          <w:iCs/>
          <w:sz w:val="24"/>
          <w:szCs w:val="24"/>
        </w:rPr>
        <w:t>Favor detalhar os dad</w:t>
      </w:r>
      <w:r>
        <w:rPr>
          <w:rFonts w:ascii="Calibri" w:eastAsia="Calibri" w:hAnsi="Calibri" w:cs="Calibri"/>
          <w:i/>
          <w:iCs/>
          <w:sz w:val="24"/>
          <w:szCs w:val="24"/>
        </w:rPr>
        <w:t>os de execução física (público atingido) e financeira (recursos aplicados).</w:t>
      </w:r>
    </w:p>
    <w:p w:rsidR="00EC340B" w:rsidRDefault="00EC340B">
      <w:pPr>
        <w:jc w:val="both"/>
        <w:rPr>
          <w:rFonts w:ascii="Calibri" w:eastAsia="Calibri" w:hAnsi="Calibri" w:cs="Calibri"/>
          <w:i/>
          <w:iCs/>
          <w:sz w:val="24"/>
          <w:szCs w:val="24"/>
        </w:rPr>
      </w:pPr>
    </w:p>
    <w:p w:rsidR="00EC340B" w:rsidRDefault="00EC340B">
      <w:pPr>
        <w:jc w:val="both"/>
        <w:rPr>
          <w:rFonts w:ascii="Calibri" w:eastAsia="Calibri" w:hAnsi="Calibri" w:cs="Calibri"/>
          <w:i/>
          <w:iCs/>
          <w:sz w:val="24"/>
          <w:szCs w:val="24"/>
        </w:rPr>
      </w:pPr>
    </w:p>
    <w:p w:rsidR="00EC340B" w:rsidRDefault="00E604E7">
      <w:pPr>
        <w:spacing w:after="20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Por fim, ressalte-se que a presente iniciativa não se orienta por viés sancionatório, mas por propósito dialógico e indutor, voltado ao aperfeiçoamento da gestão pública e à efet</w:t>
      </w:r>
      <w:r>
        <w:rPr>
          <w:rFonts w:ascii="Calibri" w:eastAsia="Calibri" w:hAnsi="Calibri" w:cs="Calibri"/>
          <w:sz w:val="24"/>
          <w:szCs w:val="24"/>
        </w:rPr>
        <w:t xml:space="preserve">iva concretização das diretrizes legais já estabelecidas no tocante à temática em causa. </w:t>
      </w:r>
    </w:p>
    <w:p w:rsidR="00EC340B" w:rsidRDefault="00E604E7">
      <w:pPr>
        <w:spacing w:after="20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 Ministério Público de Contas coloca-se à disposição dessa Secretaria para, em regime de cooperação institucional, contribuir para o fortalecimento e a implementação das políticas educacionais de prevenção à violência contra a mulher, compreendendo que a </w:t>
      </w:r>
      <w:r>
        <w:rPr>
          <w:rFonts w:ascii="Calibri" w:eastAsia="Calibri" w:hAnsi="Calibri" w:cs="Calibri"/>
          <w:sz w:val="24"/>
          <w:szCs w:val="24"/>
        </w:rPr>
        <w:t>transformação cultural necessária ao enfrentamento dessa realidade estrutural</w:t>
      </w:r>
      <w:r>
        <w:rPr>
          <w:rFonts w:ascii="Calibri" w:eastAsia="Calibri" w:hAnsi="Calibri" w:cs="Calibri"/>
          <w:color w:val="6AA84F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demanda atuação articulada, planejada, proativa e contínua do Estado em tema de inegável relevância social.</w:t>
      </w:r>
    </w:p>
    <w:p w:rsidR="00EC340B" w:rsidRDefault="00EC340B">
      <w:pPr>
        <w:ind w:left="720"/>
        <w:jc w:val="both"/>
        <w:rPr>
          <w:rFonts w:ascii="Calibri" w:eastAsia="Calibri" w:hAnsi="Calibri" w:cs="Calibri"/>
          <w:sz w:val="24"/>
          <w:szCs w:val="24"/>
        </w:rPr>
      </w:pPr>
    </w:p>
    <w:p w:rsidR="00EC340B" w:rsidRDefault="00E604E7">
      <w:pPr>
        <w:spacing w:before="240" w:after="24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color w:val="7F6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CC0000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 xml:space="preserve">A resposta pode ser enviada para o seguinte e-mail: </w:t>
      </w:r>
      <w:hyperlink r:id="rId8">
        <w:r>
          <w:rPr>
            <w:rFonts w:ascii="Calibri" w:eastAsia="Calibri" w:hAnsi="Calibri" w:cs="Calibri"/>
            <w:b/>
            <w:bCs/>
            <w:sz w:val="24"/>
            <w:szCs w:val="24"/>
            <w:u w:val="single"/>
          </w:rPr>
          <w:t>mpc@tce.pb.gov.br</w:t>
        </w:r>
      </w:hyperlink>
      <w:r>
        <w:rPr>
          <w:rFonts w:ascii="Calibri" w:eastAsia="Calibri" w:hAnsi="Calibri" w:cs="Calibri"/>
          <w:b/>
          <w:bCs/>
          <w:sz w:val="24"/>
          <w:szCs w:val="24"/>
        </w:rPr>
        <w:t>.</w:t>
      </w:r>
    </w:p>
    <w:p w:rsidR="00EC340B" w:rsidRDefault="00E604E7">
      <w:pPr>
        <w:pBdr>
          <w:top w:val="nil"/>
          <w:left w:val="nil"/>
          <w:bottom w:val="nil"/>
          <w:right w:val="nil"/>
          <w:between w:val="nil"/>
        </w:pBdr>
        <w:spacing w:after="200"/>
        <w:ind w:firstLine="72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Contato telefônico: </w:t>
      </w:r>
      <w:r>
        <w:rPr>
          <w:rFonts w:ascii="Calibri" w:eastAsia="Calibri" w:hAnsi="Calibri" w:cs="Calibri"/>
          <w:b/>
          <w:bCs/>
          <w:sz w:val="24"/>
          <w:szCs w:val="24"/>
        </w:rPr>
        <w:t>(83) 3208-3336.</w:t>
      </w:r>
    </w:p>
    <w:p w:rsidR="00EC340B" w:rsidRDefault="00EC340B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jc w:val="both"/>
        <w:rPr>
          <w:rFonts w:ascii="Calibri" w:eastAsia="Calibri" w:hAnsi="Calibri" w:cs="Calibri"/>
          <w:sz w:val="24"/>
          <w:szCs w:val="24"/>
        </w:rPr>
      </w:pPr>
    </w:p>
    <w:p w:rsidR="00EC340B" w:rsidRDefault="00E604E7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Na certeza do zelo dessa Pasta Estadual com a efetividade das políticas públicas de proteção à dignidade humana</w:t>
      </w:r>
      <w:r>
        <w:rPr>
          <w:rFonts w:ascii="Calibri" w:eastAsia="Calibri" w:hAnsi="Calibri" w:cs="Calibri"/>
          <w:sz w:val="24"/>
          <w:szCs w:val="24"/>
        </w:rPr>
        <w:t>, no que se insere a questão em causa, renovamos os votos de elevada estima e consideração.</w:t>
      </w:r>
    </w:p>
    <w:p w:rsidR="00E604E7" w:rsidRDefault="00E604E7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jc w:val="both"/>
        <w:rPr>
          <w:rFonts w:ascii="Calibri" w:eastAsia="Calibri" w:hAnsi="Calibri" w:cs="Calibri"/>
          <w:sz w:val="24"/>
          <w:szCs w:val="24"/>
        </w:rPr>
      </w:pPr>
    </w:p>
    <w:p w:rsidR="00EC340B" w:rsidRDefault="00E604E7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 os nossos melhores cumprimentos,</w:t>
      </w:r>
    </w:p>
    <w:p w:rsidR="00EC340B" w:rsidRDefault="00EC340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Calibri" w:eastAsia="Calibri" w:hAnsi="Calibri" w:cs="Calibri"/>
          <w:color w:val="7F6000"/>
          <w:sz w:val="24"/>
          <w:szCs w:val="24"/>
        </w:rPr>
      </w:pPr>
    </w:p>
    <w:p w:rsidR="00EC340B" w:rsidRDefault="00EC340B">
      <w:pPr>
        <w:widowControl/>
        <w:spacing w:before="120" w:after="120"/>
        <w:jc w:val="center"/>
        <w:rPr>
          <w:rFonts w:ascii="EB Garamond" w:eastAsia="EB Garamond" w:hAnsi="EB Garamond" w:cs="EB Garamond"/>
          <w:b/>
          <w:bCs/>
          <w:sz w:val="24"/>
          <w:szCs w:val="24"/>
        </w:rPr>
      </w:pPr>
    </w:p>
    <w:p w:rsidR="00EC340B" w:rsidRDefault="00E604E7">
      <w:pPr>
        <w:widowControl/>
        <w:spacing w:before="120" w:after="120"/>
        <w:jc w:val="center"/>
        <w:rPr>
          <w:rFonts w:ascii="EB Garamond" w:eastAsia="EB Garamond" w:hAnsi="EB Garamond" w:cs="EB Garamond"/>
          <w:b/>
          <w:bCs/>
          <w:sz w:val="24"/>
          <w:szCs w:val="24"/>
        </w:rPr>
      </w:pPr>
      <w:r>
        <w:rPr>
          <w:rFonts w:ascii="EB Garamond" w:eastAsia="EB Garamond" w:hAnsi="EB Garamond" w:cs="EB Garamond"/>
          <w:b/>
          <w:bCs/>
          <w:sz w:val="24"/>
          <w:szCs w:val="24"/>
        </w:rPr>
        <w:t>ELVIRA SAMARA PEREIRA DE OLIVEIRA</w:t>
      </w:r>
    </w:p>
    <w:p w:rsidR="00EC340B" w:rsidRDefault="00E604E7">
      <w:pPr>
        <w:widowControl/>
        <w:spacing w:before="240" w:after="240"/>
        <w:jc w:val="center"/>
        <w:rPr>
          <w:rFonts w:ascii="EB Garamond" w:eastAsia="EB Garamond" w:hAnsi="EB Garamond" w:cs="EB Garamond"/>
          <w:sz w:val="24"/>
          <w:szCs w:val="24"/>
        </w:rPr>
      </w:pPr>
      <w:r>
        <w:rPr>
          <w:rFonts w:ascii="EB Garamond" w:eastAsia="EB Garamond" w:hAnsi="EB Garamond" w:cs="EB Garamond"/>
          <w:sz w:val="24"/>
          <w:szCs w:val="24"/>
        </w:rPr>
        <w:t>Procuradora-Geral do Ministério Público de Contas da Paraíba</w:t>
      </w:r>
    </w:p>
    <w:p w:rsidR="00EC340B" w:rsidRDefault="00EC340B">
      <w:pPr>
        <w:jc w:val="center"/>
        <w:rPr>
          <w:rFonts w:ascii="Calibri" w:eastAsia="Calibri" w:hAnsi="Calibri" w:cs="Calibri"/>
          <w:i/>
          <w:iCs/>
          <w:sz w:val="24"/>
          <w:szCs w:val="24"/>
        </w:rPr>
      </w:pPr>
    </w:p>
    <w:p w:rsidR="00EC340B" w:rsidRDefault="00EC340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Calibri" w:eastAsia="Calibri" w:hAnsi="Calibri" w:cs="Calibri"/>
          <w:color w:val="7F6000"/>
          <w:sz w:val="24"/>
          <w:szCs w:val="24"/>
        </w:rPr>
      </w:pPr>
      <w:bookmarkStart w:id="0" w:name="_GoBack"/>
      <w:bookmarkEnd w:id="0"/>
    </w:p>
    <w:sectPr w:rsidR="00EC340B">
      <w:headerReference w:type="default" r:id="rId9"/>
      <w:footerReference w:type="default" r:id="rId10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E604E7">
      <w:r>
        <w:separator/>
      </w:r>
    </w:p>
  </w:endnote>
  <w:endnote w:type="continuationSeparator" w:id="0">
    <w:p w:rsidR="00000000" w:rsidRDefault="00E60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F1C8E04-E5EB-4836-9F87-776536639DA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0B1862C-3394-442E-B3EE-05316ADCF0CD}"/>
    <w:embedBold r:id="rId3" w:fontKey="{FC5B7497-CB04-4E20-B433-E92D2730717E}"/>
    <w:embedItalic r:id="rId4" w:fontKey="{FC175C49-5AE6-4011-84B2-AD5F209C9201}"/>
    <w:embedBoldItalic r:id="rId5" w:fontKey="{E27A2C37-470F-4A54-B8DD-DFA857229D39}"/>
  </w:font>
  <w:font w:name="EB Garamond">
    <w:charset w:val="00"/>
    <w:family w:val="auto"/>
    <w:pitch w:val="default"/>
    <w:embedRegular r:id="rId6" w:fontKey="{0F3697BD-F99F-4E9C-BD64-EC2A07DA03C4}"/>
    <w:embedBold r:id="rId7" w:fontKey="{780C76C0-B1EC-407A-B0B9-5CE2386CBE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C5ACFE0-7D42-44DE-8C73-59F101B1B6F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40B" w:rsidRDefault="00EC340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E604E7">
      <w:r>
        <w:separator/>
      </w:r>
    </w:p>
  </w:footnote>
  <w:footnote w:type="continuationSeparator" w:id="0">
    <w:p w:rsidR="00000000" w:rsidRDefault="00E604E7">
      <w:r>
        <w:continuationSeparator/>
      </w:r>
    </w:p>
  </w:footnote>
  <w:footnote w:id="1">
    <w:p w:rsidR="00EC340B" w:rsidRDefault="00E604E7">
      <w:pPr>
        <w:jc w:val="both"/>
        <w:rPr>
          <w:rFonts w:ascii="Calibri" w:eastAsia="Calibri" w:hAnsi="Calibri" w:cs="Calibri"/>
          <w:sz w:val="18"/>
          <w:szCs w:val="18"/>
          <w:highlight w:val="white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18"/>
          <w:szCs w:val="18"/>
          <w:highlight w:val="white"/>
        </w:rPr>
        <w:t xml:space="preserve">Lei Complementar Estadual nº 192/2024 </w:t>
      </w:r>
      <w:r>
        <w:rPr>
          <w:rFonts w:ascii="Calibri" w:eastAsia="Calibri" w:hAnsi="Calibri" w:cs="Calibri"/>
          <w:sz w:val="18"/>
          <w:szCs w:val="18"/>
          <w:highlight w:val="white"/>
        </w:rPr>
        <w:t>(Lei Orgânica do TCE/PB):</w:t>
      </w:r>
    </w:p>
    <w:p w:rsidR="00EC340B" w:rsidRDefault="00E604E7">
      <w:pPr>
        <w:jc w:val="both"/>
        <w:rPr>
          <w:rFonts w:ascii="Calibri" w:eastAsia="Calibri" w:hAnsi="Calibri" w:cs="Calibri"/>
          <w:i/>
          <w:iCs/>
          <w:sz w:val="18"/>
          <w:szCs w:val="18"/>
          <w:highlight w:val="white"/>
        </w:rPr>
      </w:pPr>
      <w:r>
        <w:rPr>
          <w:rFonts w:ascii="Calibri" w:eastAsia="Calibri" w:hAnsi="Calibri" w:cs="Calibri"/>
          <w:b/>
          <w:bCs/>
          <w:i/>
          <w:iCs/>
          <w:sz w:val="18"/>
          <w:szCs w:val="18"/>
          <w:highlight w:val="white"/>
        </w:rPr>
        <w:t>Art. 30</w:t>
      </w:r>
      <w:r>
        <w:rPr>
          <w:rFonts w:ascii="Calibri" w:eastAsia="Calibri" w:hAnsi="Calibri" w:cs="Calibri"/>
          <w:i/>
          <w:iCs/>
          <w:sz w:val="18"/>
          <w:szCs w:val="18"/>
          <w:highlight w:val="white"/>
        </w:rPr>
        <w:t xml:space="preserve"> Compete ao Ministério Público de Contas, além de outras estabelecidas no Regimento Interno do Tribunal, as seguintes</w:t>
      </w:r>
    </w:p>
    <w:p w:rsidR="00EC340B" w:rsidRDefault="00E604E7">
      <w:pPr>
        <w:jc w:val="both"/>
        <w:rPr>
          <w:rFonts w:ascii="Calibri" w:eastAsia="Calibri" w:hAnsi="Calibri" w:cs="Calibri"/>
          <w:i/>
          <w:iCs/>
          <w:sz w:val="18"/>
          <w:szCs w:val="18"/>
          <w:highlight w:val="white"/>
        </w:rPr>
      </w:pPr>
      <w:proofErr w:type="gramStart"/>
      <w:r>
        <w:rPr>
          <w:rFonts w:ascii="Calibri" w:eastAsia="Calibri" w:hAnsi="Calibri" w:cs="Calibri"/>
          <w:i/>
          <w:iCs/>
          <w:sz w:val="18"/>
          <w:szCs w:val="18"/>
          <w:highlight w:val="white"/>
        </w:rPr>
        <w:t>atribuições</w:t>
      </w:r>
      <w:proofErr w:type="gramEnd"/>
      <w:r>
        <w:rPr>
          <w:rFonts w:ascii="Calibri" w:eastAsia="Calibri" w:hAnsi="Calibri" w:cs="Calibri"/>
          <w:i/>
          <w:iCs/>
          <w:sz w:val="18"/>
          <w:szCs w:val="18"/>
          <w:highlight w:val="white"/>
        </w:rPr>
        <w:t>: (...)</w:t>
      </w:r>
    </w:p>
    <w:p w:rsidR="00EC340B" w:rsidRDefault="00E604E7">
      <w:pPr>
        <w:spacing w:after="200"/>
        <w:jc w:val="both"/>
        <w:rPr>
          <w:rFonts w:ascii="Calibri" w:eastAsia="Calibri" w:hAnsi="Calibri" w:cs="Calibri"/>
          <w:i/>
          <w:iCs/>
          <w:sz w:val="18"/>
          <w:szCs w:val="18"/>
        </w:rPr>
      </w:pPr>
      <w:r>
        <w:rPr>
          <w:rFonts w:ascii="Calibri" w:eastAsia="Calibri" w:hAnsi="Calibri" w:cs="Calibri"/>
          <w:b/>
          <w:bCs/>
          <w:i/>
          <w:iCs/>
          <w:sz w:val="18"/>
          <w:szCs w:val="18"/>
        </w:rPr>
        <w:t>IV –</w:t>
      </w:r>
      <w:r>
        <w:rPr>
          <w:rFonts w:ascii="Calibri" w:eastAsia="Calibri" w:hAnsi="Calibri" w:cs="Calibri"/>
          <w:i/>
          <w:iCs/>
          <w:sz w:val="18"/>
          <w:szCs w:val="18"/>
        </w:rPr>
        <w:t xml:space="preserve"> requisitar informações, documentos e processos junto às autoridades estaduais e municipais, bem como junto às pess</w:t>
      </w:r>
      <w:r>
        <w:rPr>
          <w:rFonts w:ascii="Calibri" w:eastAsia="Calibri" w:hAnsi="Calibri" w:cs="Calibri"/>
          <w:i/>
          <w:iCs/>
          <w:sz w:val="18"/>
          <w:szCs w:val="18"/>
        </w:rPr>
        <w:t>oas jurídicas de direito privado prestadoras de serviços públicos sujeitos à fiscalização do Tribunal de Contas do Estado ou que recebam auxílios ou subvenção da Administração Pública, com o objetivo de subsidiar o exercício de suas atribuições.</w:t>
      </w:r>
    </w:p>
  </w:footnote>
  <w:footnote w:id="2">
    <w:p w:rsidR="00EC340B" w:rsidRDefault="00E604E7">
      <w:pPr>
        <w:jc w:val="both"/>
        <w:rPr>
          <w:rFonts w:ascii="Calibri" w:eastAsia="Calibri" w:hAnsi="Calibri" w:cs="Calibri"/>
          <w:sz w:val="18"/>
          <w:szCs w:val="18"/>
          <w:highlight w:val="white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18"/>
          <w:szCs w:val="18"/>
          <w:highlight w:val="white"/>
        </w:rPr>
        <w:t>Resoluçã</w:t>
      </w:r>
      <w:r>
        <w:rPr>
          <w:rFonts w:ascii="Calibri" w:eastAsia="Calibri" w:hAnsi="Calibri" w:cs="Calibri"/>
          <w:b/>
          <w:bCs/>
          <w:sz w:val="18"/>
          <w:szCs w:val="18"/>
          <w:highlight w:val="white"/>
        </w:rPr>
        <w:t xml:space="preserve">o nº 01/2022 – CP/MPC-PB </w:t>
      </w:r>
      <w:r>
        <w:rPr>
          <w:rFonts w:ascii="Calibri" w:eastAsia="Calibri" w:hAnsi="Calibri" w:cs="Calibri"/>
          <w:sz w:val="18"/>
          <w:szCs w:val="18"/>
          <w:highlight w:val="white"/>
        </w:rPr>
        <w:t>(Regimento Interno do Ministério Público de Contas do Estado da Paraíba):</w:t>
      </w:r>
    </w:p>
    <w:p w:rsidR="00EC340B" w:rsidRDefault="00E604E7">
      <w:pPr>
        <w:jc w:val="both"/>
        <w:rPr>
          <w:rFonts w:ascii="Calibri" w:eastAsia="Calibri" w:hAnsi="Calibri" w:cs="Calibri"/>
          <w:i/>
          <w:iCs/>
          <w:sz w:val="18"/>
          <w:szCs w:val="18"/>
        </w:rPr>
      </w:pPr>
      <w:r>
        <w:rPr>
          <w:rFonts w:ascii="Calibri" w:eastAsia="Calibri" w:hAnsi="Calibri" w:cs="Calibri"/>
          <w:b/>
          <w:bCs/>
          <w:i/>
          <w:iCs/>
          <w:sz w:val="18"/>
          <w:szCs w:val="18"/>
          <w:highlight w:val="white"/>
        </w:rPr>
        <w:t>Art. 2º</w:t>
      </w:r>
      <w:r>
        <w:rPr>
          <w:rFonts w:ascii="Calibri" w:eastAsia="Calibri" w:hAnsi="Calibri" w:cs="Calibri"/>
          <w:i/>
          <w:iCs/>
          <w:sz w:val="18"/>
          <w:szCs w:val="18"/>
          <w:highlight w:val="white"/>
        </w:rPr>
        <w:t xml:space="preserve"> Compete ao Ministério Público de Contas do Estado da Paraíba: (...)</w:t>
      </w:r>
    </w:p>
    <w:p w:rsidR="00EC340B" w:rsidRDefault="00E604E7">
      <w:pPr>
        <w:jc w:val="both"/>
        <w:rPr>
          <w:i/>
          <w:iCs/>
          <w:sz w:val="18"/>
          <w:szCs w:val="18"/>
        </w:rPr>
      </w:pPr>
      <w:r>
        <w:rPr>
          <w:rFonts w:ascii="Calibri" w:eastAsia="Calibri" w:hAnsi="Calibri" w:cs="Calibri"/>
          <w:b/>
          <w:bCs/>
          <w:i/>
          <w:iCs/>
          <w:sz w:val="18"/>
          <w:szCs w:val="18"/>
        </w:rPr>
        <w:t>VIII –</w:t>
      </w:r>
      <w:r>
        <w:rPr>
          <w:rFonts w:ascii="Calibri" w:eastAsia="Calibri" w:hAnsi="Calibri" w:cs="Calibri"/>
          <w:i/>
          <w:iCs/>
          <w:sz w:val="18"/>
          <w:szCs w:val="18"/>
        </w:rPr>
        <w:t xml:space="preserve"> requisitar informações, documentos e processos junto às autoridades estadu</w:t>
      </w:r>
      <w:r>
        <w:rPr>
          <w:rFonts w:ascii="Calibri" w:eastAsia="Calibri" w:hAnsi="Calibri" w:cs="Calibri"/>
          <w:i/>
          <w:iCs/>
          <w:sz w:val="18"/>
          <w:szCs w:val="18"/>
        </w:rPr>
        <w:t>ais e municipais, bem como dos órgãos e entidades da Administração Direta, Indireta e Fundacional, instituídas ou mantidas pelo Poder Público Estadual ou Municipal, com fundamento no art. 78, caput, parte final, da Lei Complementar Estadual n.º 18, de 13 d</w:t>
      </w:r>
      <w:r>
        <w:rPr>
          <w:rFonts w:ascii="Calibri" w:eastAsia="Calibri" w:hAnsi="Calibri" w:cs="Calibri"/>
          <w:i/>
          <w:iCs/>
          <w:sz w:val="18"/>
          <w:szCs w:val="18"/>
        </w:rPr>
        <w:t>e julho de 1993.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40B" w:rsidRDefault="00EC340B"/>
  <w:p w:rsidR="00EC340B" w:rsidRDefault="00EC340B"/>
  <w:p w:rsidR="00EC340B" w:rsidRDefault="00EC340B">
    <w:pPr>
      <w:widowControl/>
      <w:shd w:val="clear" w:color="auto" w:fill="FFFFFF"/>
      <w:tabs>
        <w:tab w:val="center" w:pos="4419"/>
        <w:tab w:val="right" w:pos="8838"/>
      </w:tabs>
      <w:rPr>
        <w:rFonts w:ascii="Times New Roman" w:eastAsia="Times New Roman" w:hAnsi="Times New Roman" w:cs="Times New Roman"/>
        <w:sz w:val="20"/>
        <w:szCs w:val="20"/>
      </w:rPr>
    </w:pPr>
  </w:p>
  <w:p w:rsidR="00EC340B" w:rsidRDefault="00E604E7">
    <w:pPr>
      <w:widowControl/>
      <w:shd w:val="clear" w:color="auto" w:fill="FFFFFF"/>
      <w:tabs>
        <w:tab w:val="center" w:pos="4419"/>
        <w:tab w:val="right" w:pos="8838"/>
      </w:tabs>
      <w:rPr>
        <w:rFonts w:ascii="Times New Roman" w:eastAsia="Times New Roman" w:hAnsi="Times New Roman" w:cs="Times New Roman"/>
        <w:sz w:val="20"/>
        <w:szCs w:val="2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4705350</wp:posOffset>
          </wp:positionH>
          <wp:positionV relativeFrom="paragraph">
            <wp:posOffset>228600</wp:posOffset>
          </wp:positionV>
          <wp:extent cx="623157" cy="614958"/>
          <wp:effectExtent l="0" t="0" r="0" b="0"/>
          <wp:wrapNone/>
          <wp:docPr id="8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3157" cy="6149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5324475</wp:posOffset>
          </wp:positionH>
          <wp:positionV relativeFrom="paragraph">
            <wp:posOffset>228600</wp:posOffset>
          </wp:positionV>
          <wp:extent cx="619125" cy="619125"/>
          <wp:effectExtent l="0" t="0" r="0" b="0"/>
          <wp:wrapNone/>
          <wp:docPr id="8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9125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C340B" w:rsidRDefault="00E604E7">
    <w:pPr>
      <w:widowControl/>
      <w:shd w:val="clear" w:color="auto" w:fill="FFFFFF"/>
      <w:tabs>
        <w:tab w:val="center" w:pos="4419"/>
        <w:tab w:val="right" w:pos="8838"/>
      </w:tabs>
      <w:rPr>
        <w:rFonts w:ascii="Times New Roman" w:eastAsia="Times New Roman" w:hAnsi="Times New Roman" w:cs="Times New Roman"/>
        <w:sz w:val="20"/>
        <w:szCs w:val="20"/>
      </w:rPr>
    </w:pPr>
    <w:r>
      <w:rPr>
        <w:noProof/>
      </w:rPr>
      <w:drawing>
        <wp:inline distT="114300" distB="114300" distL="114300" distR="114300">
          <wp:extent cx="1051250" cy="1391655"/>
          <wp:effectExtent l="0" t="0" r="0" b="0"/>
          <wp:docPr id="8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1250" cy="1391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sz w:val="20"/>
        <w:szCs w:val="20"/>
      </w:rPr>
      <w:t xml:space="preserve">                                                                             </w:t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>
          <wp:simplePos x="0" y="0"/>
          <wp:positionH relativeFrom="column">
            <wp:posOffset>5038725</wp:posOffset>
          </wp:positionH>
          <wp:positionV relativeFrom="paragraph">
            <wp:posOffset>701687</wp:posOffset>
          </wp:positionV>
          <wp:extent cx="619125" cy="610979"/>
          <wp:effectExtent l="0" t="0" r="0" b="0"/>
          <wp:wrapNone/>
          <wp:docPr id="8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9125" cy="61097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C340B" w:rsidRDefault="00EC340B">
    <w:pPr>
      <w:widowControl/>
      <w:shd w:val="clear" w:color="auto" w:fill="FFFFFF"/>
      <w:tabs>
        <w:tab w:val="center" w:pos="4419"/>
        <w:tab w:val="right" w:pos="8838"/>
      </w:tabs>
      <w:rPr>
        <w:rFonts w:ascii="Times New Roman" w:eastAsia="Times New Roman" w:hAnsi="Times New Roman" w:cs="Times New Roman"/>
        <w:sz w:val="20"/>
        <w:szCs w:val="20"/>
      </w:rPr>
    </w:pPr>
  </w:p>
  <w:p w:rsidR="00EC340B" w:rsidRDefault="00EC340B">
    <w:pPr>
      <w:widowControl/>
      <w:shd w:val="clear" w:color="auto" w:fill="FFFFFF"/>
      <w:tabs>
        <w:tab w:val="center" w:pos="4419"/>
        <w:tab w:val="right" w:pos="8838"/>
      </w:tabs>
      <w:rPr>
        <w:rFonts w:ascii="Times New Roman" w:eastAsia="Times New Roman" w:hAnsi="Times New Roman" w:cs="Times New Roman"/>
        <w:sz w:val="20"/>
        <w:szCs w:val="20"/>
      </w:rPr>
    </w:pPr>
  </w:p>
  <w:p w:rsidR="00EC340B" w:rsidRDefault="00EC340B">
    <w:pPr>
      <w:widowControl/>
      <w:shd w:val="clear" w:color="auto" w:fill="FFFFFF"/>
      <w:tabs>
        <w:tab w:val="center" w:pos="4419"/>
        <w:tab w:val="right" w:pos="8838"/>
      </w:tabs>
      <w:rPr>
        <w:rFonts w:ascii="Times New Roman" w:eastAsia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F42ACB"/>
    <w:multiLevelType w:val="multilevel"/>
    <w:tmpl w:val="D13EE6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40B"/>
    <w:rsid w:val="00E604E7"/>
    <w:rsid w:val="00EC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25330C9-AB7B-4A6E-9232-CD5B9E84A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pc@tce.pb.gov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neq9HCT57298Jkg4IhSpFCmI8A==">CgMxLjA4AGo4ChRzdWdnZXN0LmRlOG01Y2w0MDY3cxIgTMO6Y2lhIFBhdHJpY2lvIGRlIFNvdXphIEFyYcO6am9qOAoUc3VnZ2VzdC5oM3phMmhtdDlxaWQSIEzDumNpYSBQYXRyaWNpbyBkZSBTb3V6YSBBcmHDumpvajgKFHN1Z2dlc3Qud3RzYjEydXRmM3g5EiBMw7pjaWEgUGF0cmljaW8gZGUgU291emEgQXJhw7pqb3IhMVV5OEZsREtveGstSVRSVXpTUFdRYnFxaGViVV9kUm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1635</Words>
  <Characters>8829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Luiz de Almeida Pereira</dc:creator>
  <cp:lastModifiedBy>Andre Luiz de Almeida Pereira</cp:lastModifiedBy>
  <cp:revision>2</cp:revision>
  <dcterms:created xsi:type="dcterms:W3CDTF">2026-03-06T11:20:00Z</dcterms:created>
  <dcterms:modified xsi:type="dcterms:W3CDTF">2026-03-06T11:20:00Z</dcterms:modified>
</cp:coreProperties>
</file>