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40B" w:rsidRDefault="00E604E7">
      <w:pPr>
        <w:spacing w:before="240" w:after="240"/>
        <w:jc w:val="both"/>
        <w:rPr>
          <w:rFonts w:ascii="Calibri" w:eastAsia="Calibri" w:hAnsi="Calibri" w:cs="Calibri"/>
          <w:color w:val="1B1C1D"/>
          <w:sz w:val="24"/>
          <w:szCs w:val="24"/>
        </w:rPr>
      </w:pPr>
      <w:r>
        <w:rPr>
          <w:rFonts w:ascii="Calibri" w:eastAsia="Calibri" w:hAnsi="Calibri" w:cs="Calibri"/>
          <w:color w:val="1B1C1D"/>
          <w:sz w:val="24"/>
          <w:szCs w:val="24"/>
        </w:rPr>
        <w:t>Ofício MPC/PB - PROGE n. 00</w:t>
      </w:r>
      <w:r w:rsidR="007C12C0">
        <w:rPr>
          <w:rFonts w:ascii="Calibri" w:eastAsia="Calibri" w:hAnsi="Calibri" w:cs="Calibri"/>
          <w:color w:val="1B1C1D"/>
          <w:sz w:val="24"/>
          <w:szCs w:val="24"/>
        </w:rPr>
        <w:t>3</w:t>
      </w:r>
      <w:r>
        <w:rPr>
          <w:rFonts w:ascii="Calibri" w:eastAsia="Calibri" w:hAnsi="Calibri" w:cs="Calibri"/>
          <w:color w:val="1B1C1D"/>
          <w:sz w:val="24"/>
          <w:szCs w:val="24"/>
        </w:rPr>
        <w:t xml:space="preserve">/2026                </w:t>
      </w:r>
      <w:r w:rsidR="007C12C0">
        <w:rPr>
          <w:rFonts w:ascii="Calibri" w:eastAsia="Calibri" w:hAnsi="Calibri" w:cs="Calibri"/>
          <w:color w:val="1B1C1D"/>
          <w:sz w:val="24"/>
          <w:szCs w:val="24"/>
        </w:rPr>
        <w:t xml:space="preserve">             João Pessoa (PB), 19</w:t>
      </w:r>
      <w:r>
        <w:rPr>
          <w:rFonts w:ascii="Calibri" w:eastAsia="Calibri" w:hAnsi="Calibri" w:cs="Calibri"/>
          <w:color w:val="1B1C1D"/>
          <w:sz w:val="24"/>
          <w:szCs w:val="24"/>
        </w:rPr>
        <w:t xml:space="preserve"> de março de 2026.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</w:p>
    <w:p w:rsidR="007C12C0" w:rsidRPr="007C12C0" w:rsidRDefault="007C12C0" w:rsidP="007C12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 w:rsidRPr="007C12C0">
        <w:rPr>
          <w:rFonts w:ascii="Calibri" w:eastAsia="Calibri" w:hAnsi="Calibri" w:cs="Calibri"/>
          <w:color w:val="1B1C1D"/>
          <w:sz w:val="24"/>
          <w:szCs w:val="24"/>
        </w:rPr>
        <w:t>A Sua Excelência o Senhor</w:t>
      </w:r>
    </w:p>
    <w:p w:rsidR="007C12C0" w:rsidRPr="007C12C0" w:rsidRDefault="007C12C0" w:rsidP="007C12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 w:rsidRPr="007C12C0">
        <w:rPr>
          <w:rFonts w:ascii="Calibri" w:eastAsia="Calibri" w:hAnsi="Calibri" w:cs="Calibri"/>
          <w:color w:val="1B1C1D"/>
          <w:sz w:val="24"/>
          <w:szCs w:val="24"/>
        </w:rPr>
        <w:t>JOSÉ GUILHERME FERRAZ DA COSTA</w:t>
      </w:r>
    </w:p>
    <w:p w:rsidR="007C12C0" w:rsidRPr="007C12C0" w:rsidRDefault="007C12C0" w:rsidP="007C12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1B1C1D"/>
          <w:sz w:val="24"/>
          <w:szCs w:val="24"/>
        </w:rPr>
      </w:pPr>
      <w:r w:rsidRPr="007C12C0">
        <w:rPr>
          <w:rFonts w:ascii="Calibri" w:eastAsia="Calibri" w:hAnsi="Calibri" w:cs="Calibri"/>
          <w:color w:val="1B1C1D"/>
          <w:sz w:val="24"/>
          <w:szCs w:val="24"/>
        </w:rPr>
        <w:t>Procurador da República na Paraíba</w:t>
      </w:r>
    </w:p>
    <w:p w:rsidR="00EC340B" w:rsidRDefault="007C12C0" w:rsidP="007C12C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7F6000"/>
          <w:sz w:val="24"/>
          <w:szCs w:val="24"/>
        </w:rPr>
      </w:pPr>
      <w:r w:rsidRPr="007C12C0">
        <w:rPr>
          <w:rFonts w:ascii="Calibri" w:eastAsia="Calibri" w:hAnsi="Calibri" w:cs="Calibri"/>
          <w:color w:val="1B1C1D"/>
          <w:sz w:val="24"/>
          <w:szCs w:val="24"/>
        </w:rPr>
        <w:t>João Pessoa/PB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EC340B" w:rsidRDefault="00E604E7" w:rsidP="007C12C0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Assunto: </w:t>
      </w:r>
      <w:r w:rsidR="007C12C0" w:rsidRPr="007C12C0">
        <w:rPr>
          <w:rFonts w:ascii="Calibri" w:eastAsia="Calibri" w:hAnsi="Calibri" w:cs="Calibri"/>
          <w:sz w:val="24"/>
          <w:szCs w:val="24"/>
        </w:rPr>
        <w:t>Resposta ao Ofício nº 893/2026/GABPR10-JGFC</w:t>
      </w:r>
      <w:r w:rsidR="007C12C0">
        <w:rPr>
          <w:rFonts w:ascii="Calibri" w:eastAsia="Calibri" w:hAnsi="Calibri" w:cs="Calibri"/>
          <w:sz w:val="24"/>
          <w:szCs w:val="24"/>
        </w:rPr>
        <w:t xml:space="preserve"> -</w:t>
      </w:r>
      <w:r w:rsidR="007C12C0" w:rsidRPr="007C12C0">
        <w:rPr>
          <w:rFonts w:ascii="Calibri" w:eastAsia="Calibri" w:hAnsi="Calibri" w:cs="Calibri"/>
          <w:sz w:val="24"/>
          <w:szCs w:val="24"/>
        </w:rPr>
        <w:t xml:space="preserve"> Inquérito Civil nº 1.24.000.000775/2016-63 e Processo TC nº 03208/24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:rsidR="00EC340B" w:rsidRDefault="007C12C0" w:rsidP="007C12C0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15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Senhor Procurador da República</w:t>
      </w:r>
      <w:r w:rsidR="00E604E7">
        <w:rPr>
          <w:rFonts w:ascii="Calibri" w:eastAsia="Calibri" w:hAnsi="Calibri" w:cs="Calibri"/>
          <w:sz w:val="24"/>
          <w:szCs w:val="24"/>
        </w:rPr>
        <w:t>,</w:t>
      </w:r>
    </w:p>
    <w:p w:rsidR="007C12C0" w:rsidRDefault="007C12C0" w:rsidP="007C12C0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:rsidR="007C12C0" w:rsidRPr="007C12C0" w:rsidRDefault="007C12C0" w:rsidP="007C12C0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1560"/>
        <w:jc w:val="both"/>
        <w:rPr>
          <w:rFonts w:ascii="Calibri" w:eastAsia="Calibri" w:hAnsi="Calibri" w:cs="Calibri"/>
          <w:sz w:val="24"/>
          <w:szCs w:val="24"/>
        </w:rPr>
      </w:pPr>
      <w:r w:rsidRPr="007C12C0">
        <w:rPr>
          <w:rFonts w:ascii="Calibri" w:eastAsia="Calibri" w:hAnsi="Calibri" w:cs="Calibri"/>
          <w:sz w:val="24"/>
          <w:szCs w:val="24"/>
        </w:rPr>
        <w:t>Cumprimento-o cordialmente e</w:t>
      </w:r>
      <w:r>
        <w:rPr>
          <w:rFonts w:ascii="Calibri" w:eastAsia="Calibri" w:hAnsi="Calibri" w:cs="Calibri"/>
          <w:sz w:val="24"/>
          <w:szCs w:val="24"/>
        </w:rPr>
        <w:t xml:space="preserve">, no que se refere ao </w:t>
      </w:r>
      <w:r w:rsidRPr="007C12C0">
        <w:rPr>
          <w:rFonts w:ascii="Calibri" w:eastAsia="Calibri" w:hAnsi="Calibri" w:cs="Calibri"/>
          <w:sz w:val="24"/>
          <w:szCs w:val="24"/>
        </w:rPr>
        <w:t xml:space="preserve">Ofício nº 893/2026/GABPR10-JGFC, por meio do qual Vossa </w:t>
      </w:r>
      <w:r w:rsidR="0077486A">
        <w:rPr>
          <w:rFonts w:ascii="Calibri" w:eastAsia="Calibri" w:hAnsi="Calibri" w:cs="Calibri"/>
          <w:sz w:val="24"/>
          <w:szCs w:val="24"/>
        </w:rPr>
        <w:t xml:space="preserve">Excelência </w:t>
      </w:r>
      <w:bookmarkStart w:id="0" w:name="_GoBack"/>
      <w:bookmarkEnd w:id="0"/>
      <w:r w:rsidRPr="007C12C0">
        <w:rPr>
          <w:rFonts w:ascii="Calibri" w:eastAsia="Calibri" w:hAnsi="Calibri" w:cs="Calibri"/>
          <w:sz w:val="24"/>
          <w:szCs w:val="24"/>
        </w:rPr>
        <w:t>solicita a análise quanto à possibilidade de inclusão do Secretário Municipal de Saúde de João Pessoa no polo passivo da Representação autuada sob o Processo TC nº 03208/24.</w:t>
      </w:r>
    </w:p>
    <w:p w:rsidR="00F926A1" w:rsidRPr="00F926A1" w:rsidRDefault="00F926A1" w:rsidP="00F926A1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1560"/>
        <w:jc w:val="both"/>
        <w:rPr>
          <w:rFonts w:ascii="Calibri" w:eastAsia="Calibri" w:hAnsi="Calibri" w:cs="Calibri"/>
          <w:sz w:val="24"/>
          <w:szCs w:val="24"/>
        </w:rPr>
      </w:pPr>
      <w:r w:rsidRPr="00F926A1">
        <w:rPr>
          <w:rFonts w:ascii="Calibri" w:eastAsia="Calibri" w:hAnsi="Calibri" w:cs="Calibri"/>
          <w:sz w:val="24"/>
          <w:szCs w:val="24"/>
        </w:rPr>
        <w:t>Sobre o pleito, informo a essa Procuradoria da República que a inclusão pretendida encontra óbice processual, uma vez que o referido processo já foi objeto de julgamento definitivo pela 1ª Câmara do Tribunal de Contas do Estado da Paraíba. A decisão, formalizada no Acórdão AC1-TC 00816/25, delimitou o objeto da lide especificamente à regularização do quadro de cirurgiões pediátricos da rede estadual de saúde, sob responsabilidade da Secretaria de Estado da Saúde e da Fundação PB Saúde.</w:t>
      </w:r>
    </w:p>
    <w:p w:rsidR="00F926A1" w:rsidRDefault="00F926A1" w:rsidP="00F926A1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1560"/>
        <w:jc w:val="both"/>
        <w:rPr>
          <w:rFonts w:ascii="Calibri" w:eastAsia="Calibri" w:hAnsi="Calibri" w:cs="Calibri"/>
          <w:sz w:val="24"/>
          <w:szCs w:val="24"/>
        </w:rPr>
      </w:pPr>
      <w:r w:rsidRPr="00F926A1">
        <w:rPr>
          <w:rFonts w:ascii="Calibri" w:eastAsia="Calibri" w:hAnsi="Calibri" w:cs="Calibri"/>
          <w:sz w:val="24"/>
          <w:szCs w:val="24"/>
        </w:rPr>
        <w:t>Nesse julgado, o Tribunal de Contas</w:t>
      </w:r>
      <w:r>
        <w:rPr>
          <w:rFonts w:ascii="Calibri" w:eastAsia="Calibri" w:hAnsi="Calibri" w:cs="Calibri"/>
          <w:sz w:val="24"/>
          <w:szCs w:val="24"/>
        </w:rPr>
        <w:t xml:space="preserve"> recomendou que os gestores à época, envidassem </w:t>
      </w:r>
      <w:r w:rsidRPr="00F926A1">
        <w:rPr>
          <w:rFonts w:ascii="Calibri" w:eastAsia="Calibri" w:hAnsi="Calibri" w:cs="Calibri"/>
          <w:sz w:val="24"/>
          <w:szCs w:val="24"/>
        </w:rPr>
        <w:t>esforços no sentido da regularização, o mais breve possível, do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926A1">
        <w:rPr>
          <w:rFonts w:ascii="Calibri" w:eastAsia="Calibri" w:hAnsi="Calibri" w:cs="Calibri"/>
          <w:sz w:val="24"/>
          <w:szCs w:val="24"/>
        </w:rPr>
        <w:t>quadro de cirurgiões pediátricos da rede estadual de saúde, de modo a permitir a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926A1">
        <w:rPr>
          <w:rFonts w:ascii="Calibri" w:eastAsia="Calibri" w:hAnsi="Calibri" w:cs="Calibri"/>
          <w:sz w:val="24"/>
          <w:szCs w:val="24"/>
        </w:rPr>
        <w:t>satisfação do melhor atendimento à população paraibana, seguindo as orientações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926A1">
        <w:rPr>
          <w:rFonts w:ascii="Calibri" w:eastAsia="Calibri" w:hAnsi="Calibri" w:cs="Calibri"/>
          <w:sz w:val="24"/>
          <w:szCs w:val="24"/>
        </w:rPr>
        <w:t>da Política Nacional de Atenção Especializada em Saúde (PNAES) e as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926A1">
        <w:rPr>
          <w:rFonts w:ascii="Calibri" w:eastAsia="Calibri" w:hAnsi="Calibri" w:cs="Calibri"/>
          <w:sz w:val="24"/>
          <w:szCs w:val="24"/>
        </w:rPr>
        <w:t>recomendações do Ministério Público Federal, sob pena de repercussão negativa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F926A1">
        <w:rPr>
          <w:rFonts w:ascii="Calibri" w:eastAsia="Calibri" w:hAnsi="Calibri" w:cs="Calibri"/>
          <w:sz w:val="24"/>
          <w:szCs w:val="24"/>
        </w:rPr>
        <w:t>na análise das prestações de contas futuras da Secretaria de Estado da Saúde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EC340B" w:rsidRDefault="007C12C0" w:rsidP="00F926A1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1560"/>
        <w:jc w:val="both"/>
        <w:rPr>
          <w:rFonts w:ascii="Calibri" w:eastAsia="Calibri" w:hAnsi="Calibri" w:cs="Calibri"/>
          <w:sz w:val="24"/>
          <w:szCs w:val="24"/>
        </w:rPr>
      </w:pPr>
      <w:r w:rsidRPr="007C12C0">
        <w:rPr>
          <w:rFonts w:ascii="Calibri" w:eastAsia="Calibri" w:hAnsi="Calibri" w:cs="Calibri"/>
          <w:sz w:val="24"/>
          <w:szCs w:val="24"/>
        </w:rPr>
        <w:t xml:space="preserve">Todavia, diante do panorama crítico reportado por Vossa Excelência quanto à </w:t>
      </w:r>
      <w:r w:rsidRPr="007C12C0">
        <w:rPr>
          <w:rFonts w:ascii="Calibri" w:eastAsia="Calibri" w:hAnsi="Calibri" w:cs="Calibri"/>
          <w:sz w:val="24"/>
          <w:szCs w:val="24"/>
        </w:rPr>
        <w:lastRenderedPageBreak/>
        <w:t>falta de avanços na contratação de profissionais para o Instituto Cândida Vargas, este Ministério Público de Contas comunica que procederá a uma avaliação criteriosa da situação específica do Município de João Pessoa. O objetivo é analisar a viabilidade de novas medidas fiscalizatórias ou de uma representação própria voltada à rede municipal.</w:t>
      </w:r>
    </w:p>
    <w:p w:rsidR="00E604E7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</w:p>
    <w:p w:rsidR="00EC340B" w:rsidRDefault="00E604E7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 os nossos melhores cumprimentos,</w:t>
      </w: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7C12C0" w:rsidRDefault="007C12C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p w:rsidR="007C12C0" w:rsidRDefault="00E604E7" w:rsidP="007C12C0">
      <w:pPr>
        <w:widowControl/>
        <w:jc w:val="center"/>
        <w:rPr>
          <w:rFonts w:ascii="EB Garamond" w:eastAsia="EB Garamond" w:hAnsi="EB Garamond" w:cs="EB Garamond"/>
          <w:b/>
          <w:bCs/>
          <w:sz w:val="24"/>
          <w:szCs w:val="24"/>
        </w:rPr>
      </w:pPr>
      <w:r>
        <w:rPr>
          <w:rFonts w:ascii="EB Garamond" w:eastAsia="EB Garamond" w:hAnsi="EB Garamond" w:cs="EB Garamond"/>
          <w:b/>
          <w:bCs/>
          <w:sz w:val="24"/>
          <w:szCs w:val="24"/>
        </w:rPr>
        <w:t>ELVIRA SAMARA PEREIRA DE OLIVEIRA</w:t>
      </w:r>
    </w:p>
    <w:p w:rsidR="00EC340B" w:rsidRDefault="00E604E7" w:rsidP="007C12C0">
      <w:pPr>
        <w:widowControl/>
        <w:jc w:val="center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Procuradora-Geral do Ministério Público de Contas da Paraíba</w:t>
      </w:r>
    </w:p>
    <w:p w:rsidR="00EC340B" w:rsidRDefault="00EC340B">
      <w:pPr>
        <w:jc w:val="center"/>
        <w:rPr>
          <w:rFonts w:ascii="Calibri" w:eastAsia="Calibri" w:hAnsi="Calibri" w:cs="Calibri"/>
          <w:i/>
          <w:iCs/>
          <w:sz w:val="24"/>
          <w:szCs w:val="24"/>
        </w:rPr>
      </w:pPr>
    </w:p>
    <w:p w:rsidR="00EC340B" w:rsidRDefault="00EC34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Calibri" w:eastAsia="Calibri" w:hAnsi="Calibri" w:cs="Calibri"/>
          <w:color w:val="7F6000"/>
          <w:sz w:val="24"/>
          <w:szCs w:val="24"/>
        </w:rPr>
      </w:pPr>
    </w:p>
    <w:sectPr w:rsidR="00EC340B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C9B" w:rsidRDefault="00E604E7">
      <w:r>
        <w:separator/>
      </w:r>
    </w:p>
  </w:endnote>
  <w:endnote w:type="continuationSeparator" w:id="0">
    <w:p w:rsidR="00F11C9B" w:rsidRDefault="00E60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661E94-597B-4CB6-990A-AFAA0D8E72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CA1C464-FF9C-4E64-A058-D66F137F7357}"/>
    <w:embedBold r:id="rId3" w:fontKey="{2DBA28CA-D131-41F7-9F18-3B32B94AB9D9}"/>
    <w:embedItalic r:id="rId4" w:fontKey="{2C0365B7-06D2-4488-825C-AE3F3007ED5C}"/>
  </w:font>
  <w:font w:name="EB Garamond">
    <w:charset w:val="00"/>
    <w:family w:val="auto"/>
    <w:pitch w:val="default"/>
    <w:embedRegular r:id="rId5" w:fontKey="{0C41778B-02F8-4398-9314-31B8069845D5}"/>
    <w:embedBold r:id="rId6" w:fontKey="{943156D5-402F-4A06-BF36-3E7723401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7201AF4-A194-4224-9043-83B6EC0C53E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C9B" w:rsidRDefault="00E604E7">
      <w:r>
        <w:separator/>
      </w:r>
    </w:p>
  </w:footnote>
  <w:footnote w:type="continuationSeparator" w:id="0">
    <w:p w:rsidR="00F11C9B" w:rsidRDefault="00E604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40B" w:rsidRDefault="00EC340B"/>
  <w:p w:rsidR="00EC340B" w:rsidRDefault="00EC340B"/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604E7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7C12C0">
      <w:rPr>
        <w:noProof/>
      </w:rPr>
      <w:drawing>
        <wp:inline distT="114300" distB="114300" distL="114300" distR="114300" wp14:anchorId="1441F045" wp14:editId="40AB5538">
          <wp:extent cx="1051250" cy="1391655"/>
          <wp:effectExtent l="0" t="0" r="0" b="0"/>
          <wp:docPr id="8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1250" cy="139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sz w:val="20"/>
        <w:szCs w:val="20"/>
      </w:rPr>
      <w:t xml:space="preserve">   </w:t>
    </w: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  <w:p w:rsidR="00EC340B" w:rsidRDefault="00EC340B">
    <w:pPr>
      <w:widowControl/>
      <w:shd w:val="clear" w:color="auto" w:fill="FFFFFF"/>
      <w:tabs>
        <w:tab w:val="center" w:pos="4419"/>
        <w:tab w:val="right" w:pos="8838"/>
      </w:tabs>
      <w:rPr>
        <w:rFonts w:ascii="Times New Roman" w:eastAsia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130FF6"/>
    <w:rsid w:val="0077486A"/>
    <w:rsid w:val="007C12C0"/>
    <w:rsid w:val="00E604E7"/>
    <w:rsid w:val="00EC340B"/>
    <w:rsid w:val="00F11C9B"/>
    <w:rsid w:val="00F9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5330C9-AB7B-4A6E-9232-CD5B9E84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C12C0"/>
  </w:style>
  <w:style w:type="paragraph" w:styleId="Rodap">
    <w:name w:val="footer"/>
    <w:basedOn w:val="Normal"/>
    <w:link w:val="RodapChar"/>
    <w:uiPriority w:val="99"/>
    <w:unhideWhenUsed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C1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eq9HCT57298Jkg4IhSpFCmI8A==">CgMxLjA4AGo4ChRzdWdnZXN0LmRlOG01Y2w0MDY3cxIgTMO6Y2lhIFBhdHJpY2lvIGRlIFNvdXphIEFyYcO6am9qOAoUc3VnZ2VzdC5oM3phMmhtdDlxaWQSIEzDumNpYSBQYXRyaWNpbyBkZSBTb3V6YSBBcmHDumpvajgKFHN1Z2dlc3Qud3RzYjEydXRmM3g5EiBMw7pjaWEgUGF0cmljaW8gZGUgU291emEgQXJhw7pqb3IhMVV5OEZsREtveGstSVRSVXpTUFdRYnFxaGViVV9kUm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Luiz de Almeida Pereira</dc:creator>
  <cp:lastModifiedBy>Andre Luiz de Almeida Pereira</cp:lastModifiedBy>
  <cp:revision>2</cp:revision>
  <dcterms:created xsi:type="dcterms:W3CDTF">2026-03-20T11:32:00Z</dcterms:created>
  <dcterms:modified xsi:type="dcterms:W3CDTF">2026-03-20T11:32:00Z</dcterms:modified>
</cp:coreProperties>
</file>