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475" w:rsidRPr="002761AC" w:rsidRDefault="00134188">
      <w:pPr>
        <w:spacing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b/>
          <w:sz w:val="24"/>
          <w:szCs w:val="24"/>
        </w:rPr>
        <w:t xml:space="preserve">Ofício MPC/PB - PROGE n. </w:t>
      </w:r>
      <w:r w:rsidR="002761AC" w:rsidRPr="002761AC">
        <w:rPr>
          <w:rFonts w:ascii="Arial Narrow" w:eastAsia="Times New Roman" w:hAnsi="Arial Narrow" w:cs="Times New Roman"/>
          <w:b/>
          <w:sz w:val="24"/>
          <w:szCs w:val="24"/>
        </w:rPr>
        <w:t>1</w:t>
      </w:r>
      <w:r w:rsidR="00254C7E">
        <w:rPr>
          <w:rFonts w:ascii="Arial Narrow" w:eastAsia="Times New Roman" w:hAnsi="Arial Narrow" w:cs="Times New Roman"/>
          <w:b/>
          <w:sz w:val="24"/>
          <w:szCs w:val="24"/>
        </w:rPr>
        <w:t>8</w:t>
      </w:r>
      <w:r w:rsidRPr="002761AC">
        <w:rPr>
          <w:rFonts w:ascii="Arial Narrow" w:eastAsia="Times New Roman" w:hAnsi="Arial Narrow" w:cs="Times New Roman"/>
          <w:b/>
          <w:sz w:val="24"/>
          <w:szCs w:val="24"/>
        </w:rPr>
        <w:t xml:space="preserve">/2025  </w:t>
      </w: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           </w:t>
      </w:r>
      <w:r w:rsidR="002761AC">
        <w:rPr>
          <w:rFonts w:ascii="Arial Narrow" w:eastAsia="Times New Roman" w:hAnsi="Arial Narrow" w:cs="Times New Roman"/>
          <w:sz w:val="24"/>
          <w:szCs w:val="24"/>
        </w:rPr>
        <w:t xml:space="preserve">               </w:t>
      </w: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   João Pessoa (PB), </w:t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fldChar w:fldCharType="begin"/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instrText xml:space="preserve"> TIME \@ "d' de 'MMMM' de 'yyyy" </w:instrText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fldChar w:fldCharType="separate"/>
      </w:r>
      <w:r w:rsidR="002761AC" w:rsidRPr="002761AC">
        <w:rPr>
          <w:rFonts w:ascii="Arial Narrow" w:eastAsia="Times New Roman" w:hAnsi="Arial Narrow" w:cs="Times New Roman"/>
          <w:noProof/>
          <w:sz w:val="24"/>
          <w:szCs w:val="24"/>
        </w:rPr>
        <w:t>12 de dezembro de 2025</w:t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fldChar w:fldCharType="end"/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t>.</w:t>
      </w:r>
    </w:p>
    <w:p w:rsidR="00A81475" w:rsidRPr="002761AC" w:rsidRDefault="00A81475">
      <w:pPr>
        <w:spacing w:line="240" w:lineRule="auto"/>
        <w:rPr>
          <w:rFonts w:ascii="Arial Narrow" w:eastAsia="Times New Roman" w:hAnsi="Arial Narrow" w:cs="Times New Roman"/>
          <w:b/>
          <w:sz w:val="24"/>
          <w:szCs w:val="24"/>
        </w:rPr>
      </w:pPr>
    </w:p>
    <w:p w:rsidR="002761AC" w:rsidRPr="002761AC" w:rsidRDefault="002761AC" w:rsidP="002761A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Ao</w:t>
      </w:r>
    </w:p>
    <w:p w:rsidR="002761AC" w:rsidRPr="002761AC" w:rsidRDefault="002761AC" w:rsidP="002761A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Excelentíssimo Senhor</w:t>
      </w:r>
    </w:p>
    <w:p w:rsidR="002761AC" w:rsidRPr="002761AC" w:rsidRDefault="002761AC" w:rsidP="002761A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ANTÔNIO BARROSO PONTES NETO</w:t>
      </w:r>
    </w:p>
    <w:p w:rsidR="002761AC" w:rsidRPr="002761AC" w:rsidRDefault="002761AC" w:rsidP="002761A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37º Promotor de Justiça – Tutela do Patrimônio Público</w:t>
      </w:r>
    </w:p>
    <w:p w:rsidR="003F72BE" w:rsidRPr="002761AC" w:rsidRDefault="002761AC" w:rsidP="002761A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Ministério Público do Estado da Paraíba</w:t>
      </w:r>
    </w:p>
    <w:p w:rsidR="002761AC" w:rsidRPr="002761AC" w:rsidRDefault="002761AC">
      <w:pPr>
        <w:spacing w:line="240" w:lineRule="auto"/>
        <w:rPr>
          <w:rFonts w:ascii="Arial Narrow" w:eastAsia="Times New Roman" w:hAnsi="Arial Narrow" w:cs="Times New Roman"/>
          <w:b/>
          <w:sz w:val="24"/>
          <w:szCs w:val="24"/>
        </w:rPr>
      </w:pPr>
    </w:p>
    <w:p w:rsidR="00A81475" w:rsidRPr="002761AC" w:rsidRDefault="00134188" w:rsidP="002761AC">
      <w:pPr>
        <w:spacing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b/>
          <w:sz w:val="24"/>
          <w:szCs w:val="24"/>
        </w:rPr>
        <w:t>Assunto:</w:t>
      </w:r>
      <w:r w:rsidR="009D540D" w:rsidRPr="002761AC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="003F72BE" w:rsidRPr="002761AC">
        <w:rPr>
          <w:rFonts w:ascii="Arial Narrow" w:eastAsia="Times New Roman" w:hAnsi="Arial Narrow" w:cs="Times New Roman"/>
          <w:sz w:val="24"/>
          <w:szCs w:val="24"/>
        </w:rPr>
        <w:t xml:space="preserve">Resposta </w:t>
      </w:r>
      <w:r w:rsidR="00F05D4F" w:rsidRPr="002761AC">
        <w:rPr>
          <w:rFonts w:ascii="Arial Narrow" w:eastAsia="Times New Roman" w:hAnsi="Arial Narrow" w:cs="Times New Roman"/>
          <w:sz w:val="24"/>
          <w:szCs w:val="24"/>
        </w:rPr>
        <w:t xml:space="preserve">ao Ofício </w:t>
      </w:r>
      <w:r w:rsidR="002761AC" w:rsidRPr="002761AC">
        <w:rPr>
          <w:rFonts w:ascii="Arial Narrow" w:eastAsia="Times New Roman" w:hAnsi="Arial Narrow" w:cs="Times New Roman"/>
          <w:sz w:val="24"/>
          <w:szCs w:val="24"/>
        </w:rPr>
        <w:t>nº 160/37º PJ – João Pessoa/2025</w:t>
      </w:r>
      <w:r w:rsidR="002761AC">
        <w:rPr>
          <w:rFonts w:ascii="Arial Narrow" w:eastAsia="Times New Roman" w:hAnsi="Arial Narrow" w:cs="Times New Roman"/>
          <w:sz w:val="24"/>
          <w:szCs w:val="24"/>
        </w:rPr>
        <w:t>.</w:t>
      </w:r>
    </w:p>
    <w:p w:rsidR="002761AC" w:rsidRPr="002761AC" w:rsidRDefault="002761AC">
      <w:pPr>
        <w:spacing w:line="240" w:lineRule="auto"/>
        <w:ind w:firstLine="720"/>
        <w:rPr>
          <w:rFonts w:ascii="Arial Narrow" w:eastAsia="Times New Roman" w:hAnsi="Arial Narrow" w:cs="Times New Roman"/>
          <w:b/>
          <w:sz w:val="24"/>
          <w:szCs w:val="24"/>
        </w:rPr>
      </w:pPr>
    </w:p>
    <w:p w:rsidR="00A81475" w:rsidRPr="002761AC" w:rsidRDefault="002761AC" w:rsidP="002761AC">
      <w:pPr>
        <w:spacing w:line="240" w:lineRule="auto"/>
        <w:ind w:firstLine="1418"/>
        <w:rPr>
          <w:rFonts w:ascii="Arial Narrow" w:eastAsia="Times New Roman" w:hAnsi="Arial Narrow" w:cs="Times New Roman"/>
          <w:b/>
          <w:sz w:val="24"/>
          <w:szCs w:val="24"/>
        </w:rPr>
      </w:pPr>
      <w:r>
        <w:rPr>
          <w:rFonts w:ascii="Arial Narrow" w:eastAsia="Times New Roman" w:hAnsi="Arial Narrow" w:cs="Times New Roman"/>
          <w:b/>
          <w:sz w:val="24"/>
          <w:szCs w:val="24"/>
        </w:rPr>
        <w:t xml:space="preserve">Exmo. </w:t>
      </w:r>
      <w:r w:rsidR="00134188" w:rsidRPr="002761AC">
        <w:rPr>
          <w:rFonts w:ascii="Arial Narrow" w:eastAsia="Times New Roman" w:hAnsi="Arial Narrow" w:cs="Times New Roman"/>
          <w:b/>
          <w:sz w:val="24"/>
          <w:szCs w:val="24"/>
        </w:rPr>
        <w:t>Sr</w:t>
      </w:r>
      <w:r>
        <w:rPr>
          <w:rFonts w:ascii="Arial Narrow" w:eastAsia="Times New Roman" w:hAnsi="Arial Narrow" w:cs="Times New Roman"/>
          <w:b/>
          <w:sz w:val="24"/>
          <w:szCs w:val="24"/>
        </w:rPr>
        <w:t>.</w:t>
      </w:r>
      <w:r w:rsidR="00134188" w:rsidRPr="002761AC">
        <w:rPr>
          <w:rFonts w:ascii="Arial Narrow" w:eastAsia="Times New Roman" w:hAnsi="Arial Narrow" w:cs="Times New Roman"/>
          <w:b/>
          <w:sz w:val="24"/>
          <w:szCs w:val="24"/>
        </w:rPr>
        <w:t xml:space="preserve"> </w:t>
      </w:r>
      <w:r w:rsidRPr="002761AC">
        <w:rPr>
          <w:rFonts w:ascii="Arial Narrow" w:eastAsia="Times New Roman" w:hAnsi="Arial Narrow" w:cs="Times New Roman"/>
          <w:b/>
          <w:sz w:val="24"/>
          <w:szCs w:val="24"/>
        </w:rPr>
        <w:t>Promotor</w:t>
      </w:r>
      <w:r w:rsidR="00134188" w:rsidRPr="002761AC">
        <w:rPr>
          <w:rFonts w:ascii="Arial Narrow" w:eastAsia="Times New Roman" w:hAnsi="Arial Narrow" w:cs="Times New Roman"/>
          <w:b/>
          <w:sz w:val="24"/>
          <w:szCs w:val="24"/>
        </w:rPr>
        <w:t>,</w:t>
      </w:r>
    </w:p>
    <w:p w:rsidR="003F72BE" w:rsidRPr="002761AC" w:rsidRDefault="003F72BE">
      <w:pPr>
        <w:spacing w:line="240" w:lineRule="auto"/>
        <w:ind w:firstLine="720"/>
        <w:rPr>
          <w:rFonts w:ascii="Arial Narrow" w:eastAsia="Times New Roman" w:hAnsi="Arial Narrow" w:cs="Times New Roman"/>
          <w:b/>
          <w:sz w:val="24"/>
          <w:szCs w:val="24"/>
        </w:rPr>
      </w:pP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Cumprimentando-o cordialmente, em atenção ao Ofício nº 160/37º PJ – João Pessoa/2025, por meio do qual Vossa Excelência solicita informações acerca do acompanhamento, da prestação de contas e da fiscalização dos recursos do </w:t>
      </w:r>
      <w:r w:rsidRPr="00254C7E">
        <w:rPr>
          <w:rFonts w:ascii="Arial Narrow" w:eastAsia="Times New Roman" w:hAnsi="Arial Narrow" w:cs="Times New Roman"/>
          <w:b/>
          <w:sz w:val="24"/>
          <w:szCs w:val="24"/>
        </w:rPr>
        <w:t>Fundo de Apoio ao Registro Civil das Pessoas Naturais da Paraíba – FARPEN/PB</w:t>
      </w:r>
      <w:r w:rsidRPr="002761AC">
        <w:rPr>
          <w:rFonts w:ascii="Arial Narrow" w:eastAsia="Times New Roman" w:hAnsi="Arial Narrow" w:cs="Times New Roman"/>
          <w:sz w:val="24"/>
          <w:szCs w:val="24"/>
        </w:rPr>
        <w:t>, este Ministério Público de Contas passa a se manifestar nos seguintes termos.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Inicialmente, informa-se que os questionamentos formulados foram encaminhados ao </w:t>
      </w:r>
      <w:r w:rsidR="00254C7E">
        <w:rPr>
          <w:rFonts w:ascii="Arial Narrow" w:eastAsia="Times New Roman" w:hAnsi="Arial Narrow" w:cs="Times New Roman"/>
          <w:sz w:val="24"/>
          <w:szCs w:val="24"/>
        </w:rPr>
        <w:t>Ó</w:t>
      </w: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rgão </w:t>
      </w:r>
      <w:r w:rsidR="00254C7E">
        <w:rPr>
          <w:rFonts w:ascii="Arial Narrow" w:eastAsia="Times New Roman" w:hAnsi="Arial Narrow" w:cs="Times New Roman"/>
          <w:sz w:val="24"/>
          <w:szCs w:val="24"/>
        </w:rPr>
        <w:t>T</w:t>
      </w: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écnico competente do Tribunal de Contas do Estado da Paraíba, tendo sido apresentada manifestação específica pelo </w:t>
      </w:r>
      <w:r w:rsidRPr="00254C7E">
        <w:rPr>
          <w:rFonts w:ascii="Arial Narrow" w:eastAsia="Times New Roman" w:hAnsi="Arial Narrow" w:cs="Times New Roman"/>
          <w:b/>
          <w:sz w:val="24"/>
          <w:szCs w:val="24"/>
        </w:rPr>
        <w:t>Departamento de Auditoria da Gestão Estadual – DEAGE</w:t>
      </w:r>
      <w:r w:rsidRPr="002761AC">
        <w:rPr>
          <w:rFonts w:ascii="Arial Narrow" w:eastAsia="Times New Roman" w:hAnsi="Arial Narrow" w:cs="Times New Roman"/>
          <w:sz w:val="24"/>
          <w:szCs w:val="24"/>
        </w:rPr>
        <w:t>, cuja resposta técnica segue anexa, in</w:t>
      </w:r>
      <w:r>
        <w:rPr>
          <w:rFonts w:ascii="Arial Narrow" w:eastAsia="Times New Roman" w:hAnsi="Arial Narrow" w:cs="Times New Roman"/>
          <w:sz w:val="24"/>
          <w:szCs w:val="24"/>
        </w:rPr>
        <w:t>tegrando o presente expediente.</w:t>
      </w:r>
    </w:p>
    <w:p w:rsidR="002761AC" w:rsidRPr="00254C7E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b/>
          <w:sz w:val="24"/>
          <w:szCs w:val="24"/>
        </w:rPr>
      </w:pPr>
      <w:r w:rsidRPr="00254C7E">
        <w:rPr>
          <w:rFonts w:ascii="Arial Narrow" w:eastAsia="Times New Roman" w:hAnsi="Arial Narrow" w:cs="Times New Roman"/>
          <w:b/>
          <w:sz w:val="24"/>
          <w:szCs w:val="24"/>
        </w:rPr>
        <w:t>a) Quanto à forma de prestação de contas do FARPEN, critérios avaliados e periodicidade</w:t>
      </w:r>
      <w:r w:rsidRPr="00254C7E">
        <w:rPr>
          <w:rFonts w:ascii="Arial Narrow" w:eastAsia="Times New Roman" w:hAnsi="Arial Narrow" w:cs="Times New Roman"/>
          <w:b/>
          <w:sz w:val="24"/>
          <w:szCs w:val="24"/>
        </w:rPr>
        <w:t>: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Conforme esclarecido pela DEAGE, </w:t>
      </w:r>
      <w:r w:rsidRPr="00254C7E">
        <w:rPr>
          <w:rFonts w:ascii="Arial Narrow" w:eastAsia="Times New Roman" w:hAnsi="Arial Narrow" w:cs="Times New Roman"/>
          <w:b/>
          <w:sz w:val="24"/>
          <w:szCs w:val="24"/>
        </w:rPr>
        <w:t>o FARPEN/PB é jurisdicionado desta Corte de Contas, prestando contas anuais</w:t>
      </w: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, além de encaminhar balancetes mensais, os quais são </w:t>
      </w:r>
      <w:r w:rsidRPr="002761AC">
        <w:rPr>
          <w:rFonts w:ascii="Arial Narrow" w:eastAsia="Times New Roman" w:hAnsi="Arial Narrow" w:cs="Times New Roman"/>
          <w:sz w:val="24"/>
          <w:szCs w:val="24"/>
        </w:rPr>
        <w:lastRenderedPageBreak/>
        <w:t>disponibilizados para análise por meio dos sistemas oficiais de acompanhamento da gestão, a exemplo do SAGRES e do SIAF.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As prestações de contas anuais abrangem a análise dos aspectos contábil, financeiro, orçamentário e de resultados, sob os prismas da legalidade, legitimidade e economicidade, observadas as normas regimentais e regulamentares do TCE-PB. As contas referentes aos exercícios de 2020 a 2024 já foram objeto de apreciação por este Tribunal, encontrando-se a prestação de contas do exercício de 2025 dentro do prazo legal para apresentação, sem prejuízo do acompanhamento mensal da execução.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b/>
          <w:sz w:val="24"/>
          <w:szCs w:val="24"/>
        </w:rPr>
      </w:pPr>
      <w:r w:rsidRPr="002761AC">
        <w:rPr>
          <w:rFonts w:ascii="Arial Narrow" w:eastAsia="Times New Roman" w:hAnsi="Arial Narrow" w:cs="Times New Roman"/>
          <w:b/>
          <w:sz w:val="24"/>
          <w:szCs w:val="24"/>
        </w:rPr>
        <w:t>b) Quanto ao acompanhamento da execução orçamentária e financeira pelo TCE-PB, inclusive no que se refere aos repasses previstos na Lei nº 12.510/2022</w:t>
      </w:r>
      <w:r w:rsidRPr="002761AC">
        <w:rPr>
          <w:rFonts w:ascii="Arial Narrow" w:eastAsia="Times New Roman" w:hAnsi="Arial Narrow" w:cs="Times New Roman"/>
          <w:b/>
          <w:sz w:val="24"/>
          <w:szCs w:val="24"/>
        </w:rPr>
        <w:t>: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O acompanhamento da execução orçamentária e financeira dos fundos públicos estaduais, inclusive quanto à observância de repasses legalmente previstos, insere-se no âmbito do controle externo exercido pelo Tribunal de Contas do Estado da Paraíba, por meio de seus órgãos técnicos de auditoria e fiscalização, nos termos da Constituição Estadual, da Lei Orgânica do TCE-PB e de seu Regimento Interno.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Eventuais análises específicas sobre a regularidade de repasses, sua conformidade legal e seus reflexos nas contas do gestor </w:t>
      </w:r>
      <w:r w:rsidRPr="00254C7E">
        <w:rPr>
          <w:rFonts w:ascii="Arial Narrow" w:eastAsia="Times New Roman" w:hAnsi="Arial Narrow" w:cs="Times New Roman"/>
          <w:b/>
          <w:sz w:val="24"/>
          <w:szCs w:val="24"/>
        </w:rPr>
        <w:t>são realizadas no bojo dos procedimentos técnicos próprios, especialmente no exame das prestações de contas e demais instrumentos de fiscalização</w:t>
      </w:r>
      <w:r w:rsidRPr="002761AC">
        <w:rPr>
          <w:rFonts w:ascii="Arial Narrow" w:eastAsia="Times New Roman" w:hAnsi="Arial Narrow" w:cs="Times New Roman"/>
          <w:sz w:val="24"/>
          <w:szCs w:val="24"/>
        </w:rPr>
        <w:t>, cabendo ao Tribunal, ao final, o julgamento ou a emissão das deliberações pertinentes.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b/>
          <w:sz w:val="24"/>
          <w:szCs w:val="24"/>
        </w:rPr>
      </w:pPr>
      <w:r w:rsidRPr="002761AC">
        <w:rPr>
          <w:rFonts w:ascii="Arial Narrow" w:eastAsia="Times New Roman" w:hAnsi="Arial Narrow" w:cs="Times New Roman"/>
          <w:b/>
          <w:sz w:val="24"/>
          <w:szCs w:val="24"/>
        </w:rPr>
        <w:t>c) Quanto ao acompanhamento sistemático pelo Ministério Público de Contas</w:t>
      </w:r>
      <w:r w:rsidRPr="002761AC">
        <w:rPr>
          <w:rFonts w:ascii="Arial Narrow" w:eastAsia="Times New Roman" w:hAnsi="Arial Narrow" w:cs="Times New Roman"/>
          <w:b/>
          <w:sz w:val="24"/>
          <w:szCs w:val="24"/>
        </w:rPr>
        <w:t>: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O Ministério Público de Contas atua como órgão constitucional essencial ao controle externo, exercendo suas atribuições de forma institucional e provocada, mediante a análise dos processos submetidos ao Tribunal de Contas, a emissão de pareceres, a propositura de </w:t>
      </w:r>
      <w:r w:rsidRPr="002761AC">
        <w:rPr>
          <w:rFonts w:ascii="Arial Narrow" w:eastAsia="Times New Roman" w:hAnsi="Arial Narrow" w:cs="Times New Roman"/>
          <w:sz w:val="24"/>
          <w:szCs w:val="24"/>
        </w:rPr>
        <w:lastRenderedPageBreak/>
        <w:t>representações e a adoção das medidas legais cabíveis, sempre com base nos elementos técnicos constantes dos autos e nas informações produzidas pelos órgãos de instrução do TCE-PB.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Não compete ao MPC-PB a execução direta de auditorias ou fiscalizações de natureza operacional, atribuição esta reservada ao </w:t>
      </w:r>
      <w:r>
        <w:rPr>
          <w:rFonts w:ascii="Arial Narrow" w:eastAsia="Times New Roman" w:hAnsi="Arial Narrow" w:cs="Times New Roman"/>
          <w:sz w:val="24"/>
          <w:szCs w:val="24"/>
        </w:rPr>
        <w:t>Órgão Técnico</w:t>
      </w:r>
      <w:r w:rsidR="00254C7E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do Tribunal. Todavia, </w:t>
      </w:r>
      <w:bookmarkStart w:id="0" w:name="_GoBack"/>
      <w:bookmarkEnd w:id="0"/>
      <w:r w:rsidRPr="00254C7E">
        <w:rPr>
          <w:rFonts w:ascii="Arial Narrow" w:eastAsia="Times New Roman" w:hAnsi="Arial Narrow" w:cs="Times New Roman"/>
          <w:b/>
          <w:sz w:val="24"/>
          <w:szCs w:val="24"/>
        </w:rPr>
        <w:t>constatados indícios de irregularidades no curso de sua atuação, o Ministério Público de Contas adota as providências pertinentes no âmbito de suas competências legais</w:t>
      </w:r>
      <w:r w:rsidRPr="002761AC">
        <w:rPr>
          <w:rFonts w:ascii="Arial Narrow" w:eastAsia="Times New Roman" w:hAnsi="Arial Narrow" w:cs="Times New Roman"/>
          <w:sz w:val="24"/>
          <w:szCs w:val="24"/>
        </w:rPr>
        <w:t>.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Por fim, reitera-se que a manifestação técnica da DEAGE, que subsidia especialmente o item “a” do questionamento, segue anexa ao presente ofício, para conhecimento e utilização por esse douto Órgão Ministerial.</w:t>
      </w:r>
    </w:p>
    <w:p w:rsidR="002761AC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Renovando protestos de elevada consideração e apreço institucional, colocamo-nos à disposição para eventuais esclarecimentos adicionais.</w:t>
      </w:r>
    </w:p>
    <w:p w:rsidR="00A81475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Atenciosamente,</w:t>
      </w:r>
      <w:r w:rsidR="00134188" w:rsidRPr="002761AC">
        <w:rPr>
          <w:rFonts w:ascii="Arial Narrow" w:eastAsia="Times New Roman" w:hAnsi="Arial Narrow" w:cs="Times New Roman"/>
          <w:sz w:val="24"/>
          <w:szCs w:val="24"/>
        </w:rPr>
        <w:t xml:space="preserve"> </w:t>
      </w:r>
    </w:p>
    <w:p w:rsidR="003F72BE" w:rsidRPr="002761AC" w:rsidRDefault="003F72BE">
      <w:pPr>
        <w:spacing w:line="240" w:lineRule="auto"/>
        <w:ind w:firstLine="708"/>
        <w:rPr>
          <w:rFonts w:ascii="Arial Narrow" w:eastAsia="Times New Roman" w:hAnsi="Arial Narrow" w:cs="Times New Roman"/>
          <w:sz w:val="24"/>
          <w:szCs w:val="24"/>
        </w:rPr>
      </w:pPr>
    </w:p>
    <w:p w:rsidR="006B27FB" w:rsidRPr="002761AC" w:rsidRDefault="002761AC" w:rsidP="002761AC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>ELVIRA SAMARA PEREIRA DE OLIVEIRA</w:t>
      </w:r>
    </w:p>
    <w:p w:rsidR="00A81475" w:rsidRPr="002761AC" w:rsidRDefault="006B27FB" w:rsidP="002761AC">
      <w:pPr>
        <w:spacing w:before="0" w:after="0" w:line="240" w:lineRule="auto"/>
        <w:jc w:val="center"/>
        <w:rPr>
          <w:rFonts w:ascii="Arial Narrow" w:eastAsia="Times New Roman" w:hAnsi="Arial Narrow" w:cs="Times New Roman"/>
          <w:color w:val="CC0000"/>
        </w:rPr>
      </w:pPr>
      <w:r w:rsidRPr="002761AC">
        <w:rPr>
          <w:rFonts w:ascii="Arial Narrow" w:hAnsi="Arial Narrow" w:cs="Times New Roman"/>
        </w:rPr>
        <w:t>Procurador</w:t>
      </w:r>
      <w:r w:rsidR="002761AC">
        <w:rPr>
          <w:rFonts w:ascii="Arial Narrow" w:hAnsi="Arial Narrow" w:cs="Times New Roman"/>
        </w:rPr>
        <w:t>a</w:t>
      </w:r>
      <w:r w:rsidRPr="002761AC">
        <w:rPr>
          <w:rFonts w:ascii="Arial Narrow" w:hAnsi="Arial Narrow" w:cs="Times New Roman"/>
        </w:rPr>
        <w:t>-Geral do Ministério Público de Contas da Paraíba</w:t>
      </w:r>
    </w:p>
    <w:sectPr w:rsidR="00A81475" w:rsidRPr="002761AC">
      <w:headerReference w:type="default" r:id="rId8"/>
      <w:footerReference w:type="default" r:id="rId9"/>
      <w:pgSz w:w="11907" w:h="16840"/>
      <w:pgMar w:top="1751" w:right="1467" w:bottom="1418" w:left="1701" w:header="539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51C" w:rsidRDefault="00134188">
      <w:pPr>
        <w:spacing w:before="0" w:after="0" w:line="240" w:lineRule="auto"/>
      </w:pPr>
      <w:r>
        <w:separator/>
      </w:r>
    </w:p>
  </w:endnote>
  <w:endnote w:type="continuationSeparator" w:id="0">
    <w:p w:rsidR="003F251C" w:rsidRDefault="0013418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475" w:rsidRDefault="00A81475">
    <w:pPr>
      <w:spacing w:before="0" w:after="0" w:line="240" w:lineRule="auto"/>
      <w:rPr>
        <w:sz w:val="20"/>
        <w:szCs w:val="20"/>
      </w:rPr>
    </w:pPr>
  </w:p>
  <w:p w:rsidR="00A81475" w:rsidRDefault="00A81475">
    <w:pPr>
      <w:spacing w:before="0" w:after="0" w:line="240" w:lineRule="auto"/>
      <w:rPr>
        <w:sz w:val="20"/>
        <w:szCs w:val="20"/>
      </w:rPr>
    </w:pPr>
  </w:p>
  <w:p w:rsidR="00A81475" w:rsidRDefault="00A81475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jc w:val="left"/>
    </w:pPr>
  </w:p>
  <w:tbl>
    <w:tblPr>
      <w:tblStyle w:val="a8"/>
      <w:tblW w:w="8730" w:type="dxa"/>
      <w:tblInd w:w="0" w:type="dxa"/>
      <w:tblLayout w:type="fixed"/>
      <w:tblLook w:val="0600" w:firstRow="0" w:lastRow="0" w:firstColumn="0" w:lastColumn="0" w:noHBand="1" w:noVBand="1"/>
    </w:tblPr>
    <w:tblGrid>
      <w:gridCol w:w="2910"/>
      <w:gridCol w:w="2910"/>
      <w:gridCol w:w="2910"/>
    </w:tblGrid>
    <w:tr w:rsidR="00A81475">
      <w:trPr>
        <w:trHeight w:val="300"/>
      </w:trPr>
      <w:tc>
        <w:tcPr>
          <w:tcW w:w="2910" w:type="dxa"/>
        </w:tcPr>
        <w:p w:rsidR="00A81475" w:rsidRDefault="00A814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ind w:left="-115"/>
            <w:jc w:val="left"/>
            <w:rPr>
              <w:color w:val="000000"/>
            </w:rPr>
          </w:pPr>
        </w:p>
      </w:tc>
      <w:tc>
        <w:tcPr>
          <w:tcW w:w="2910" w:type="dxa"/>
        </w:tcPr>
        <w:p w:rsidR="00A81475" w:rsidRDefault="00A814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jc w:val="center"/>
            <w:rPr>
              <w:color w:val="000000"/>
            </w:rPr>
          </w:pPr>
        </w:p>
      </w:tc>
      <w:tc>
        <w:tcPr>
          <w:tcW w:w="2910" w:type="dxa"/>
        </w:tcPr>
        <w:p w:rsidR="00A81475" w:rsidRDefault="00A814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ind w:right="-115"/>
            <w:jc w:val="left"/>
            <w:rPr>
              <w:color w:val="000000"/>
            </w:rPr>
          </w:pPr>
        </w:p>
      </w:tc>
    </w:tr>
  </w:tbl>
  <w:p w:rsidR="00A81475" w:rsidRDefault="001341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  <w:r>
      <w:rPr>
        <w:rFonts w:ascii="Calibri" w:eastAsia="Calibri" w:hAnsi="Calibri" w:cs="Calibri"/>
        <w:color w:val="000000"/>
        <w:sz w:val="18"/>
        <w:szCs w:val="18"/>
      </w:rPr>
      <w:fldChar w:fldCharType="begin"/>
    </w:r>
    <w:r>
      <w:rPr>
        <w:rFonts w:ascii="Calibri" w:eastAsia="Calibri" w:hAnsi="Calibri" w:cs="Calibri"/>
        <w:color w:val="000000"/>
        <w:sz w:val="18"/>
        <w:szCs w:val="18"/>
      </w:rPr>
      <w:instrText>PAGE</w:instrText>
    </w:r>
    <w:r>
      <w:rPr>
        <w:rFonts w:ascii="Calibri" w:eastAsia="Calibri" w:hAnsi="Calibri" w:cs="Calibri"/>
        <w:color w:val="000000"/>
        <w:sz w:val="18"/>
        <w:szCs w:val="18"/>
      </w:rPr>
      <w:fldChar w:fldCharType="separate"/>
    </w:r>
    <w:r w:rsidR="00254C7E">
      <w:rPr>
        <w:rFonts w:ascii="Calibri" w:eastAsia="Calibri" w:hAnsi="Calibri" w:cs="Calibri"/>
        <w:noProof/>
        <w:color w:val="000000"/>
        <w:sz w:val="18"/>
        <w:szCs w:val="18"/>
      </w:rPr>
      <w:t>2</w:t>
    </w:r>
    <w:r>
      <w:rPr>
        <w:rFonts w:ascii="Calibri" w:eastAsia="Calibri" w:hAnsi="Calibri" w:cs="Calibri"/>
        <w:color w:val="000000"/>
        <w:sz w:val="18"/>
        <w:szCs w:val="18"/>
      </w:rPr>
      <w:fldChar w:fldCharType="end"/>
    </w:r>
    <w:r>
      <w:rPr>
        <w:rFonts w:ascii="Calibri" w:eastAsia="Calibri" w:hAnsi="Calibri" w:cs="Calibri"/>
        <w:color w:val="000000"/>
      </w:rPr>
      <w:t>/</w:t>
    </w:r>
    <w:r>
      <w:rPr>
        <w:rFonts w:ascii="Calibri" w:eastAsia="Calibri" w:hAnsi="Calibri" w:cs="Calibri"/>
        <w:color w:val="000000"/>
        <w:sz w:val="18"/>
        <w:szCs w:val="18"/>
      </w:rPr>
      <w:fldChar w:fldCharType="begin"/>
    </w:r>
    <w:r>
      <w:rPr>
        <w:rFonts w:ascii="Calibri" w:eastAsia="Calibri" w:hAnsi="Calibri" w:cs="Calibri"/>
        <w:color w:val="000000"/>
        <w:sz w:val="18"/>
        <w:szCs w:val="18"/>
      </w:rPr>
      <w:instrText>NUMPAGES</w:instrText>
    </w:r>
    <w:r>
      <w:rPr>
        <w:rFonts w:ascii="Calibri" w:eastAsia="Calibri" w:hAnsi="Calibri" w:cs="Calibri"/>
        <w:color w:val="000000"/>
        <w:sz w:val="18"/>
        <w:szCs w:val="18"/>
      </w:rPr>
      <w:fldChar w:fldCharType="separate"/>
    </w:r>
    <w:r w:rsidR="00254C7E">
      <w:rPr>
        <w:rFonts w:ascii="Calibri" w:eastAsia="Calibri" w:hAnsi="Calibri" w:cs="Calibri"/>
        <w:noProof/>
        <w:color w:val="000000"/>
        <w:sz w:val="18"/>
        <w:szCs w:val="18"/>
      </w:rPr>
      <w:t>3</w:t>
    </w:r>
    <w:r>
      <w:rPr>
        <w:rFonts w:ascii="Calibri" w:eastAsia="Calibri" w:hAnsi="Calibri" w:cs="Calibri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51C" w:rsidRDefault="00134188">
      <w:pPr>
        <w:spacing w:before="0" w:after="0" w:line="240" w:lineRule="auto"/>
      </w:pPr>
      <w:r>
        <w:separator/>
      </w:r>
    </w:p>
  </w:footnote>
  <w:footnote w:type="continuationSeparator" w:id="0">
    <w:p w:rsidR="003F251C" w:rsidRDefault="0013418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475" w:rsidRDefault="00A814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A814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1341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  <w:r>
      <w:rPr>
        <w:noProof/>
      </w:rPr>
      <w:drawing>
        <wp:inline distT="114300" distB="114300" distL="114300" distR="114300">
          <wp:extent cx="1046190" cy="1046190"/>
          <wp:effectExtent l="0" t="0" r="0" b="0"/>
          <wp:docPr id="148181125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6190" cy="1046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81475" w:rsidRDefault="00A814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A814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4C5CEF"/>
    <w:multiLevelType w:val="multilevel"/>
    <w:tmpl w:val="2EB8956A"/>
    <w:lvl w:ilvl="0">
      <w:start w:val="1"/>
      <w:numFmt w:val="decimal"/>
      <w:lvlText w:val="%1."/>
      <w:lvlJc w:val="left"/>
      <w:pPr>
        <w:ind w:left="708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475"/>
    <w:rsid w:val="00065D43"/>
    <w:rsid w:val="00134188"/>
    <w:rsid w:val="00254C7E"/>
    <w:rsid w:val="002761AC"/>
    <w:rsid w:val="00286332"/>
    <w:rsid w:val="002E05E5"/>
    <w:rsid w:val="003556B1"/>
    <w:rsid w:val="003F251C"/>
    <w:rsid w:val="003F72BE"/>
    <w:rsid w:val="00514E88"/>
    <w:rsid w:val="006B27FB"/>
    <w:rsid w:val="009C7EA0"/>
    <w:rsid w:val="009D540D"/>
    <w:rsid w:val="00A81475"/>
    <w:rsid w:val="00F0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017C3A-31DF-47B7-BD8D-EC14E996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8E789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ontepargpadro"/>
    <w:rsid w:val="008E7896"/>
  </w:style>
  <w:style w:type="paragraph" w:styleId="Cabealho">
    <w:name w:val="header"/>
    <w:basedOn w:val="Normal"/>
    <w:link w:val="CabealhoChar"/>
    <w:uiPriority w:val="99"/>
    <w:unhideWhenUsed/>
    <w:rsid w:val="00BB10B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10B8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BB10B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10B8"/>
    <w:rPr>
      <w:rFonts w:ascii="Arial" w:hAnsi="Arial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Arial" w:hAnsi="Arial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Nmerodepgina">
    <w:name w:val="page number"/>
    <w:basedOn w:val="Fontepargpadro"/>
    <w:rsid w:val="0013327E"/>
  </w:style>
  <w:style w:type="table" w:customStyle="1" w:styleId="a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gyGv2byr9l61f/Ks2vB1XKqxw==">CgMxLjAaHwoBMBIaChgICVIUChJ0YWJsZS50NjQxMXE4NDcyNjk4AHIhMUhVTy13S0hCelVmWFZfZUN0MldKeG16dkJkQlluMUNv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649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de Souza Fleury</dc:creator>
  <cp:lastModifiedBy>Andre Luiz de Almeida Pereira</cp:lastModifiedBy>
  <cp:revision>2</cp:revision>
  <cp:lastPrinted>2025-08-07T14:37:00Z</cp:lastPrinted>
  <dcterms:created xsi:type="dcterms:W3CDTF">2025-12-12T12:11:00Z</dcterms:created>
  <dcterms:modified xsi:type="dcterms:W3CDTF">2025-12-12T12:11:00Z</dcterms:modified>
</cp:coreProperties>
</file>