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clear" w:pos="8838"/>
          <w:tab w:val="center" w:pos="4419" w:leader="none"/>
        </w:tabs>
        <w:ind w:right="-426"/>
        <w:rPr>
          <w:rFonts w:ascii="Arial" w:hAnsi="Arial" w:cs="Arial"/>
          <w:b/>
          <w:iCs/>
          <w:sz w:val="24"/>
          <w:szCs w:val="24"/>
        </w:rPr>
      </w:pPr>
      <w:r>
        <w:rPr>
          <w:rFonts w:cs="Arial" w:ascii="Arial" w:hAnsi="Arial"/>
          <w:b/>
          <w:iCs/>
          <w:sz w:val="24"/>
          <w:szCs w:val="24"/>
        </w:rPr>
        <w:t>Parecer Nº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right="-426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Processo TC Nº 02209/26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right="-426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Origem: Instituto Bananeirense de Previdência Municipal (IBPEM)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right="-426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Natureza: Prestação de Contas Anuais - exercício 2025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ind w:left="3828" w:right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Ementa: PRESTAÇÃO DE CONTAS ANUAIS. </w:t>
      </w:r>
      <w:r>
        <w:rPr>
          <w:rFonts w:cs="Arial" w:ascii="Arial" w:hAnsi="Arial"/>
          <w:caps/>
          <w:sz w:val="22"/>
          <w:szCs w:val="22"/>
        </w:rPr>
        <w:t xml:space="preserve">Instituto Bananeirense de Previdência Municipal. </w:t>
      </w:r>
      <w:r>
        <w:rPr>
          <w:rFonts w:cs="Arial" w:ascii="Arial" w:hAnsi="Arial"/>
          <w:sz w:val="22"/>
          <w:szCs w:val="22"/>
        </w:rPr>
        <w:t>EXERCÍCIO 2025. APONTAMENTO DE EIVAS PELO ÓRGÃO AUDITOR. TRANSCURSO DO PRAZO PARA APRESENTAÇÃO DE DEFESA</w:t>
      </w:r>
      <w:r>
        <w:rPr>
          <w:rFonts w:cs="Arial" w:ascii="Arial" w:hAnsi="Arial"/>
          <w:i/>
          <w:sz w:val="22"/>
          <w:szCs w:val="22"/>
        </w:rPr>
        <w:t xml:space="preserve"> IN ALBIS</w:t>
      </w:r>
      <w:r>
        <w:rPr>
          <w:rFonts w:cs="Arial" w:ascii="Arial" w:hAnsi="Arial"/>
          <w:sz w:val="22"/>
          <w:szCs w:val="22"/>
        </w:rPr>
        <w:t>. PARECER MINISTERIAL PELA REGULARIDADE COM RESSALVAS. APLICAÇÃO DE MULTA À AUTORIDADE RESPONSÁVEL. ENVIO DE RECOMENDAÇÕES À GESTÃO DA AUTARQUIA PREVIDENCIÁRIA.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right="-42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right="-42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right="-42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right="-42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right="-42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right="-42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firstLine="1701" w:righ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Os presentes autos tratam da análise da prestação de contas anual do Sr. Allyson Henrique Andrade de Oliveira, gestor do Instituto Bananeirense de Previdência Municipal, referente ao exercício financeiro de 2025.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firstLine="1701" w:righ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firstLine="1701" w:righ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Relatório inicial elaborado pelo Órgão de Instrução às fls. 1731/1745, com o seguinte entendimento: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firstLine="1701" w:righ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spacing w:before="0" w:after="120"/>
        <w:ind w:left="1701" w:right="0"/>
        <w:jc w:val="both"/>
        <w:rPr>
          <w:rFonts w:ascii="Arial" w:hAnsi="Arial" w:cs="Arial"/>
          <w:b/>
          <w:i/>
          <w:i/>
        </w:rPr>
      </w:pPr>
      <w:r>
        <w:rPr>
          <w:rFonts w:cs="Arial" w:ascii="Arial" w:hAnsi="Arial"/>
          <w:b/>
          <w:i/>
        </w:rPr>
        <w:t>18. CONCLUSÃO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spacing w:before="0" w:after="120"/>
        <w:ind w:left="1701" w:right="0"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  <w:i/>
        </w:rPr>
        <w:t>Após a análise da documentação que compõe a presente PCA, faz-se necessário que o gestor (a) responsável pelo Instituto Bananeirense de Previdência Municipal apresente esclarecimentos a respeito dos itens elencados a seguir: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spacing w:before="0" w:after="120"/>
        <w:ind w:left="1701" w:right="0"/>
        <w:jc w:val="center"/>
        <w:rPr/>
      </w:pPr>
      <w:r>
        <w:rPr>
          <w:rFonts w:cs="Arial" w:ascii="Arial" w:hAnsi="Arial"/>
          <w:b/>
          <w:i/>
        </w:rPr>
        <w:t>ITEM / IRREGULARIDADES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spacing w:before="0" w:after="120"/>
        <w:ind w:left="1701" w:right="0"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  <w:i/>
        </w:rPr>
        <w:t>5.1. Ausência de certificação válida para o (a) gestor (a) de recursos do RPPS no período, não atendendo ao disposto no art. 76, II, da Portaria MTP nº 1.467/22;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spacing w:before="0" w:after="120"/>
        <w:ind w:left="1701" w:right="0"/>
        <w:jc w:val="both"/>
        <w:rPr/>
      </w:pPr>
      <w:r>
        <w:rPr>
          <w:rFonts w:cs="Arial" w:ascii="Arial" w:hAnsi="Arial"/>
          <w:i/>
        </w:rPr>
        <w:t>5.2 RPPS com saldo de disponibilidades, ao final do exercício, insuficiente para fazer face ao pagamento de 01 (um) mês de folha de pagamento de benefícios, o que torna preocupante a sustentabilidade financeira do regime a médio e longos prazos;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spacing w:before="0" w:after="120"/>
        <w:ind w:left="1701" w:right="0"/>
        <w:jc w:val="both"/>
        <w:rPr/>
      </w:pPr>
      <w:r>
        <w:rPr>
          <w:rFonts w:cs="Arial" w:ascii="Arial" w:hAnsi="Arial"/>
          <w:i/>
        </w:rPr>
        <w:t>7.0 A política de investimentos não definiu, para cada tipo de ativo financeiro, os limites relativos aos dispositivos da Resolução CMN 4.963/2021, o que prejudica a aferição do cumprimento dos percentuais previstos para o IBPEM;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spacing w:before="0" w:after="120"/>
        <w:ind w:left="1701" w:right="0"/>
        <w:jc w:val="both"/>
        <w:rPr/>
      </w:pPr>
      <w:r>
        <w:rPr>
          <w:rFonts w:cs="Arial" w:ascii="Arial" w:hAnsi="Arial"/>
          <w:i/>
        </w:rPr>
        <w:t>12.0. Necessidade de alteração das alíquotas praticadas quanto às contribuições previdenciárias devidas, a fim de adequá-las ao cálculo constante da Avaliação Atuarial, bem como adotar outras medidas necessárias e suficientes à superação do déficit atuarial do regime;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spacing w:before="0" w:after="120"/>
        <w:ind w:left="1701" w:right="0"/>
        <w:jc w:val="both"/>
        <w:rPr/>
      </w:pPr>
      <w:r>
        <w:rPr>
          <w:rFonts w:cs="Arial" w:ascii="Arial" w:hAnsi="Arial"/>
          <w:i/>
        </w:rPr>
        <w:t>13.0. Existência de parcelas em atraso quanto a parcelamentos realizados perante o IBPEM, fazendo-se necessário que o gestor informe as providências adotadas com vistas à cobrança dos valores devidos;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spacing w:before="0" w:after="120"/>
        <w:ind w:left="1701" w:right="0"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  <w:i/>
        </w:rPr>
        <w:t>15.0. Existência de CRP obtido por via judicial no período.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spacing w:before="0" w:after="120"/>
        <w:ind w:left="1701" w:right="0"/>
        <w:jc w:val="center"/>
        <w:rPr>
          <w:rFonts w:ascii="Arial" w:hAnsi="Arial" w:cs="Arial"/>
          <w:b/>
          <w:i/>
          <w:i/>
        </w:rPr>
      </w:pPr>
      <w:r>
        <w:rPr>
          <w:rFonts w:cs="Arial" w:ascii="Arial" w:hAnsi="Arial"/>
          <w:b/>
          <w:i/>
        </w:rPr>
        <w:t>ITEM / RECOMENDAÇÕES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left="1701" w:right="0"/>
        <w:jc w:val="both"/>
        <w:rPr/>
      </w:pPr>
      <w:r>
        <w:rPr>
          <w:rFonts w:cs="Arial" w:ascii="Arial" w:hAnsi="Arial"/>
          <w:i/>
        </w:rPr>
        <w:t>16.1. Necessidade de utilização do eSocial;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left="1701" w:right="0"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  <w:i/>
        </w:rPr>
        <w:t>Necessidade de que o ente/RPPS encaminhem ao Ministério da Previdência Social, nos prazos estabelecidos por este órgão, todas as informações e documentos definidos na legislação previdenciária federal como de envio obrigatório.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left="1701" w:right="0"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  <w:i/>
        </w:rPr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firstLine="1701" w:righ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Após regular intimação à fl. 1748, o gestor deixou transcorrer o prazo concedido sem apresentação de defesa e/ou esclarecimentos, nos termos da Certidão emitida pelo Sistema Tramita à fl. 1749.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firstLine="1701" w:righ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firstLine="1701" w:righ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Em seguida, o álbum processual foi encaminhado a este Ministério Público de Contas para análise e emissão de parecer.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firstLine="1701" w:righ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firstLine="1701" w:righ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firstLine="1701" w:right="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É o relatório. Passo a opinar.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firstLine="1701" w:right="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firstLine="1701" w:righ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11"/>
        <w:ind w:firstLine="1701" w:right="73"/>
        <w:jc w:val="both"/>
        <w:rPr/>
      </w:pPr>
      <w:r>
        <w:rPr>
          <w:rFonts w:cs="Arial" w:ascii="Arial" w:hAnsi="Arial"/>
        </w:rPr>
        <w:t>Todo aquele que tem a gestão de dinheiro, bens ou interesses públicos submete-se ao dever de prestar contas da sua atividade em tal mister. A prestação de contas é, pois, um preceito basilar da ordem constitucional brasileira, inserido, expressamente, no art. 70, parágrafo único, da Carta Magna de 1988.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  <w:t>As Cortes de Contas, por sua vez, possuem um importante papel na fiscalização da aplicação dos recursos públicos, exigindo do Administrador o respeito aos ditames da lei.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/>
      </w:pPr>
      <w:r>
        <w:rPr>
          <w:rFonts w:cs="Arial" w:ascii="Arial" w:hAnsi="Arial"/>
        </w:rPr>
        <w:t>Nesse diapasão, o controle das contas públicas pode ser feito interna ou externamente, sendo, neste último caso, exercido pelo Poder Legislativo, com o auxílio do Tribunal de Contas, conforme preceitua o art. 71 da Constituição Federal, a quem cumpre se ocupar do exame dos aspectos contábeis, financeiros, orçamentários, operacionais e patrimoniais da gestão dos órgãos e entidades sob sua jurisdição.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De início, convém registrar que, não obstante a regular intimação do gestor responsável, este deixou transcorrer </w:t>
      </w:r>
      <w:r>
        <w:rPr>
          <w:rFonts w:cs="Arial" w:ascii="Arial" w:hAnsi="Arial"/>
          <w:i/>
        </w:rPr>
        <w:t>in albis</w:t>
      </w:r>
      <w:r>
        <w:rPr>
          <w:rFonts w:cs="Arial" w:ascii="Arial" w:hAnsi="Arial"/>
        </w:rPr>
        <w:t xml:space="preserve"> o prazo concedido para a apresentação de defesa acerca das irregularidades apontadas pelo Órgão Auditor. Ademais, conforme certificado nos autos (fls. 1748/1751), o interessado foi devidamente intimado e não apresentou qualquer manifestação no prazo assinalado.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  <w:t>Desse modo, tendo sido assegurada ao gestor oportunidade efetiva para o exercício do contraditório e da ampla defesa, não há óbice à apreciação do mérito das presentes contas, devendo as irregularidades apontadas ser examinadas com fundamento nos elementos constantes do caderno processual.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>
          <w:rFonts w:ascii="Arial" w:hAnsi="Arial" w:cs="Arial"/>
          <w:b/>
          <w:i/>
          <w:i/>
        </w:rPr>
      </w:pPr>
      <w:r>
        <w:rPr>
          <w:rFonts w:cs="Arial" w:ascii="Arial" w:hAnsi="Arial"/>
          <w:b/>
          <w:i/>
        </w:rPr>
        <w:t>Ausência de certificação válida para o (a) gestor (a) de recursos do RPPS no período, não atendendo ao disposto no art. 76, II, da Portaria MTP nº 1.467/22</w:t>
      </w:r>
    </w:p>
    <w:p>
      <w:pPr>
        <w:pStyle w:val="normal11"/>
        <w:ind w:firstLine="1701" w:right="73"/>
        <w:jc w:val="both"/>
        <w:rPr>
          <w:rFonts w:ascii="Arial" w:hAnsi="Arial" w:cs="Arial"/>
          <w:b/>
          <w:i/>
          <w:i/>
        </w:rPr>
      </w:pPr>
      <w:r>
        <w:rPr>
          <w:rFonts w:cs="Arial" w:ascii="Arial" w:hAnsi="Arial"/>
          <w:b/>
          <w:i/>
        </w:rPr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  <w:t>Consoante apurado pela Equipe Técnica, a responsável pela gestão dos recursos previdenciários, Sra. Juliana Costa Silva, possuía certificação com validade expirada em 19/08/2024, não havendo nos autos comprovação de certificação válida durante o exercício de 2025.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/>
      </w:pPr>
      <w:r>
        <w:rPr>
          <w:rFonts w:cs="Arial" w:ascii="Arial" w:hAnsi="Arial"/>
        </w:rPr>
        <w:t>A certificação dos responsáveis pela gestão dos recursos dos RPPS constitui exigência destinada a assegurar a qualificação técnica daqueles que atuam diretamente na administração das aplicações previdenciárias. No presente caso, percebe-se que a certificação já se encontrava vencida desde o exercício anterior.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  <w:t>Assim, na esteira da Auditoria, entende esta Representante Ministerial pela manutenção da falha, impondo-se recomendação ao órgão para que mantenha responsável pela gestão dos recursos previdenciários com certificação válida e compatível com as exigências normativas.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/>
      </w:pPr>
      <w:r>
        <w:rPr>
          <w:rFonts w:cs="Arial" w:ascii="Arial" w:hAnsi="Arial"/>
          <w:b/>
          <w:i/>
        </w:rPr>
        <w:t>RPPS com saldo de disponibilidades, ao final do exercício, insuficiente para fazer face ao pagamento de 01 (um) mês de folha de pagamento de benefícios, o que torna preocupante a sustentabilidade financeira do regime a médio e longo prazo</w:t>
      </w:r>
    </w:p>
    <w:p>
      <w:pPr>
        <w:pStyle w:val="normal11"/>
        <w:ind w:firstLine="1701" w:right="73"/>
        <w:jc w:val="both"/>
        <w:rPr>
          <w:rFonts w:ascii="Arial" w:hAnsi="Arial" w:cs="Arial"/>
          <w:b/>
          <w:i/>
          <w:i/>
        </w:rPr>
      </w:pPr>
      <w:r>
        <w:rPr>
          <w:rFonts w:cs="Arial" w:ascii="Arial" w:hAnsi="Arial"/>
          <w:b/>
          <w:i/>
        </w:rPr>
      </w:r>
    </w:p>
    <w:p>
      <w:pPr>
        <w:pStyle w:val="normal11"/>
        <w:ind w:firstLine="1701" w:right="73"/>
        <w:jc w:val="both"/>
        <w:rPr/>
      </w:pPr>
      <w:r>
        <w:rPr>
          <w:rFonts w:cs="Arial" w:ascii="Arial" w:hAnsi="Arial"/>
        </w:rPr>
        <w:t>O Órgão de Instrução constatou que, ao final do exercício, o IBPEM possuía disponibilidades no montante de R$ 100.626,64, valor ainda insuficiente para suportar o pagamento de uma folha mensal de benefícios previdenciários. Embora tenha ocorrido elevação das disponibilidades em comparação ao exercício anterior, a situação permanece merecedora de atenção, sobretudo diante da necessidade de preservação dos equilíbrios financeiro e atuarial do regime.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  <w:t>A baixa formação de reservas, por si só, não traduz necessariamente conduta sancionável do gestor, mas evidencia fragilidade financeira que deve repercutir na apreciação das contas, impondo-se recomendação para que sejam adotadas, nos limites das competências da unidade gestora, medidas destinadas ao fortalecimento da situação financeira do RPPS.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>
          <w:rFonts w:ascii="Arial" w:hAnsi="Arial" w:cs="Arial"/>
          <w:b/>
          <w:i/>
          <w:i/>
        </w:rPr>
      </w:pPr>
      <w:r>
        <w:rPr>
          <w:rFonts w:cs="Arial" w:ascii="Arial" w:hAnsi="Arial"/>
          <w:b/>
          <w:i/>
        </w:rPr>
        <w:t>A política de investimentos não definiu, para cada tipo de ativo financeiro, os limites relativos aos dispositivos da Resolução CMN 4.963/2021, o que prejudica a aferição do cumprimento dos percentuais previstos para o IBPEM</w:t>
      </w:r>
    </w:p>
    <w:p>
      <w:pPr>
        <w:pStyle w:val="normal11"/>
        <w:ind w:firstLine="1701" w:right="73"/>
        <w:jc w:val="both"/>
        <w:rPr>
          <w:rFonts w:ascii="Arial" w:hAnsi="Arial" w:cs="Arial"/>
          <w:b/>
          <w:i/>
          <w:i/>
        </w:rPr>
      </w:pPr>
      <w:r>
        <w:rPr>
          <w:rFonts w:cs="Arial" w:ascii="Arial" w:hAnsi="Arial"/>
          <w:b/>
          <w:i/>
        </w:rPr>
      </w:r>
    </w:p>
    <w:p>
      <w:pPr>
        <w:pStyle w:val="normal11"/>
        <w:ind w:firstLine="1701" w:right="73"/>
        <w:jc w:val="both"/>
        <w:rPr/>
      </w:pPr>
      <w:r>
        <w:rPr>
          <w:rFonts w:cs="Arial" w:ascii="Arial" w:hAnsi="Arial"/>
        </w:rPr>
        <w:t xml:space="preserve">No tocante à falha relativa à definição dos percentuais e limites da Política de Investimentos, este </w:t>
      </w:r>
      <w:r>
        <w:rPr>
          <w:rFonts w:cs="Arial" w:ascii="Arial" w:hAnsi="Arial"/>
          <w:i/>
        </w:rPr>
        <w:t>Parquet</w:t>
      </w:r>
      <w:r>
        <w:rPr>
          <w:rFonts w:cs="Arial" w:ascii="Arial" w:hAnsi="Arial"/>
        </w:rPr>
        <w:t xml:space="preserve"> entende pela sua superação. Com efeito, verifica-se que a Política de Investimentos referente ao exercício de 2025, acostada às fls. 699/727, contém, na tabela de estratégias constante à fl. 717, a identificação dos tipos de ativos, dos correspondentes dispositivos da Resolução CMN nº 4.963/2021 e dos respectivos limites de aplicação.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  <w:t>Ademais, a política relativa ao período em análise foi aprovada pelo Conselho Municipal de Previdência em 20/12/2024, tendo a própria instrução reconhecido o cumprimento dos arts. 4º e 5º da mencionada Resolução. Desse modo, quanto ao ponto especificamente questionado pela Auditoria, a documentação constante dos autos demonstra que foram definidos os percentuais e limites de alocação por tipo de ativo, razão pela qual entende este Órgão Ministerial pela superação do apontamento.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  <w:b/>
          <w:i/>
        </w:rPr>
        <w:t>Necessidade de alteração das alíquotas praticadas quanto às contribuições previdenciárias devidas, a fim de adequá-las ao cálculo constante da Avaliação Atuarial, bem como adotar outras medidas necessárias e suficientes à superação do déficit atuarial do regime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/>
      </w:pPr>
      <w:r>
        <w:rPr>
          <w:rFonts w:cs="Arial" w:ascii="Arial" w:hAnsi="Arial"/>
        </w:rPr>
        <w:t>Quanto ao plano de custeio, verificou a Auditoria que as alíquotas praticadas no exercício não correspondiam àquelas indicadas na Avaliação Atuarial, a qual também evidenciou déficit atuarial no regime. A adequação do custeio às conclusões da avaliação atuarial constitui medida essencial à preservação do equilíbrio financeiro e atuarial dos regimes próprios de previdência.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/>
      </w:pPr>
      <w:r>
        <w:rPr>
          <w:rFonts w:cs="Arial" w:ascii="Arial" w:hAnsi="Arial"/>
        </w:rPr>
        <w:t>É certo que eventual alteração das alíquotas não depende exclusivamente do dirigente do Instituto, por demandar atuação do ente instituidor e, conforme o caso, modificação legislativa. Tal circunstância, todavia, não afasta o dever do gestor previdenciário de adotar as providências inseridas em sua esfera de competência, notadamente alertando o Poder Executivo acerca da necessidade de adequação do custeio às conclusões do estudo atuarial.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  <w:t>Nesse sentido, cabe à unidade gestora demonstrar atuação efetiva quando a solução do desequilíbrio dependa de providências a cargo do ente federativo. No presente caso, não foram apresentados elementos capazes de demonstrar a adoção de providências suficientes nesse sentido, permanecendo, portanto, a irregularidade.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>
          <w:rFonts w:ascii="Arial" w:hAnsi="Arial" w:cs="Arial"/>
          <w:b/>
          <w:i/>
          <w:i/>
        </w:rPr>
      </w:pPr>
      <w:r>
        <w:rPr>
          <w:rFonts w:cs="Arial" w:ascii="Arial" w:hAnsi="Arial"/>
          <w:b/>
          <w:i/>
        </w:rPr>
        <w:t>Existência de parcelas em atraso quanto a parcelamentos realizados perante o IBPEM</w:t>
      </w:r>
    </w:p>
    <w:p>
      <w:pPr>
        <w:pStyle w:val="normal11"/>
        <w:ind w:firstLine="1701" w:right="73"/>
        <w:jc w:val="both"/>
        <w:rPr>
          <w:rFonts w:ascii="Arial" w:hAnsi="Arial" w:cs="Arial"/>
          <w:b/>
          <w:i/>
          <w:i/>
        </w:rPr>
      </w:pPr>
      <w:r>
        <w:rPr>
          <w:rFonts w:cs="Arial" w:ascii="Arial" w:hAnsi="Arial"/>
          <w:b/>
          <w:i/>
        </w:rPr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  <w:t>A instrução identificou a existência de parcelas em atraso referentes a acordos de parcelamento firmados perante o IBPEM, entendendo necessária a apresentação de esclarecimentos pelo gestor acerca das providências adotadas com vistas à cobrança dos valores devidos.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/>
      </w:pPr>
      <w:r>
        <w:rPr>
          <w:rFonts w:cs="Arial" w:ascii="Arial" w:hAnsi="Arial"/>
        </w:rPr>
        <w:t>A mera existência do acordo de parcelamento não exaure a atuação da unidade gestora, cabendo-lhe acompanhar o adimplemento das parcelas e adotar, diante de eventuais atrasos, as providências cabíveis para o recebimento dos créditos previdenciários.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  <w:t>No caso em tela, embora regularmente intimado, o responsável não apresentou esclarecimentos ou elementos que permitissem aferir as medidas adotadas nesse sentido, razão pela qual subsiste o apontamento.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  <w:b/>
          <w:i/>
        </w:rPr>
        <w:t>Existência de CRP obtido por via judicial no período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/>
      </w:pPr>
      <w:r>
        <w:rPr>
          <w:rFonts w:cs="Arial" w:ascii="Arial" w:hAnsi="Arial"/>
        </w:rPr>
        <w:t>Por fim, registrou a Auditoria que, ao longo de praticamente todo o exercício de 2025, o RPPS manteve Certificado de Regularidade Previdenciária obtido pela via judicial, tendo sido emitido CRP administrativo apenas em 11/12/2025.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  <w:t>A obtenção do certificado pela via judicial, embora não constitua, por si só, irregularidade autônoma da gestão, sinaliza a existência de eventuais pendências perante o órgão previdenciário federal, razão pela qual se mostra pertinente a expedição de recomendação para que a unidade gestora adote as providências necessárias à manutenção da regularidade previdenciária pela via administrativa.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  <w:t>Pois bem.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/>
      </w:pPr>
      <w:r>
        <w:rPr>
          <w:rFonts w:cs="Arial" w:ascii="Arial" w:hAnsi="Arial"/>
        </w:rPr>
        <w:t>Da análise das irregularidades constantes dos autos, observa-se que, embora subsistam falhas na gestão previdenciária, estas não apresentam gravidade ou extensão suficientes para comprometer integralmente as presentes contas, mostrando-se adequado, portanto, o julgamento pela sua regularidade com ressalvas.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/>
      </w:pPr>
      <w:r>
        <w:rPr>
          <w:rFonts w:cs="Arial" w:ascii="Arial" w:hAnsi="Arial"/>
        </w:rPr>
        <w:t>Por outro lado, não podem ser desconsideradas a ausência de elementos capazes de demonstrar a adoção de providências efetivas voltadas à adequação do custeio atuarial e à cobrança dos créditos previdenciários, bem como a manutenção, durante o exercício, de responsável pela gestão dos recursos sem certificação válida.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  <w:t>Tais ocorrências evidenciam a necessidade de maior diligência na condução da gestão previdenciária e justificam a aplicação de sanção pecuniária ao responsável, com fundamento no art. 100, inciso I, da Lei Orgânica do TCE-PB, sem prejuízo da expedição das recomendações pertinentes.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firstLine="1701" w:right="73"/>
        <w:jc w:val="both"/>
        <w:rPr/>
      </w:pPr>
      <w:r>
        <w:rPr>
          <w:rFonts w:cs="Arial" w:ascii="Arial" w:hAnsi="Arial"/>
        </w:rPr>
        <w:t>Ante o exposto, em harmonia com o entendimento do Órgão Técnico, o Ministério Público de Contas opina pelo (a):</w:t>
      </w:r>
    </w:p>
    <w:p>
      <w:pPr>
        <w:pStyle w:val="normal11"/>
        <w:ind w:firstLine="170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numPr>
          <w:ilvl w:val="0"/>
          <w:numId w:val="2"/>
        </w:numPr>
        <w:ind w:hanging="360" w:left="2121" w:right="73"/>
        <w:jc w:val="both"/>
        <w:rPr>
          <w:rFonts w:ascii="Arial" w:hAnsi="Arial" w:cs="Arial"/>
        </w:rPr>
      </w:pPr>
      <w:r>
        <w:rPr>
          <w:rFonts w:cs="Arial" w:ascii="Arial" w:hAnsi="Arial"/>
          <w:b/>
        </w:rPr>
        <w:t>Regularidade com ressalvas</w:t>
      </w:r>
      <w:r>
        <w:rPr>
          <w:rFonts w:cs="Arial" w:ascii="Arial" w:hAnsi="Arial"/>
        </w:rPr>
        <w:t xml:space="preserve"> das contas do Sr. Allyson Henrique Andrade de Oliveira, na condição de gestor do Instituto Bananeirense de Previdência Municipal, referente ao exercício financeiro de 2025;</w:t>
      </w:r>
    </w:p>
    <w:p>
      <w:pPr>
        <w:pStyle w:val="normal11"/>
        <w:ind w:left="212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numPr>
          <w:ilvl w:val="0"/>
          <w:numId w:val="2"/>
        </w:numPr>
        <w:ind w:hanging="360" w:left="2121" w:right="73"/>
        <w:jc w:val="both"/>
        <w:rPr>
          <w:rFonts w:ascii="Arial" w:hAnsi="Arial" w:cs="Arial"/>
        </w:rPr>
      </w:pPr>
      <w:r>
        <w:rPr>
          <w:rFonts w:cs="Arial" w:ascii="Arial" w:hAnsi="Arial"/>
          <w:b/>
        </w:rPr>
        <w:t>Aplicação de multa</w:t>
      </w:r>
      <w:r>
        <w:rPr>
          <w:rFonts w:cs="Arial" w:ascii="Arial" w:hAnsi="Arial"/>
        </w:rPr>
        <w:t xml:space="preserve"> ao Sr. Allyson Henrique Andrade de Oliveira, autoridade responsável pela autarquia previdenciária, com fulcro no art. 100, inciso I, da Lei Orgânica deste Tribunal, observada a devida proporcionalidade quando dessa cominação; e </w:t>
      </w:r>
    </w:p>
    <w:p>
      <w:pPr>
        <w:pStyle w:val="normal11"/>
        <w:ind w:left="212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numPr>
          <w:ilvl w:val="0"/>
          <w:numId w:val="2"/>
        </w:numPr>
        <w:ind w:hanging="360" w:left="2121" w:right="73"/>
        <w:jc w:val="both"/>
        <w:rPr>
          <w:rFonts w:ascii="Arial" w:hAnsi="Arial" w:cs="Arial"/>
        </w:rPr>
      </w:pPr>
      <w:r>
        <w:rPr>
          <w:rFonts w:cs="Arial" w:ascii="Arial" w:hAnsi="Arial"/>
          <w:b/>
        </w:rPr>
        <w:t>Envio de recomendações</w:t>
      </w:r>
      <w:r>
        <w:rPr>
          <w:rFonts w:cs="Arial" w:ascii="Arial" w:hAnsi="Arial"/>
        </w:rPr>
        <w:t xml:space="preserve"> à mencionada gestão do Instituto Previdenciário, no sentido de que:</w:t>
      </w:r>
    </w:p>
    <w:p>
      <w:pPr>
        <w:pStyle w:val="PargrafodaLista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numPr>
          <w:ilvl w:val="0"/>
          <w:numId w:val="3"/>
        </w:numPr>
        <w:spacing w:before="0" w:after="120"/>
        <w:ind w:hanging="283" w:left="2410" w:right="74"/>
        <w:jc w:val="both"/>
        <w:rPr>
          <w:rFonts w:ascii="Arial" w:hAnsi="Arial" w:cs="Arial"/>
        </w:rPr>
      </w:pPr>
      <w:r>
        <w:rPr>
          <w:rFonts w:cs="Arial" w:ascii="Arial" w:hAnsi="Arial"/>
        </w:rPr>
        <w:t>Mantenha o responsável pela gestão dos recursos previdenciários com certificação válida;</w:t>
      </w:r>
    </w:p>
    <w:p>
      <w:pPr>
        <w:pStyle w:val="normal11"/>
        <w:numPr>
          <w:ilvl w:val="0"/>
          <w:numId w:val="3"/>
        </w:numPr>
        <w:spacing w:before="0" w:after="120"/>
        <w:ind w:hanging="283" w:left="2410" w:right="74"/>
        <w:jc w:val="both"/>
        <w:rPr>
          <w:rFonts w:ascii="Arial" w:hAnsi="Arial" w:cs="Arial"/>
        </w:rPr>
      </w:pPr>
      <w:r>
        <w:rPr>
          <w:rFonts w:cs="Arial" w:ascii="Arial" w:hAnsi="Arial"/>
        </w:rPr>
        <w:t>Adote, no âmbito de suas competências, as providências necessárias à adequação do plano de custeio às avaliações atuariais e ao equacionamento do déficit atuarial;</w:t>
      </w:r>
    </w:p>
    <w:p>
      <w:pPr>
        <w:pStyle w:val="normal11"/>
        <w:numPr>
          <w:ilvl w:val="0"/>
          <w:numId w:val="3"/>
        </w:numPr>
        <w:spacing w:before="0" w:after="120"/>
        <w:ind w:hanging="283" w:left="2410" w:right="74"/>
        <w:jc w:val="both"/>
        <w:rPr>
          <w:rFonts w:ascii="Arial" w:hAnsi="Arial" w:cs="Arial"/>
        </w:rPr>
      </w:pPr>
      <w:r>
        <w:rPr>
          <w:rFonts w:cs="Arial" w:ascii="Arial" w:hAnsi="Arial"/>
        </w:rPr>
        <w:t>Promova o acompanhamento e a efetiva cobrança dos valores devidos ao RPPS em decorrência de parcelamentos;</w:t>
      </w:r>
    </w:p>
    <w:p>
      <w:pPr>
        <w:pStyle w:val="normal11"/>
        <w:numPr>
          <w:ilvl w:val="0"/>
          <w:numId w:val="3"/>
        </w:numPr>
        <w:spacing w:before="0" w:after="120"/>
        <w:ind w:hanging="283" w:left="2410" w:right="74"/>
        <w:jc w:val="both"/>
        <w:rPr>
          <w:rFonts w:ascii="Arial" w:hAnsi="Arial" w:cs="Arial"/>
        </w:rPr>
      </w:pPr>
      <w:r>
        <w:rPr>
          <w:rFonts w:cs="Arial" w:ascii="Arial" w:hAnsi="Arial"/>
        </w:rPr>
        <w:t>Adote medidas destinadas ao fortalecimento das disponibilidades financeiras e à formação de reservas do regime;</w:t>
      </w:r>
    </w:p>
    <w:p>
      <w:pPr>
        <w:pStyle w:val="normal11"/>
        <w:numPr>
          <w:ilvl w:val="0"/>
          <w:numId w:val="3"/>
        </w:numPr>
        <w:spacing w:before="0" w:after="120"/>
        <w:ind w:hanging="283" w:left="2410" w:right="74"/>
        <w:jc w:val="both"/>
        <w:rPr>
          <w:rFonts w:ascii="Arial" w:hAnsi="Arial" w:cs="Arial"/>
        </w:rPr>
      </w:pPr>
      <w:r>
        <w:rPr>
          <w:rFonts w:cs="Arial" w:ascii="Arial" w:hAnsi="Arial"/>
        </w:rPr>
        <w:t>Mantenha o atendimento aos requisitos necessários à obtenção do Certificado de Regularidade Previdenciária pela via administrativa;</w:t>
      </w:r>
    </w:p>
    <w:p>
      <w:pPr>
        <w:pStyle w:val="normal11"/>
        <w:numPr>
          <w:ilvl w:val="0"/>
          <w:numId w:val="3"/>
        </w:numPr>
        <w:spacing w:before="0" w:after="120"/>
        <w:ind w:hanging="283" w:left="2410" w:right="74"/>
        <w:jc w:val="both"/>
        <w:rPr>
          <w:rFonts w:ascii="Arial" w:hAnsi="Arial" w:cs="Arial"/>
        </w:rPr>
      </w:pPr>
      <w:r>
        <w:rPr>
          <w:rFonts w:cs="Arial" w:ascii="Arial" w:hAnsi="Arial"/>
        </w:rPr>
        <w:t>Providencie a regular utilização do eSocial; e</w:t>
      </w:r>
    </w:p>
    <w:p>
      <w:pPr>
        <w:pStyle w:val="normal11"/>
        <w:numPr>
          <w:ilvl w:val="0"/>
          <w:numId w:val="3"/>
        </w:numPr>
        <w:ind w:hanging="283" w:left="2410" w:right="74"/>
        <w:jc w:val="both"/>
        <w:rPr>
          <w:rFonts w:ascii="Arial" w:hAnsi="Arial" w:cs="Arial"/>
        </w:rPr>
      </w:pPr>
      <w:r>
        <w:rPr>
          <w:rFonts w:cs="Arial" w:ascii="Arial" w:hAnsi="Arial"/>
        </w:rPr>
        <w:t>Encaminhe ao Ministério da Previdência Social, nos prazos estabelecidos, todas as informações e documentos definidos pela legislação previdenciária federal como de envio obrigatório.</w:t>
      </w:r>
    </w:p>
    <w:p>
      <w:pPr>
        <w:pStyle w:val="normal11"/>
        <w:ind w:left="212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1"/>
        <w:ind w:left="2121" w:right="7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firstLine="1701" w:right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>É o Parecer.</w:t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firstLine="1701" w:right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tabs>
          <w:tab w:val="clear" w:pos="708"/>
          <w:tab w:val="left" w:pos="993" w:leader="none"/>
          <w:tab w:val="left" w:pos="1701" w:leader="none"/>
        </w:tabs>
        <w:ind w:firstLine="1701" w:right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ind w:firstLine="1701" w:righ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João Pessoa, </w:t>
      </w:r>
      <w:r>
        <w:rPr>
          <w:rFonts w:cs="Arial" w:ascii="Arial" w:hAnsi="Arial"/>
          <w:sz w:val="24"/>
          <w:szCs w:val="24"/>
        </w:rPr>
        <w:fldChar w:fldCharType="begin"/>
      </w:r>
      <w:r>
        <w:rPr>
          <w:sz w:val="24"/>
          <w:szCs w:val="24"/>
          <w:rFonts w:cs="Arial" w:ascii="Arial" w:hAnsi="Arial"/>
        </w:rPr>
        <w:instrText xml:space="preserve"> DATE \@"d' de 'MMMM' de 'yyyy" </w:instrText>
      </w:r>
      <w:r>
        <w:rPr>
          <w:sz w:val="24"/>
          <w:szCs w:val="24"/>
          <w:rFonts w:cs="Arial" w:ascii="Arial" w:hAnsi="Arial"/>
        </w:rPr>
        <w:fldChar w:fldCharType="separate"/>
      </w:r>
      <w:r>
        <w:rPr>
          <w:sz w:val="24"/>
          <w:szCs w:val="24"/>
          <w:rFonts w:cs="Arial" w:ascii="Arial" w:hAnsi="Arial"/>
        </w:rPr>
        <w:t>14 de outubro de 2026</w:t>
      </w:r>
      <w:r>
        <w:rPr>
          <w:sz w:val="24"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24"/>
        </w:rPr>
        <w:t>.</w:t>
      </w:r>
    </w:p>
    <w:p>
      <w:pPr>
        <w:pStyle w:val="Normal"/>
        <w:jc w:val="center"/>
        <w:rPr>
          <w:rFonts w:ascii="Arial" w:hAnsi="Arial" w:cs="Arial"/>
          <w:b/>
          <w:i/>
          <w:i/>
          <w:sz w:val="24"/>
          <w:szCs w:val="28"/>
        </w:rPr>
      </w:pPr>
      <w:r>
        <w:rPr>
          <w:rFonts w:cs="Arial" w:ascii="Arial" w:hAnsi="Arial"/>
          <w:b/>
          <w:i/>
          <w:sz w:val="24"/>
          <w:szCs w:val="28"/>
        </w:rPr>
      </w:r>
    </w:p>
    <w:p>
      <w:pPr>
        <w:pStyle w:val="Normal"/>
        <w:jc w:val="center"/>
        <w:rPr>
          <w:rFonts w:ascii="Arial" w:hAnsi="Arial" w:cs="Arial"/>
          <w:b/>
          <w:i/>
          <w:i/>
          <w:sz w:val="24"/>
          <w:szCs w:val="28"/>
        </w:rPr>
      </w:pPr>
      <w:r>
        <w:rPr>
          <w:rFonts w:cs="Arial" w:ascii="Arial" w:hAnsi="Arial"/>
          <w:b/>
          <w:i/>
          <w:sz w:val="24"/>
          <w:szCs w:val="28"/>
        </w:rPr>
      </w:r>
    </w:p>
    <w:p>
      <w:pPr>
        <w:pStyle w:val="Normal"/>
        <w:jc w:val="center"/>
        <w:rPr>
          <w:rFonts w:ascii="Arial" w:hAnsi="Arial" w:cs="Arial"/>
          <w:b/>
          <w:i/>
          <w:i/>
          <w:sz w:val="24"/>
          <w:szCs w:val="28"/>
        </w:rPr>
      </w:pPr>
      <w:r>
        <w:rPr>
          <w:rFonts w:cs="Arial" w:ascii="Arial" w:hAnsi="Arial"/>
          <w:b/>
          <w:i/>
          <w:sz w:val="24"/>
          <w:szCs w:val="28"/>
        </w:rPr>
      </w:r>
    </w:p>
    <w:p>
      <w:pPr>
        <w:pStyle w:val="Normal"/>
        <w:jc w:val="center"/>
        <w:rPr>
          <w:rFonts w:ascii="Arial" w:hAnsi="Arial" w:cs="Arial"/>
          <w:b/>
          <w:i/>
          <w:i/>
          <w:sz w:val="24"/>
          <w:szCs w:val="28"/>
        </w:rPr>
      </w:pPr>
      <w:r>
        <w:rPr>
          <w:rFonts w:cs="Arial" w:ascii="Arial" w:hAnsi="Arial"/>
          <w:b/>
          <w:i/>
          <w:sz w:val="24"/>
          <w:szCs w:val="28"/>
        </w:rPr>
      </w:r>
    </w:p>
    <w:p>
      <w:pPr>
        <w:pStyle w:val="Normal"/>
        <w:jc w:val="center"/>
        <w:rPr>
          <w:rFonts w:ascii="Arial" w:hAnsi="Arial" w:cs="Arial"/>
          <w:b/>
          <w:i/>
          <w:i/>
          <w:sz w:val="28"/>
          <w:szCs w:val="28"/>
        </w:rPr>
      </w:pPr>
      <w:r>
        <w:rPr>
          <w:rFonts w:cs="Arial" w:ascii="Arial" w:hAnsi="Arial"/>
          <w:b/>
          <w:i/>
          <w:sz w:val="28"/>
          <w:szCs w:val="28"/>
        </w:rPr>
        <w:t>ELVIRA SAMARA PEREIRA DE OLIVEIRA</w:t>
      </w:r>
    </w:p>
    <w:p>
      <w:pPr>
        <w:pStyle w:val="Normal"/>
        <w:jc w:val="center"/>
        <w:rPr>
          <w:rFonts w:ascii="Arial" w:hAnsi="Arial" w:cs="Arial"/>
          <w:sz w:val="22"/>
          <w:szCs w:val="24"/>
        </w:rPr>
      </w:pPr>
      <w:r>
        <w:rPr>
          <w:rFonts w:cs="Arial" w:ascii="Arial" w:hAnsi="Arial"/>
          <w:sz w:val="22"/>
          <w:szCs w:val="24"/>
        </w:rPr>
        <w:t>Procuradora-Geral do Ministério Público de Contas do Estado da Paraíba</w:t>
      </w:r>
    </w:p>
    <w:p>
      <w:pPr>
        <w:pStyle w:val="Normal"/>
        <w:jc w:val="both"/>
        <w:rPr>
          <w:rFonts w:ascii="Arial" w:hAnsi="Arial" w:cs="Arial"/>
          <w:i/>
          <w:i/>
          <w:sz w:val="22"/>
          <w:szCs w:val="24"/>
        </w:rPr>
      </w:pPr>
      <w:r>
        <w:rPr>
          <w:rFonts w:cs="Arial" w:ascii="Arial" w:hAnsi="Arial"/>
          <w:i/>
          <w:sz w:val="22"/>
          <w:szCs w:val="24"/>
        </w:rPr>
      </w:r>
    </w:p>
    <w:p>
      <w:pPr>
        <w:pStyle w:val="Normal"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  <w:i/>
        </w:rPr>
        <w:t>ycn</w:t>
      </w:r>
    </w:p>
    <w:sectPr>
      <w:headerReference w:type="default" r:id="rId2"/>
      <w:type w:val="nextPage"/>
      <w:pgSz w:w="11906" w:h="16838"/>
      <w:pgMar w:left="1559" w:right="992" w:gutter="0" w:header="0" w:top="100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2392045" cy="1682115"/>
          <wp:effectExtent l="0" t="0" r="0" b="0"/>
          <wp:docPr id="1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5" r="-3" b="-5"/>
                  <a:stretch>
                    <a:fillRect/>
                  </a:stretch>
                </pic:blipFill>
                <pic:spPr bwMode="auto">
                  <a:xfrm>
                    <a:off x="0" y="0"/>
                    <a:ext cx="2392045" cy="1682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</w:r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2121" w:hanging="360"/>
      </w:pPr>
      <w:rPr>
        <w:b/>
      </w:rPr>
    </w:lvl>
    <w:lvl w:ilvl="1">
      <w:start w:val="1"/>
      <w:isLgl/>
      <w:numFmt w:val="decimal"/>
      <w:lvlText w:val="%1.%2"/>
      <w:lvlJc w:val="left"/>
      <w:pPr>
        <w:tabs>
          <w:tab w:val="num" w:pos="0"/>
        </w:tabs>
        <w:ind w:left="2706" w:hanging="585"/>
      </w:pPr>
      <w:rPr>
        <w:b/>
      </w:rPr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3201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3921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4281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5001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5361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6081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6441" w:hanging="180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2841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left="1410" w:right="0"/>
      <w:jc w:val="center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both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shd w:fill="BFBFBF" w:val="clear"/>
      <w:jc w:val="center"/>
      <w:outlineLvl w:val="7"/>
    </w:pPr>
    <w:rPr>
      <w:b/>
      <w:i/>
      <w:sz w:val="36"/>
      <w:u w:val="single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b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b/>
    </w:rPr>
  </w:style>
  <w:style w:type="character" w:styleId="WW8Num2z2">
    <w:name w:val="WW8Num2z2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b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b/>
    </w:rPr>
  </w:style>
  <w:style w:type="character" w:styleId="WW8Num9z0">
    <w:name w:val="WW8Num9z0"/>
    <w:qFormat/>
    <w:rPr>
      <w:b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Symbol" w:hAnsi="Symbol" w:cs="Symbol"/>
    </w:rPr>
  </w:style>
  <w:style w:type="character" w:styleId="WW8Num14z1">
    <w:name w:val="WW8Num14z1"/>
    <w:qFormat/>
    <w:rPr/>
  </w:style>
  <w:style w:type="character" w:styleId="WW8Num15z0">
    <w:name w:val="WW8Num15z0"/>
    <w:qFormat/>
    <w:rPr>
      <w:b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b w:val="false"/>
    </w:rPr>
  </w:style>
  <w:style w:type="character" w:styleId="WW8Num20z0">
    <w:name w:val="WW8Num20z0"/>
    <w:qFormat/>
    <w:rPr>
      <w:b/>
    </w:rPr>
  </w:style>
  <w:style w:type="character" w:styleId="WW8Num21z0">
    <w:name w:val="WW8Num21z0"/>
    <w:qFormat/>
    <w:rPr>
      <w:rFonts w:cs="Times New Roman"/>
    </w:rPr>
  </w:style>
  <w:style w:type="character" w:styleId="WW8Num21z1">
    <w:name w:val="WW8Num21z1"/>
    <w:qFormat/>
    <w:rPr>
      <w:rFonts w:cs="Times New Roman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b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b w:val="false"/>
      <w:i w:val="false"/>
    </w:rPr>
  </w:style>
  <w:style w:type="character" w:styleId="WW8Num26z2">
    <w:name w:val="WW8Num26z2"/>
    <w:qFormat/>
    <w:rPr/>
  </w:style>
  <w:style w:type="character" w:styleId="WW8Num27z0">
    <w:name w:val="WW8Num27z0"/>
    <w:qFormat/>
    <w:rPr>
      <w:b/>
    </w:rPr>
  </w:style>
  <w:style w:type="character" w:styleId="WW8Num28z0">
    <w:name w:val="WW8Num28z0"/>
    <w:qFormat/>
    <w:rPr>
      <w:b w:val="false"/>
    </w:rPr>
  </w:style>
  <w:style w:type="character" w:styleId="WW8Num29z0">
    <w:name w:val="WW8Num29z0"/>
    <w:qFormat/>
    <w:rPr>
      <w:b/>
      <w:sz w:val="24"/>
    </w:rPr>
  </w:style>
  <w:style w:type="character" w:styleId="WW8Num30z0">
    <w:name w:val="WW8Num30z0"/>
    <w:qFormat/>
    <w:rPr>
      <w:b w:val="false"/>
    </w:rPr>
  </w:style>
  <w:style w:type="character" w:styleId="Fontepargpadro">
    <w:name w:val="Fonte parág. padrão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Strong">
    <w:name w:val="Strong"/>
    <w:qFormat/>
    <w:rPr>
      <w:b/>
      <w:bCs/>
    </w:rPr>
  </w:style>
  <w:style w:type="character" w:styleId="markedcontent">
    <w:name w:val="markedcontent"/>
    <w:basedOn w:val="Fontepargpadro"/>
    <w:qFormat/>
    <w:rPr/>
  </w:style>
  <w:style w:type="character" w:styleId="RodapChar">
    <w:name w:val="Rodapé Char"/>
    <w:qFormat/>
    <w:rPr/>
  </w:style>
  <w:style w:type="character" w:styleId="CabealhoChar">
    <w:name w:val="Cabeçalho 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6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rpodetexto2">
    <w:name w:val="Corpo de texto 2"/>
    <w:basedOn w:val="Normal"/>
    <w:qFormat/>
    <w:pPr>
      <w:jc w:val="both"/>
    </w:pPr>
    <w:rPr>
      <w:sz w:val="24"/>
    </w:rPr>
  </w:style>
  <w:style w:type="paragraph" w:styleId="BodyTextIndent">
    <w:name w:val="Body Text Indent"/>
    <w:basedOn w:val="Normal"/>
    <w:pPr>
      <w:ind w:firstLine="1410" w:left="0" w:right="0"/>
      <w:jc w:val="both"/>
    </w:pPr>
    <w:rPr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Recuodecorpodetexto2">
    <w:name w:val="Recuo de corpo de texto 2"/>
    <w:basedOn w:val="Normal"/>
    <w:qFormat/>
    <w:pPr>
      <w:tabs>
        <w:tab w:val="clear" w:pos="708"/>
        <w:tab w:val="left" w:pos="1985" w:leader="none"/>
      </w:tabs>
      <w:ind w:hanging="0" w:left="1410" w:right="0"/>
      <w:jc w:val="both"/>
    </w:pPr>
    <w:rPr>
      <w:sz w:val="24"/>
    </w:rPr>
  </w:style>
  <w:style w:type="paragraph" w:styleId="Recuodecorpodetexto3">
    <w:name w:val="Recuo de corpo de texto 3"/>
    <w:basedOn w:val="Normal"/>
    <w:qFormat/>
    <w:pPr>
      <w:ind w:firstLine="1416" w:left="0" w:right="0"/>
      <w:jc w:val="both"/>
    </w:pPr>
    <w:rPr>
      <w:sz w:val="24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pacing w:before="100" w:after="100"/>
    </w:pPr>
    <w:rPr>
      <w:sz w:val="24"/>
      <w:szCs w:val="24"/>
    </w:rPr>
  </w:style>
  <w:style w:type="paragraph" w:styleId="FootnoteText">
    <w:name w:val="footnote text"/>
    <w:basedOn w:val="Normal"/>
    <w:pPr/>
    <w:rPr/>
  </w:style>
  <w:style w:type="paragraph" w:styleId="normal1">
    <w:name w:val="normal1"/>
    <w:qFormat/>
    <w:pPr>
      <w:widowControl/>
      <w:bidi w:val="0"/>
      <w:spacing w:lineRule="auto" w:line="276"/>
    </w:pPr>
    <w:rPr>
      <w:rFonts w:ascii="Arial" w:hAnsi="Arial" w:eastAsia="Times New Roman" w:cs="Arial"/>
      <w:color w:val="auto"/>
      <w:sz w:val="22"/>
      <w:szCs w:val="22"/>
      <w:lang w:val="pt-BR" w:bidi="ar-SA" w:eastAsia="zh-CN"/>
    </w:rPr>
  </w:style>
  <w:style w:type="paragraph" w:styleId="ListParagraph">
    <w:name w:val="List Paragraph"/>
    <w:basedOn w:val="Normal"/>
    <w:qFormat/>
    <w:pPr>
      <w:ind w:hanging="0" w:left="720" w:right="0"/>
    </w:pPr>
    <w:rPr>
      <w:sz w:val="24"/>
      <w:szCs w:val="24"/>
    </w:rPr>
  </w:style>
  <w:style w:type="paragraph" w:styleId="normal11">
    <w:name w:val="normal11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PargrafodaLista">
    <w:name w:val="Parágrafo da Lista"/>
    <w:basedOn w:val="Normal"/>
    <w:qFormat/>
    <w:pPr>
      <w:ind w:hanging="0" w:left="708" w:right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REL 2897-98.dot</Template>
  <TotalTime>192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2026-09-22T11:51:00Z</dcterms:created>
  <dc:creator>WIN97</dc:creator>
  <dc:description/>
  <cp:keywords/>
  <dc:language>en-US</dc:language>
  <cp:lastModifiedBy>Yanko Cyrillo Neto</cp:lastModifiedBy>
  <cp:lastPrinted>2026-01-29T10:06:00Z</cp:lastPrinted>
  <dcterms:modified xsi:type="dcterms:W3CDTF">2026-09-22T15:02:00Z</dcterms:modified>
  <cp:revision>9</cp:revision>
  <dc:subject/>
  <dc:title> </dc:title>
</cp:coreProperties>
</file>