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Willowmere Wetland Restoration</w:t>
      </w:r>
    </w:p>
    <w:p>
      <w:pPr>
        <w:jc w:val="center"/>
      </w:pPr>
      <w:r>
        <w:rPr>
          <w:color w:val="666666"/>
          <w:sz w:val="24"/>
        </w:rPr>
        <w:t>Phase 2 Field Survey Report  ·  Contract WM-2026-114</w:t>
      </w:r>
    </w:p>
    <w:p>
      <w:pPr>
        <w:jc w:val="center"/>
      </w:pPr>
      <w:r>
        <w:rPr>
          <w:i/>
          <w:color w:val="888888"/>
          <w:sz w:val="20"/>
        </w:rPr>
        <w:t>Harrowgate Field Services Ltd  —  issued 6 August 2026  —  Revision C</w:t>
      </w:r>
    </w:p>
    <w:p>
      <w:pPr>
        <w:pStyle w:val="Heading1"/>
      </w:pPr>
      <w:r>
        <w:t>1. Summary of findings</w:t>
      </w:r>
    </w:p>
    <w:p>
      <w:r>
        <w:t>Phase 2 of the Willowmere restoration was surveyed over eleven working days between 14 and 29 July 2026. The survey covered 46.3 hectares of former grazing marsh east of Marrow Lane, together with the 1.9 km of reprofiled ditch that now carries water from the Brackenridge outfall into the new central lagoon. Conditions were dry throughout, which gave good access to the southern compartments but depressed the counts for amphibians and for several of the wetland plant indicators.</w:t>
      </w:r>
    </w:p>
    <w:p>
      <w:r>
        <w:t>The headline result is that the scheme is meeting its hydrological targets ahead of programme. Water levels in compartments 3 and 4 held within the design envelope for the whole of the survey window despite an unusually dry July, and the reedbed transplanted in March has taken across roughly three-quarters of its planted area. Two matters need attention before the winter: the bank slumping at chainage 0+840, and the persistent silt load arriving from the northern culvert.</w:t>
      </w:r>
    </w:p>
    <w:p>
      <w:pPr>
        <w:pStyle w:val="Heading2"/>
      </w:pPr>
      <w:r>
        <w:t>Key points</w:t>
      </w:r>
    </w:p>
    <w:p>
      <w:pPr>
        <w:pStyle w:val="ListBullet"/>
      </w:pPr>
      <w:r>
        <w:t>Reed establishment across compartments 1 to 4 is 74% against a Phase 2 target of 60%.</w:t>
      </w:r>
    </w:p>
    <w:p>
      <w:pPr>
        <w:pStyle w:val="ListBullet"/>
      </w:pPr>
      <w:r>
        <w:t>Standing water was retained in all four compartments through a 19-day dry spell.</w:t>
      </w:r>
    </w:p>
    <w:p>
      <w:pPr>
        <w:pStyle w:val="ListBullet"/>
      </w:pPr>
      <w:r>
        <w:t>Bank slumping over a 22 m length at chainage 0+840 needs regrading before October.</w:t>
      </w:r>
    </w:p>
    <w:p>
      <w:pPr>
        <w:pStyle w:val="ListBullet"/>
      </w:pPr>
      <w:r>
        <w:t>Silt arriving from the northern culvert is running at roughly 2.4 times the modelled rate.</w:t>
      </w:r>
    </w:p>
    <w:p>
      <w:pPr>
        <w:pStyle w:val="ListBullet"/>
      </w:pPr>
      <w:r>
        <w:t>Breeding waders were recorded in compartment 2 for the first time since works began.</w:t>
      </w:r>
    </w:p>
    <w:p>
      <w:pPr>
        <w:pStyle w:val="ListBullet"/>
      </w:pPr>
      <w:r>
        <w:t>No non-native invasive species were found within the survey boundary.</w:t>
      </w:r>
    </w:p>
    <w:p>
      <w:pPr>
        <w:pStyle w:val="Heading1"/>
      </w:pPr>
      <w:r>
        <w:t>2. Method</w:t>
      </w:r>
    </w:p>
    <w:p>
      <w:r>
        <w:t>Vegetation was recorded using 2 m × 2 m quadrats on a stratified random grid, with twelve quadrats in each compartment and a further eight along the ditch margin. Percentage cover was estimated by eye against a printed reference card and cross-checked by a second surveyor on one quadrat in five. Water levels were read from the six dipwells installed in Phase 1 and from the two new wells at the lagoon inlet and outlet.</w:t>
      </w:r>
    </w:p>
    <w:p>
      <w:r>
        <w:t>Bird records follow the standard territory-mapping approach over four visits, two of them starting before 06:00. Invertebrate sampling used sweep netting on the drier margins and a pond net in open water, with specimens identified in the field and released. Photographs were taken from the nine fixed points established at the outset so that later surveys remain comparable.</w:t>
      </w:r>
    </w:p>
    <w:p>
      <w:pPr>
        <w:pStyle w:val="Heading1"/>
      </w:pPr>
      <w:r>
        <w:t>3. Vegetation results</w:t>
      </w:r>
    </w:p>
    <w:p>
      <w:r>
        <w:t>Cover figures for the four compartments are set out below. The figure for compartment 4 is depressed by the bare ground left after the March regrading, and is expected to close the gap on the others during the next growing season.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Compartment</w:t>
            </w:r>
          </w:p>
        </w:tc>
        <w:tc>
          <w:tcPr>
            <w:tcW w:type="dxa" w:w="1440"/>
          </w:tcPr>
          <w:p>
            <w:r>
              <w:rPr>
                <w:b/>
                <w:sz w:val="20"/>
              </w:rPr>
              <w:t>Area (ha)</w:t>
            </w:r>
          </w:p>
        </w:tc>
        <w:tc>
          <w:tcPr>
            <w:tcW w:type="dxa" w:w="1440"/>
          </w:tcPr>
          <w:p>
            <w:r>
              <w:rPr>
                <w:b/>
                <w:sz w:val="20"/>
              </w:rPr>
              <w:t>Reed cover</w:t>
            </w:r>
          </w:p>
        </w:tc>
        <w:tc>
          <w:tcPr>
            <w:tcW w:type="dxa" w:w="1440"/>
          </w:tcPr>
          <w:p>
            <w:r>
              <w:rPr>
                <w:b/>
                <w:sz w:val="20"/>
              </w:rPr>
              <w:t>Open water</w:t>
            </w:r>
          </w:p>
        </w:tc>
        <w:tc>
          <w:tcPr>
            <w:tcW w:type="dxa" w:w="1440"/>
          </w:tcPr>
          <w:p>
            <w:r>
              <w:rPr>
                <w:b/>
                <w:sz w:val="20"/>
              </w:rPr>
              <w:t>Bare ground</w:t>
            </w:r>
          </w:p>
        </w:tc>
        <w:tc>
          <w:tcPr>
            <w:tcW w:type="dxa" w:w="1440"/>
          </w:tcPr>
          <w:p>
            <w:r>
              <w:rPr>
                <w:b/>
                <w:sz w:val="20"/>
              </w:rPr>
              <w:t>Quadrats</w:t>
            </w:r>
          </w:p>
        </w:tc>
      </w:tr>
      <w:tr>
        <w:tc>
          <w:tcPr>
            <w:tcW w:type="dxa" w:w="1440"/>
          </w:tcPr>
          <w:p>
            <w:r>
              <w:rPr>
                <w:sz w:val="20"/>
              </w:rPr>
              <w:t>1 — North marsh</w:t>
            </w:r>
          </w:p>
        </w:tc>
        <w:tc>
          <w:tcPr>
            <w:tcW w:type="dxa" w:w="1440"/>
          </w:tcPr>
          <w:p>
            <w:r>
              <w:rPr>
                <w:sz w:val="20"/>
              </w:rPr>
              <w:t>11.4</w:t>
            </w:r>
          </w:p>
        </w:tc>
        <w:tc>
          <w:tcPr>
            <w:tcW w:type="dxa" w:w="1440"/>
          </w:tcPr>
          <w:p>
            <w:r>
              <w:rPr>
                <w:sz w:val="20"/>
              </w:rPr>
              <w:t>81%</w:t>
            </w:r>
          </w:p>
        </w:tc>
        <w:tc>
          <w:tcPr>
            <w:tcW w:type="dxa" w:w="1440"/>
          </w:tcPr>
          <w:p>
            <w:r>
              <w:rPr>
                <w:sz w:val="20"/>
              </w:rPr>
              <w:t>12%</w:t>
            </w:r>
          </w:p>
        </w:tc>
        <w:tc>
          <w:tcPr>
            <w:tcW w:type="dxa" w:w="1440"/>
          </w:tcPr>
          <w:p>
            <w:r>
              <w:rPr>
                <w:sz w:val="20"/>
              </w:rPr>
              <w:t>4%</w:t>
            </w:r>
          </w:p>
        </w:tc>
        <w:tc>
          <w:tcPr>
            <w:tcW w:type="dxa" w:w="1440"/>
          </w:tcPr>
          <w:p>
            <w:r>
              <w:rPr>
                <w:sz w:val="20"/>
              </w:rPr>
              <w:t>12</w:t>
            </w:r>
          </w:p>
        </w:tc>
      </w:tr>
      <w:tr>
        <w:tc>
          <w:tcPr>
            <w:tcW w:type="dxa" w:w="1440"/>
          </w:tcPr>
          <w:p>
            <w:r>
              <w:rPr>
                <w:sz w:val="20"/>
              </w:rPr>
              <w:t>2 — Central lagoon</w:t>
            </w:r>
          </w:p>
        </w:tc>
        <w:tc>
          <w:tcPr>
            <w:tcW w:type="dxa" w:w="1440"/>
          </w:tcPr>
          <w:p>
            <w:r>
              <w:rPr>
                <w:sz w:val="20"/>
              </w:rPr>
              <w:t>14.8</w:t>
            </w:r>
          </w:p>
        </w:tc>
        <w:tc>
          <w:tcPr>
            <w:tcW w:type="dxa" w:w="1440"/>
          </w:tcPr>
          <w:p>
            <w:r>
              <w:rPr>
                <w:sz w:val="20"/>
              </w:rPr>
              <w:t>76%</w:t>
            </w:r>
          </w:p>
        </w:tc>
        <w:tc>
          <w:tcPr>
            <w:tcW w:type="dxa" w:w="1440"/>
          </w:tcPr>
          <w:p>
            <w:r>
              <w:rPr>
                <w:sz w:val="20"/>
              </w:rPr>
              <w:t>19%</w:t>
            </w:r>
          </w:p>
        </w:tc>
        <w:tc>
          <w:tcPr>
            <w:tcW w:type="dxa" w:w="1440"/>
          </w:tcPr>
          <w:p>
            <w:r>
              <w:rPr>
                <w:sz w:val="20"/>
              </w:rPr>
              <w:t>3%</w:t>
            </w:r>
          </w:p>
        </w:tc>
        <w:tc>
          <w:tcPr>
            <w:tcW w:type="dxa" w:w="1440"/>
          </w:tcPr>
          <w:p>
            <w:r>
              <w:rPr>
                <w:sz w:val="20"/>
              </w:rPr>
              <w:t>12</w:t>
            </w:r>
          </w:p>
        </w:tc>
      </w:tr>
      <w:tr>
        <w:tc>
          <w:tcPr>
            <w:tcW w:type="dxa" w:w="1440"/>
          </w:tcPr>
          <w:p>
            <w:r>
              <w:rPr>
                <w:sz w:val="20"/>
              </w:rPr>
              <w:t>3 — South scrape</w:t>
            </w:r>
          </w:p>
        </w:tc>
        <w:tc>
          <w:tcPr>
            <w:tcW w:type="dxa" w:w="1440"/>
          </w:tcPr>
          <w:p>
            <w:r>
              <w:rPr>
                <w:sz w:val="20"/>
              </w:rPr>
              <w:t>9.7</w:t>
            </w:r>
          </w:p>
        </w:tc>
        <w:tc>
          <w:tcPr>
            <w:tcW w:type="dxa" w:w="1440"/>
          </w:tcPr>
          <w:p>
            <w:r>
              <w:rPr>
                <w:sz w:val="20"/>
              </w:rPr>
              <w:t>79%</w:t>
            </w:r>
          </w:p>
        </w:tc>
        <w:tc>
          <w:tcPr>
            <w:tcW w:type="dxa" w:w="1440"/>
          </w:tcPr>
          <w:p>
            <w:r>
              <w:rPr>
                <w:sz w:val="20"/>
              </w:rPr>
              <w:t>14%</w:t>
            </w:r>
          </w:p>
        </w:tc>
        <w:tc>
          <w:tcPr>
            <w:tcW w:type="dxa" w:w="1440"/>
          </w:tcPr>
          <w:p>
            <w:r>
              <w:rPr>
                <w:sz w:val="20"/>
              </w:rPr>
              <w:t>5%</w:t>
            </w:r>
          </w:p>
        </w:tc>
        <w:tc>
          <w:tcPr>
            <w:tcW w:type="dxa" w:w="1440"/>
          </w:tcPr>
          <w:p>
            <w:r>
              <w:rPr>
                <w:sz w:val="20"/>
              </w:rPr>
              <w:t>12</w:t>
            </w:r>
          </w:p>
        </w:tc>
      </w:tr>
      <w:tr>
        <w:tc>
          <w:tcPr>
            <w:tcW w:type="dxa" w:w="1440"/>
          </w:tcPr>
          <w:p>
            <w:r>
              <w:rPr>
                <w:sz w:val="20"/>
              </w:rPr>
              <w:t>4 — East regrade</w:t>
            </w:r>
          </w:p>
        </w:tc>
        <w:tc>
          <w:tcPr>
            <w:tcW w:type="dxa" w:w="1440"/>
          </w:tcPr>
          <w:p>
            <w:r>
              <w:rPr>
                <w:sz w:val="20"/>
              </w:rPr>
              <w:t>10.4</w:t>
            </w:r>
          </w:p>
        </w:tc>
        <w:tc>
          <w:tcPr>
            <w:tcW w:type="dxa" w:w="1440"/>
          </w:tcPr>
          <w:p>
            <w:r>
              <w:rPr>
                <w:sz w:val="20"/>
              </w:rPr>
              <w:t>58%</w:t>
            </w:r>
          </w:p>
        </w:tc>
        <w:tc>
          <w:tcPr>
            <w:tcW w:type="dxa" w:w="1440"/>
          </w:tcPr>
          <w:p>
            <w:r>
              <w:rPr>
                <w:sz w:val="20"/>
              </w:rPr>
              <w:t>9%</w:t>
            </w:r>
          </w:p>
        </w:tc>
        <w:tc>
          <w:tcPr>
            <w:tcW w:type="dxa" w:w="1440"/>
          </w:tcPr>
          <w:p>
            <w:r>
              <w:rPr>
                <w:sz w:val="20"/>
              </w:rPr>
              <w:t>28%</w:t>
            </w:r>
          </w:p>
        </w:tc>
        <w:tc>
          <w:tcPr>
            <w:tcW w:type="dxa" w:w="1440"/>
          </w:tcPr>
          <w:p>
            <w:r>
              <w:rPr>
                <w:sz w:val="20"/>
              </w:rPr>
              <w:t>12</w:t>
            </w:r>
          </w:p>
        </w:tc>
      </w:tr>
      <w:tr>
        <w:tc>
          <w:tcPr>
            <w:tcW w:type="dxa" w:w="1440"/>
          </w:tcPr>
          <w:p>
            <w:r>
              <w:rPr>
                <w:sz w:val="20"/>
              </w:rPr>
              <w:t>Ditch margin</w:t>
            </w:r>
          </w:p>
        </w:tc>
        <w:tc>
          <w:tcPr>
            <w:tcW w:type="dxa" w:w="1440"/>
          </w:tcPr>
          <w:p>
            <w:r>
              <w:rPr>
                <w:sz w:val="20"/>
              </w:rPr>
              <w:t>1.9</w:t>
            </w:r>
          </w:p>
        </w:tc>
        <w:tc>
          <w:tcPr>
            <w:tcW w:type="dxa" w:w="1440"/>
          </w:tcPr>
          <w:p>
            <w:r>
              <w:rPr>
                <w:sz w:val="20"/>
              </w:rPr>
              <w:t>63%</w:t>
            </w:r>
          </w:p>
        </w:tc>
        <w:tc>
          <w:tcPr>
            <w:tcW w:type="dxa" w:w="1440"/>
          </w:tcPr>
          <w:p>
            <w:r>
              <w:rPr>
                <w:sz w:val="20"/>
              </w:rPr>
              <w:t>22%</w:t>
            </w:r>
          </w:p>
        </w:tc>
        <w:tc>
          <w:tcPr>
            <w:tcW w:type="dxa" w:w="1440"/>
          </w:tcPr>
          <w:p>
            <w:r>
              <w:rPr>
                <w:sz w:val="20"/>
              </w:rPr>
              <w:t>11%</w:t>
            </w:r>
          </w:p>
        </w:tc>
        <w:tc>
          <w:tcPr>
            <w:tcW w:type="dxa" w:w="1440"/>
          </w:tcPr>
          <w:p>
            <w:r>
              <w:rPr>
                <w:sz w:val="20"/>
              </w:rPr>
              <w:t>8</w:t>
            </w:r>
          </w:p>
        </w:tc>
      </w:tr>
    </w:tbl>
    <w:p/>
    <w:p>
      <w:pPr>
        <w:pStyle w:val="Heading1"/>
      </w:pPr>
      <w:r>
        <w:t>4. Hydrology</w:t>
      </w:r>
    </w:p>
    <w:p>
      <w:r>
        <w:t>The design intent was to hold water between 0.35 m and 0.70 m above datum in compartments 1 to 3 through the summer, drawing down gradually into September. Readings taken twice weekly show the range held between 0.41 m and 0.66 m across the survey window, which is comfortably inside the envelope and notably better than the equivalent period last year, when compartment 3 fell to 0.19 m and lost its standing water for nine days.</w:t>
      </w:r>
    </w:p>
    <w:p>
      <w:r>
        <w:t>The one concern is sediment. Turbidity at the northern culvert averaged 118 NTU against a modelled 49 NTU, and the settlement pocket immediately downstream has already lost about a third of its designed capacity. Unless the pocket is cleared before the winter flows arrive, silt will begin to carry through into the lagoon and smother the reed rhizomes planted along the northern edge.</w:t>
      </w:r>
    </w:p>
    <w:p>
      <w:pPr>
        <w:pStyle w:val="Heading1"/>
      </w:pPr>
      <w:r>
        <w:t>5. Recommendations</w:t>
      </w:r>
    </w:p>
    <w:p>
      <w:pPr>
        <w:pStyle w:val="ListNumber"/>
      </w:pPr>
      <w:r>
        <w:t>Regrade the slumped bank at chainage 0+840 to a 1:4 profile and reseed before the end of September.</w:t>
      </w:r>
    </w:p>
    <w:p>
      <w:pPr>
        <w:pStyle w:val="ListNumber"/>
      </w:pPr>
      <w:r>
        <w:t>Clear the settlement pocket at the northern culvert and increase its capacity by roughly 40%.</w:t>
      </w:r>
    </w:p>
    <w:p>
      <w:pPr>
        <w:pStyle w:val="ListNumber"/>
      </w:pPr>
      <w:r>
        <w:t>Retain the temporary stock fence around compartment 4 for one further season.</w:t>
      </w:r>
    </w:p>
    <w:p>
      <w:pPr>
        <w:pStyle w:val="ListNumber"/>
      </w:pPr>
      <w:r>
        <w:t>Repeat the vegetation survey in late June 2027 so results are not skewed by another dry July.</w:t>
      </w:r>
    </w:p>
    <w:p>
      <w:pPr>
        <w:pStyle w:val="ListNumber"/>
      </w:pPr>
      <w:r>
        <w:t>Add two dipwells at the eastern boundary, where the current network leaves a 400 m gap.</w:t>
      </w:r>
    </w:p>
    <w:p>
      <w:pPr>
        <w:pStyle w:val="Heading1"/>
      </w:pPr>
      <w:r>
        <w:t>6. Limitations</w:t>
      </w:r>
    </w:p>
    <w:p>
      <w:r>
        <w:t>This report covers the Phase 2 boundary only and does not assess the condition of the Phase 1 works upstream. The dry conditions during the survey window mean the amphibian and aquatic invertebrate counts should be treated as a minimum rather than a representative figure. Access to the north-eastern corner was restricted for two days by contractor works, and three quadrats there were recorded on the following visit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A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