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684" w:rsidRDefault="006F1D54" w:rsidP="003F6A4C">
      <w:pPr>
        <w:jc w:val="center"/>
        <w:rPr>
          <w:rFonts w:ascii="Times New Roman" w:hAnsi="Times New Roman" w:cs="Times New Roman"/>
        </w:rPr>
      </w:pPr>
      <w:r>
        <w:rPr>
          <w:rFonts w:ascii="Times New Roman" w:hAnsi="Times New Roman" w:cs="Times New Roman"/>
        </w:rPr>
        <w:t>Türkiye’de Gelir Eşitsizliği: Gerçeği Aramak</w:t>
      </w:r>
    </w:p>
    <w:p w:rsidR="006F1D54" w:rsidRDefault="006F1D54" w:rsidP="003F6A4C">
      <w:pPr>
        <w:jc w:val="center"/>
        <w:rPr>
          <w:rFonts w:ascii="Times New Roman" w:hAnsi="Times New Roman" w:cs="Times New Roman"/>
        </w:rPr>
      </w:pPr>
      <w:r>
        <w:rPr>
          <w:rFonts w:ascii="Times New Roman" w:hAnsi="Times New Roman" w:cs="Times New Roman"/>
        </w:rPr>
        <w:t>Doç. Dr. Alper Duman</w:t>
      </w:r>
    </w:p>
    <w:p w:rsidR="006F1D54" w:rsidRDefault="006F1D54">
      <w:pPr>
        <w:rPr>
          <w:rFonts w:ascii="Times New Roman" w:hAnsi="Times New Roman" w:cs="Times New Roman"/>
        </w:rPr>
      </w:pPr>
    </w:p>
    <w:p w:rsidR="006F1D54" w:rsidRDefault="006F1D54">
      <w:pPr>
        <w:rPr>
          <w:rFonts w:ascii="Times New Roman" w:hAnsi="Times New Roman" w:cs="Times New Roman"/>
        </w:rPr>
      </w:pPr>
      <w:r>
        <w:rPr>
          <w:rFonts w:ascii="Times New Roman" w:hAnsi="Times New Roman" w:cs="Times New Roman"/>
        </w:rPr>
        <w:t>Dünya Bankası</w:t>
      </w:r>
      <w:r w:rsidR="001D670A">
        <w:rPr>
          <w:rFonts w:ascii="Times New Roman" w:hAnsi="Times New Roman" w:cs="Times New Roman"/>
        </w:rPr>
        <w:t>, OECD gibi uluslararası kuruluşlar</w:t>
      </w:r>
      <w:r>
        <w:rPr>
          <w:rFonts w:ascii="Times New Roman" w:hAnsi="Times New Roman" w:cs="Times New Roman"/>
        </w:rPr>
        <w:t xml:space="preserve"> bir yandan AKP diğer yandan son 12 yıllık dönemde 2002-2014 arasında Türkiye’de gelir eşitsizliğinde bir düşme olduğunu ve bunun diğer ülkelere örnek olması gerektiğini savunmaktadırlar. Aşağıda her iki tarafın kullandığı Türkiye İstatistik Kurumu’na ait resmi bölüşüm göstergesi rakamlarını, </w:t>
      </w:r>
      <w:proofErr w:type="spellStart"/>
      <w:r>
        <w:rPr>
          <w:rFonts w:ascii="Times New Roman" w:hAnsi="Times New Roman" w:cs="Times New Roman"/>
        </w:rPr>
        <w:t>Gini</w:t>
      </w:r>
      <w:proofErr w:type="spellEnd"/>
      <w:r>
        <w:rPr>
          <w:rFonts w:ascii="Times New Roman" w:hAnsi="Times New Roman" w:cs="Times New Roman"/>
        </w:rPr>
        <w:t xml:space="preserve"> katsayılarını bir tablo halinde sunuyoruz. </w:t>
      </w:r>
    </w:p>
    <w:p w:rsidR="006F1D54" w:rsidRDefault="006F1D54">
      <w:pPr>
        <w:rPr>
          <w:rFonts w:ascii="Times New Roman" w:hAnsi="Times New Roman" w:cs="Times New Roman"/>
        </w:rPr>
      </w:pPr>
      <w:r>
        <w:rPr>
          <w:rFonts w:ascii="Times New Roman" w:hAnsi="Times New Roman" w:cs="Times New Roman"/>
        </w:rPr>
        <w:t>İlk nokta, bu gelir eşitsizliği göstergelerinin zaman içinde birbirleriyle karşılaştırılabilir olmadığıdır. Örneklem ve yöntem farklılıkları bilimsel bir karşılaştırma yapılmasını imkânsız kılmaktadır. İkinci nokta ise bu bulguların gerçeği yansıttığını ispatlama yükümlülüğünün iddia makamında olduğudur. Aşağıda daha kapsamlı bir şekilde ele alacağımız eleştirimiz, bu bulguların gerçeği yansıtmadığı ve gerçeğe yaklaşmak için yapılacak bazı ayarlamalarla birlikte aslında gelir eşitsizliğinin azalmadığı ve yüksek bir düzeyde olduğu yönündedir.</w:t>
      </w:r>
    </w:p>
    <w:p w:rsidR="006F1D54" w:rsidRDefault="006F1D54">
      <w:pPr>
        <w:rPr>
          <w:rFonts w:ascii="Times New Roman" w:hAnsi="Times New Roman" w:cs="Times New Roman"/>
        </w:rPr>
      </w:pPr>
    </w:p>
    <w:tbl>
      <w:tblPr>
        <w:tblStyle w:val="TableGrid"/>
        <w:tblW w:w="0" w:type="auto"/>
        <w:tblInd w:w="2067" w:type="dxa"/>
        <w:tblLook w:val="04A0" w:firstRow="1" w:lastRow="0" w:firstColumn="1" w:lastColumn="0" w:noHBand="0" w:noVBand="1"/>
      </w:tblPr>
      <w:tblGrid>
        <w:gridCol w:w="1727"/>
        <w:gridCol w:w="1843"/>
      </w:tblGrid>
      <w:tr w:rsidR="00F839EB" w:rsidTr="00F839EB">
        <w:tc>
          <w:tcPr>
            <w:tcW w:w="1727" w:type="dxa"/>
          </w:tcPr>
          <w:p w:rsidR="00F839EB" w:rsidRDefault="003F6A4C">
            <w:pPr>
              <w:rPr>
                <w:rFonts w:ascii="Times New Roman" w:hAnsi="Times New Roman" w:cs="Times New Roman"/>
              </w:rPr>
            </w:pPr>
            <w:r>
              <w:rPr>
                <w:rFonts w:ascii="Times New Roman" w:hAnsi="Times New Roman" w:cs="Times New Roman"/>
              </w:rPr>
              <w:t>Yılları</w:t>
            </w:r>
          </w:p>
        </w:tc>
        <w:tc>
          <w:tcPr>
            <w:tcW w:w="1843" w:type="dxa"/>
          </w:tcPr>
          <w:p w:rsidR="00F839EB" w:rsidRDefault="00F839EB">
            <w:pPr>
              <w:rPr>
                <w:rFonts w:ascii="Times New Roman" w:hAnsi="Times New Roman" w:cs="Times New Roman"/>
              </w:rPr>
            </w:pPr>
            <w:proofErr w:type="spellStart"/>
            <w:r>
              <w:rPr>
                <w:rFonts w:ascii="Times New Roman" w:hAnsi="Times New Roman" w:cs="Times New Roman"/>
              </w:rPr>
              <w:t>Gini</w:t>
            </w:r>
            <w:proofErr w:type="spellEnd"/>
            <w:r w:rsidR="003F6A4C">
              <w:rPr>
                <w:rFonts w:ascii="Times New Roman" w:hAnsi="Times New Roman" w:cs="Times New Roman"/>
              </w:rPr>
              <w:t xml:space="preserve"> Katsayısı</w:t>
            </w:r>
          </w:p>
        </w:tc>
      </w:tr>
      <w:tr w:rsidR="00F839EB" w:rsidTr="00F839EB">
        <w:tc>
          <w:tcPr>
            <w:tcW w:w="1727" w:type="dxa"/>
          </w:tcPr>
          <w:p w:rsidR="00F839EB" w:rsidRDefault="00F839EB">
            <w:pPr>
              <w:rPr>
                <w:rFonts w:ascii="Times New Roman" w:hAnsi="Times New Roman" w:cs="Times New Roman"/>
              </w:rPr>
            </w:pPr>
            <w:r>
              <w:rPr>
                <w:rFonts w:ascii="Times New Roman" w:hAnsi="Times New Roman" w:cs="Times New Roman"/>
              </w:rPr>
              <w:t>2013</w:t>
            </w:r>
          </w:p>
        </w:tc>
        <w:tc>
          <w:tcPr>
            <w:tcW w:w="1843" w:type="dxa"/>
          </w:tcPr>
          <w:p w:rsidR="00F839EB" w:rsidRDefault="00F839EB">
            <w:pPr>
              <w:rPr>
                <w:rFonts w:ascii="Times New Roman" w:hAnsi="Times New Roman" w:cs="Times New Roman"/>
              </w:rPr>
            </w:pPr>
            <w:r>
              <w:rPr>
                <w:rFonts w:ascii="Times New Roman" w:hAnsi="Times New Roman" w:cs="Times New Roman"/>
              </w:rPr>
              <w:t>0,400</w:t>
            </w:r>
          </w:p>
        </w:tc>
      </w:tr>
      <w:tr w:rsidR="00F839EB" w:rsidTr="00F839EB">
        <w:tc>
          <w:tcPr>
            <w:tcW w:w="1727" w:type="dxa"/>
          </w:tcPr>
          <w:p w:rsidR="00F839EB" w:rsidRDefault="00F839EB">
            <w:pPr>
              <w:rPr>
                <w:rFonts w:ascii="Times New Roman" w:hAnsi="Times New Roman" w:cs="Times New Roman"/>
              </w:rPr>
            </w:pPr>
            <w:r>
              <w:rPr>
                <w:rFonts w:ascii="Times New Roman" w:hAnsi="Times New Roman" w:cs="Times New Roman"/>
              </w:rPr>
              <w:t>2012</w:t>
            </w:r>
          </w:p>
        </w:tc>
        <w:tc>
          <w:tcPr>
            <w:tcW w:w="1843" w:type="dxa"/>
          </w:tcPr>
          <w:p w:rsidR="00F839EB" w:rsidRDefault="00F839EB">
            <w:pPr>
              <w:rPr>
                <w:rFonts w:ascii="Times New Roman" w:hAnsi="Times New Roman" w:cs="Times New Roman"/>
              </w:rPr>
            </w:pPr>
            <w:r>
              <w:rPr>
                <w:rFonts w:ascii="Times New Roman" w:hAnsi="Times New Roman" w:cs="Times New Roman"/>
              </w:rPr>
              <w:t>0,402</w:t>
            </w:r>
          </w:p>
        </w:tc>
      </w:tr>
      <w:tr w:rsidR="00F839EB" w:rsidTr="00F839EB">
        <w:tc>
          <w:tcPr>
            <w:tcW w:w="1727" w:type="dxa"/>
          </w:tcPr>
          <w:p w:rsidR="00F839EB" w:rsidRDefault="00F839EB">
            <w:pPr>
              <w:rPr>
                <w:rFonts w:ascii="Times New Roman" w:hAnsi="Times New Roman" w:cs="Times New Roman"/>
              </w:rPr>
            </w:pPr>
            <w:r>
              <w:rPr>
                <w:rFonts w:ascii="Times New Roman" w:hAnsi="Times New Roman" w:cs="Times New Roman"/>
              </w:rPr>
              <w:t>2011</w:t>
            </w:r>
          </w:p>
        </w:tc>
        <w:tc>
          <w:tcPr>
            <w:tcW w:w="1843" w:type="dxa"/>
          </w:tcPr>
          <w:p w:rsidR="00F839EB" w:rsidRDefault="00F839EB">
            <w:pPr>
              <w:rPr>
                <w:rFonts w:ascii="Times New Roman" w:hAnsi="Times New Roman" w:cs="Times New Roman"/>
              </w:rPr>
            </w:pPr>
            <w:r>
              <w:rPr>
                <w:rFonts w:ascii="Times New Roman" w:hAnsi="Times New Roman" w:cs="Times New Roman"/>
              </w:rPr>
              <w:t>0,404</w:t>
            </w:r>
          </w:p>
        </w:tc>
      </w:tr>
      <w:tr w:rsidR="00F839EB" w:rsidTr="00F839EB">
        <w:tc>
          <w:tcPr>
            <w:tcW w:w="1727" w:type="dxa"/>
          </w:tcPr>
          <w:p w:rsidR="00F839EB" w:rsidRDefault="00F839EB">
            <w:pPr>
              <w:rPr>
                <w:rFonts w:ascii="Times New Roman" w:hAnsi="Times New Roman" w:cs="Times New Roman"/>
              </w:rPr>
            </w:pPr>
            <w:r>
              <w:rPr>
                <w:rFonts w:ascii="Times New Roman" w:hAnsi="Times New Roman" w:cs="Times New Roman"/>
              </w:rPr>
              <w:t>2010</w:t>
            </w:r>
          </w:p>
        </w:tc>
        <w:tc>
          <w:tcPr>
            <w:tcW w:w="1843" w:type="dxa"/>
          </w:tcPr>
          <w:p w:rsidR="00F839EB" w:rsidRDefault="00F839EB">
            <w:pPr>
              <w:rPr>
                <w:rFonts w:ascii="Times New Roman" w:hAnsi="Times New Roman" w:cs="Times New Roman"/>
              </w:rPr>
            </w:pPr>
            <w:r>
              <w:rPr>
                <w:rFonts w:ascii="Times New Roman" w:hAnsi="Times New Roman" w:cs="Times New Roman"/>
              </w:rPr>
              <w:t>0,402</w:t>
            </w:r>
          </w:p>
        </w:tc>
      </w:tr>
      <w:tr w:rsidR="00F839EB" w:rsidTr="00F839EB">
        <w:tc>
          <w:tcPr>
            <w:tcW w:w="1727" w:type="dxa"/>
          </w:tcPr>
          <w:p w:rsidR="00F839EB" w:rsidRDefault="00F839EB">
            <w:pPr>
              <w:rPr>
                <w:rFonts w:ascii="Times New Roman" w:hAnsi="Times New Roman" w:cs="Times New Roman"/>
              </w:rPr>
            </w:pPr>
            <w:r>
              <w:rPr>
                <w:rFonts w:ascii="Times New Roman" w:hAnsi="Times New Roman" w:cs="Times New Roman"/>
              </w:rPr>
              <w:t>2009</w:t>
            </w:r>
          </w:p>
        </w:tc>
        <w:tc>
          <w:tcPr>
            <w:tcW w:w="1843" w:type="dxa"/>
          </w:tcPr>
          <w:p w:rsidR="00F839EB" w:rsidRDefault="00F839EB">
            <w:pPr>
              <w:rPr>
                <w:rFonts w:ascii="Times New Roman" w:hAnsi="Times New Roman" w:cs="Times New Roman"/>
              </w:rPr>
            </w:pPr>
            <w:r>
              <w:rPr>
                <w:rFonts w:ascii="Times New Roman" w:hAnsi="Times New Roman" w:cs="Times New Roman"/>
              </w:rPr>
              <w:t>0,415</w:t>
            </w:r>
          </w:p>
        </w:tc>
      </w:tr>
      <w:tr w:rsidR="00F839EB" w:rsidTr="00F839EB">
        <w:tc>
          <w:tcPr>
            <w:tcW w:w="1727" w:type="dxa"/>
          </w:tcPr>
          <w:p w:rsidR="00F839EB" w:rsidRDefault="00F839EB">
            <w:pPr>
              <w:rPr>
                <w:rFonts w:ascii="Times New Roman" w:hAnsi="Times New Roman" w:cs="Times New Roman"/>
              </w:rPr>
            </w:pPr>
            <w:r>
              <w:rPr>
                <w:rFonts w:ascii="Times New Roman" w:hAnsi="Times New Roman" w:cs="Times New Roman"/>
              </w:rPr>
              <w:t>2008</w:t>
            </w:r>
          </w:p>
        </w:tc>
        <w:tc>
          <w:tcPr>
            <w:tcW w:w="1843" w:type="dxa"/>
          </w:tcPr>
          <w:p w:rsidR="00F839EB" w:rsidRDefault="00F839EB">
            <w:pPr>
              <w:rPr>
                <w:rFonts w:ascii="Times New Roman" w:hAnsi="Times New Roman" w:cs="Times New Roman"/>
              </w:rPr>
            </w:pPr>
            <w:r>
              <w:rPr>
                <w:rFonts w:ascii="Times New Roman" w:hAnsi="Times New Roman" w:cs="Times New Roman"/>
              </w:rPr>
              <w:t>0,405</w:t>
            </w:r>
          </w:p>
        </w:tc>
      </w:tr>
      <w:tr w:rsidR="00F839EB" w:rsidTr="00F839EB">
        <w:tc>
          <w:tcPr>
            <w:tcW w:w="1727" w:type="dxa"/>
          </w:tcPr>
          <w:p w:rsidR="00F839EB" w:rsidRDefault="00F839EB">
            <w:pPr>
              <w:rPr>
                <w:rFonts w:ascii="Times New Roman" w:hAnsi="Times New Roman" w:cs="Times New Roman"/>
              </w:rPr>
            </w:pPr>
            <w:r>
              <w:rPr>
                <w:rFonts w:ascii="Times New Roman" w:hAnsi="Times New Roman" w:cs="Times New Roman"/>
              </w:rPr>
              <w:t>2007</w:t>
            </w:r>
          </w:p>
        </w:tc>
        <w:tc>
          <w:tcPr>
            <w:tcW w:w="1843" w:type="dxa"/>
          </w:tcPr>
          <w:p w:rsidR="00F839EB" w:rsidRDefault="00F839EB">
            <w:pPr>
              <w:rPr>
                <w:rFonts w:ascii="Times New Roman" w:hAnsi="Times New Roman" w:cs="Times New Roman"/>
              </w:rPr>
            </w:pPr>
            <w:r>
              <w:rPr>
                <w:rFonts w:ascii="Times New Roman" w:hAnsi="Times New Roman" w:cs="Times New Roman"/>
              </w:rPr>
              <w:t>0,41</w:t>
            </w:r>
          </w:p>
        </w:tc>
      </w:tr>
      <w:tr w:rsidR="00F839EB" w:rsidTr="00F839EB">
        <w:tc>
          <w:tcPr>
            <w:tcW w:w="1727" w:type="dxa"/>
          </w:tcPr>
          <w:p w:rsidR="00F839EB" w:rsidRDefault="00F839EB">
            <w:pPr>
              <w:rPr>
                <w:rFonts w:ascii="Times New Roman" w:hAnsi="Times New Roman" w:cs="Times New Roman"/>
              </w:rPr>
            </w:pPr>
            <w:r>
              <w:rPr>
                <w:rFonts w:ascii="Times New Roman" w:hAnsi="Times New Roman" w:cs="Times New Roman"/>
              </w:rPr>
              <w:t>2006</w:t>
            </w:r>
          </w:p>
        </w:tc>
        <w:tc>
          <w:tcPr>
            <w:tcW w:w="1843" w:type="dxa"/>
          </w:tcPr>
          <w:p w:rsidR="00F839EB" w:rsidRDefault="00F839EB">
            <w:pPr>
              <w:rPr>
                <w:rFonts w:ascii="Times New Roman" w:hAnsi="Times New Roman" w:cs="Times New Roman"/>
              </w:rPr>
            </w:pPr>
            <w:r>
              <w:rPr>
                <w:rFonts w:ascii="Times New Roman" w:hAnsi="Times New Roman" w:cs="Times New Roman"/>
              </w:rPr>
              <w:t>0,43</w:t>
            </w:r>
          </w:p>
        </w:tc>
      </w:tr>
      <w:tr w:rsidR="00F839EB" w:rsidTr="00F839EB">
        <w:tc>
          <w:tcPr>
            <w:tcW w:w="1727" w:type="dxa"/>
          </w:tcPr>
          <w:p w:rsidR="00F839EB" w:rsidRDefault="00F839EB">
            <w:pPr>
              <w:rPr>
                <w:rFonts w:ascii="Times New Roman" w:hAnsi="Times New Roman" w:cs="Times New Roman"/>
              </w:rPr>
            </w:pPr>
            <w:r>
              <w:rPr>
                <w:rFonts w:ascii="Times New Roman" w:hAnsi="Times New Roman" w:cs="Times New Roman"/>
              </w:rPr>
              <w:t>2005</w:t>
            </w:r>
          </w:p>
        </w:tc>
        <w:tc>
          <w:tcPr>
            <w:tcW w:w="1843" w:type="dxa"/>
          </w:tcPr>
          <w:p w:rsidR="00F839EB" w:rsidRDefault="00F839EB">
            <w:pPr>
              <w:rPr>
                <w:rFonts w:ascii="Times New Roman" w:hAnsi="Times New Roman" w:cs="Times New Roman"/>
              </w:rPr>
            </w:pPr>
            <w:r>
              <w:rPr>
                <w:rFonts w:ascii="Times New Roman" w:hAnsi="Times New Roman" w:cs="Times New Roman"/>
              </w:rPr>
              <w:t>0,38</w:t>
            </w:r>
          </w:p>
        </w:tc>
      </w:tr>
      <w:tr w:rsidR="00F839EB" w:rsidTr="00F839EB">
        <w:tc>
          <w:tcPr>
            <w:tcW w:w="1727" w:type="dxa"/>
          </w:tcPr>
          <w:p w:rsidR="00F839EB" w:rsidRDefault="00F839EB">
            <w:pPr>
              <w:rPr>
                <w:rFonts w:ascii="Times New Roman" w:hAnsi="Times New Roman" w:cs="Times New Roman"/>
              </w:rPr>
            </w:pPr>
            <w:r>
              <w:rPr>
                <w:rFonts w:ascii="Times New Roman" w:hAnsi="Times New Roman" w:cs="Times New Roman"/>
              </w:rPr>
              <w:t>2004</w:t>
            </w:r>
          </w:p>
        </w:tc>
        <w:tc>
          <w:tcPr>
            <w:tcW w:w="1843" w:type="dxa"/>
          </w:tcPr>
          <w:p w:rsidR="00F839EB" w:rsidRDefault="00F839EB">
            <w:pPr>
              <w:rPr>
                <w:rFonts w:ascii="Times New Roman" w:hAnsi="Times New Roman" w:cs="Times New Roman"/>
              </w:rPr>
            </w:pPr>
            <w:r>
              <w:rPr>
                <w:rFonts w:ascii="Times New Roman" w:hAnsi="Times New Roman" w:cs="Times New Roman"/>
              </w:rPr>
              <w:t>0,40</w:t>
            </w:r>
          </w:p>
        </w:tc>
      </w:tr>
      <w:tr w:rsidR="00F839EB" w:rsidTr="00F839EB">
        <w:tc>
          <w:tcPr>
            <w:tcW w:w="1727" w:type="dxa"/>
          </w:tcPr>
          <w:p w:rsidR="00F839EB" w:rsidRDefault="00F839EB">
            <w:pPr>
              <w:rPr>
                <w:rFonts w:ascii="Times New Roman" w:hAnsi="Times New Roman" w:cs="Times New Roman"/>
              </w:rPr>
            </w:pPr>
            <w:r>
              <w:rPr>
                <w:rFonts w:ascii="Times New Roman" w:hAnsi="Times New Roman" w:cs="Times New Roman"/>
              </w:rPr>
              <w:t>2003</w:t>
            </w:r>
          </w:p>
        </w:tc>
        <w:tc>
          <w:tcPr>
            <w:tcW w:w="1843" w:type="dxa"/>
          </w:tcPr>
          <w:p w:rsidR="00F839EB" w:rsidRDefault="00F839EB">
            <w:pPr>
              <w:rPr>
                <w:rFonts w:ascii="Times New Roman" w:hAnsi="Times New Roman" w:cs="Times New Roman"/>
              </w:rPr>
            </w:pPr>
            <w:r>
              <w:rPr>
                <w:rFonts w:ascii="Times New Roman" w:hAnsi="Times New Roman" w:cs="Times New Roman"/>
              </w:rPr>
              <w:t>0,42</w:t>
            </w:r>
          </w:p>
        </w:tc>
      </w:tr>
      <w:tr w:rsidR="003F6A4C" w:rsidTr="00F839EB">
        <w:tc>
          <w:tcPr>
            <w:tcW w:w="1727" w:type="dxa"/>
          </w:tcPr>
          <w:p w:rsidR="003F6A4C" w:rsidRDefault="003F6A4C">
            <w:pPr>
              <w:rPr>
                <w:rFonts w:ascii="Times New Roman" w:hAnsi="Times New Roman" w:cs="Times New Roman"/>
              </w:rPr>
            </w:pPr>
            <w:r>
              <w:rPr>
                <w:rFonts w:ascii="Times New Roman" w:hAnsi="Times New Roman" w:cs="Times New Roman"/>
              </w:rPr>
              <w:t>2002</w:t>
            </w:r>
          </w:p>
        </w:tc>
        <w:tc>
          <w:tcPr>
            <w:tcW w:w="1843" w:type="dxa"/>
          </w:tcPr>
          <w:p w:rsidR="003F6A4C" w:rsidRDefault="003F6A4C">
            <w:pPr>
              <w:rPr>
                <w:rFonts w:ascii="Times New Roman" w:hAnsi="Times New Roman" w:cs="Times New Roman"/>
              </w:rPr>
            </w:pPr>
            <w:r>
              <w:rPr>
                <w:rFonts w:ascii="Times New Roman" w:hAnsi="Times New Roman" w:cs="Times New Roman"/>
              </w:rPr>
              <w:t>0,44</w:t>
            </w:r>
          </w:p>
        </w:tc>
      </w:tr>
    </w:tbl>
    <w:p w:rsidR="00F46982" w:rsidRDefault="00F4698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Kaynak:TÜİK</w:t>
      </w:r>
      <w:proofErr w:type="spellEnd"/>
      <w:proofErr w:type="gramEnd"/>
      <w:r>
        <w:rPr>
          <w:rFonts w:ascii="Times New Roman" w:hAnsi="Times New Roman" w:cs="Times New Roman"/>
        </w:rPr>
        <w:t>, Gelir ve Yaşam Koşulları Bültenleri (Çeşitli Yıllar)</w:t>
      </w:r>
    </w:p>
    <w:p w:rsidR="006F1D54" w:rsidRDefault="00F46982">
      <w:pPr>
        <w:rPr>
          <w:rFonts w:ascii="Times New Roman" w:hAnsi="Times New Roman" w:cs="Times New Roman"/>
        </w:rPr>
      </w:pPr>
      <w:r>
        <w:rPr>
          <w:rFonts w:ascii="Times New Roman" w:hAnsi="Times New Roman" w:cs="Times New Roman"/>
        </w:rPr>
        <w:t xml:space="preserve">2003-2013 yılları arası dikkate alındığında, yani AKP yıllarında </w:t>
      </w:r>
      <w:proofErr w:type="spellStart"/>
      <w:r>
        <w:rPr>
          <w:rFonts w:ascii="Times New Roman" w:hAnsi="Times New Roman" w:cs="Times New Roman"/>
        </w:rPr>
        <w:t>Gini</w:t>
      </w:r>
      <w:proofErr w:type="spellEnd"/>
      <w:r>
        <w:rPr>
          <w:rFonts w:ascii="Times New Roman" w:hAnsi="Times New Roman" w:cs="Times New Roman"/>
        </w:rPr>
        <w:t xml:space="preserve"> katsayısının ortalaması 0,406 çıkmaktadır. Standart sapma ise 0,013’tür. AKP’nin </w:t>
      </w:r>
      <w:r w:rsidR="00AD0FD7">
        <w:rPr>
          <w:rFonts w:ascii="Times New Roman" w:hAnsi="Times New Roman" w:cs="Times New Roman"/>
        </w:rPr>
        <w:t>propaganda</w:t>
      </w:r>
      <w:r>
        <w:rPr>
          <w:rFonts w:ascii="Times New Roman" w:hAnsi="Times New Roman" w:cs="Times New Roman"/>
        </w:rPr>
        <w:t xml:space="preserve"> malzemesi sadece bir yıl yani 2005 için </w:t>
      </w:r>
      <w:proofErr w:type="spellStart"/>
      <w:r>
        <w:rPr>
          <w:rFonts w:ascii="Times New Roman" w:hAnsi="Times New Roman" w:cs="Times New Roman"/>
        </w:rPr>
        <w:t>Gini</w:t>
      </w:r>
      <w:proofErr w:type="spellEnd"/>
      <w:r>
        <w:rPr>
          <w:rFonts w:ascii="Times New Roman" w:hAnsi="Times New Roman" w:cs="Times New Roman"/>
        </w:rPr>
        <w:t xml:space="preserve"> katsayısının 0,38’e indirilmiş olması ve sonrasında da 2004 yılıyla aynı katsayının yani 0,40’ın korunmuş olmasıdır.</w:t>
      </w:r>
    </w:p>
    <w:p w:rsidR="00411263" w:rsidRDefault="00411263">
      <w:pPr>
        <w:rPr>
          <w:rFonts w:ascii="Times New Roman" w:hAnsi="Times New Roman" w:cs="Times New Roman"/>
        </w:rPr>
      </w:pPr>
      <w:r>
        <w:rPr>
          <w:rFonts w:ascii="Times New Roman" w:hAnsi="Times New Roman" w:cs="Times New Roman"/>
        </w:rPr>
        <w:t xml:space="preserve">Yukarıdaki tabloda verilen </w:t>
      </w:r>
      <w:proofErr w:type="spellStart"/>
      <w:r>
        <w:rPr>
          <w:rFonts w:ascii="Times New Roman" w:hAnsi="Times New Roman" w:cs="Times New Roman"/>
        </w:rPr>
        <w:t>Gini</w:t>
      </w:r>
      <w:proofErr w:type="spellEnd"/>
      <w:r>
        <w:rPr>
          <w:rFonts w:ascii="Times New Roman" w:hAnsi="Times New Roman" w:cs="Times New Roman"/>
        </w:rPr>
        <w:t xml:space="preserve"> katsayılarının “güvenilmez” olmasının birçok nedeni bulunmaktadır. Bu nedenleri ve gerçeğe yaklaşmak için yapılabilecekleri tartışmadan önce </w:t>
      </w:r>
      <w:r w:rsidR="000811F5">
        <w:rPr>
          <w:rFonts w:ascii="Times New Roman" w:hAnsi="Times New Roman" w:cs="Times New Roman"/>
        </w:rPr>
        <w:t xml:space="preserve">basit bir örnek verelim. </w:t>
      </w:r>
      <w:proofErr w:type="spellStart"/>
      <w:r w:rsidR="000811F5">
        <w:rPr>
          <w:rFonts w:ascii="Times New Roman" w:hAnsi="Times New Roman" w:cs="Times New Roman"/>
        </w:rPr>
        <w:t>TÜİK’in</w:t>
      </w:r>
      <w:proofErr w:type="spellEnd"/>
      <w:r w:rsidR="000811F5">
        <w:rPr>
          <w:rFonts w:ascii="Times New Roman" w:hAnsi="Times New Roman" w:cs="Times New Roman"/>
        </w:rPr>
        <w:t xml:space="preserve"> 2009 yılı için bulduğu katsayı Gelir ve Yaşam Koşulları Anketi 2010 veri tabanına dayanmaktadır. Bu verilere göre en yüksek hane geliri 500 bin TL civarındadır. Bu en zengin hanelerin örneklemde kapsanmadığını açıkça göstermektedir. Forbes en zenginler listesinden Gelir Vergisi şampiyonlarına kadar pek çok liste en zengin % 1’in çok daha yüksek gelirlere sahip olduğunu göstermektedir. Örneğin, Mehmet Emin Karamehmet’in 2009 yılındaki varlığı 4 milyar dolardır. Asgari %10 getiri ile bu 400 milyon dolar gelir, yani yaklaşık 600 milyon TL gelir demektir. Forbes listesinin son sırasında bulunan Aziz Torun’un varlığı 425 milyon dolardır. Yine aynı getiri oranı ile yıllık gelir 42,5 milyon dolar, yaklaşık 65 milyon TL olarak bulunabilir. Çok daha düşük bir geliri, 10 </w:t>
      </w:r>
      <w:r w:rsidR="000811F5">
        <w:rPr>
          <w:rFonts w:ascii="Times New Roman" w:hAnsi="Times New Roman" w:cs="Times New Roman"/>
        </w:rPr>
        <w:lastRenderedPageBreak/>
        <w:t xml:space="preserve">milyon TL sahibi bir haneyi 2009 örneklemine eklediğimizde </w:t>
      </w:r>
      <w:proofErr w:type="spellStart"/>
      <w:r w:rsidR="000811F5">
        <w:rPr>
          <w:rFonts w:ascii="Times New Roman" w:hAnsi="Times New Roman" w:cs="Times New Roman"/>
        </w:rPr>
        <w:t>Gini</w:t>
      </w:r>
      <w:proofErr w:type="spellEnd"/>
      <w:r w:rsidR="000811F5">
        <w:rPr>
          <w:rFonts w:ascii="Times New Roman" w:hAnsi="Times New Roman" w:cs="Times New Roman"/>
        </w:rPr>
        <w:t xml:space="preserve"> katsayısının 0.02 puan arttığını gördük. Bu basit düzeltme dahi, örneklemin yüksek gelirlileri kapsamamasının, gerçek gelir eşitsizliğini ne denli gizlediğini açıkça ortaya koymaktadır. </w:t>
      </w:r>
      <w:r w:rsidR="008F17C9">
        <w:rPr>
          <w:rFonts w:ascii="Times New Roman" w:hAnsi="Times New Roman" w:cs="Times New Roman"/>
        </w:rPr>
        <w:t xml:space="preserve"> Aşağıdaki grafikte bu eklem</w:t>
      </w:r>
      <w:r w:rsidR="00DE19A7">
        <w:rPr>
          <w:rFonts w:ascii="Times New Roman" w:hAnsi="Times New Roman" w:cs="Times New Roman"/>
        </w:rPr>
        <w:t>e</w:t>
      </w:r>
      <w:r w:rsidR="008F17C9">
        <w:rPr>
          <w:rFonts w:ascii="Times New Roman" w:hAnsi="Times New Roman" w:cs="Times New Roman"/>
        </w:rPr>
        <w:t xml:space="preserve"> sonucu </w:t>
      </w:r>
      <w:proofErr w:type="spellStart"/>
      <w:r w:rsidR="008F17C9">
        <w:rPr>
          <w:rFonts w:ascii="Times New Roman" w:hAnsi="Times New Roman" w:cs="Times New Roman"/>
        </w:rPr>
        <w:t>Lorenz</w:t>
      </w:r>
      <w:proofErr w:type="spellEnd"/>
      <w:r w:rsidR="008F17C9">
        <w:rPr>
          <w:rFonts w:ascii="Times New Roman" w:hAnsi="Times New Roman" w:cs="Times New Roman"/>
        </w:rPr>
        <w:t xml:space="preserve"> eğrisinin nasıl değiştiği resmedilmektedir.</w:t>
      </w:r>
    </w:p>
    <w:p w:rsidR="008F17C9" w:rsidRDefault="008F17C9">
      <w:pPr>
        <w:rPr>
          <w:rFonts w:ascii="Times New Roman" w:hAnsi="Times New Roman" w:cs="Times New Roman"/>
        </w:rPr>
      </w:pPr>
      <w:r>
        <w:rPr>
          <w:rFonts w:ascii="Times New Roman" w:hAnsi="Times New Roman" w:cs="Times New Roman"/>
          <w:noProof/>
        </w:rPr>
        <w:drawing>
          <wp:inline distT="0" distB="0" distL="0" distR="0">
            <wp:extent cx="576072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ni10milyo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8F3E5A" w:rsidRDefault="008F3E5A">
      <w:pPr>
        <w:rPr>
          <w:rFonts w:ascii="Times New Roman" w:hAnsi="Times New Roman" w:cs="Times New Roman"/>
        </w:rPr>
      </w:pPr>
    </w:p>
    <w:p w:rsidR="006049D0" w:rsidRDefault="008F3E5A">
      <w:pPr>
        <w:rPr>
          <w:rFonts w:ascii="Times New Roman" w:hAnsi="Times New Roman" w:cs="Times New Roman"/>
        </w:rPr>
      </w:pPr>
      <w:r>
        <w:rPr>
          <w:rFonts w:ascii="Times New Roman" w:hAnsi="Times New Roman" w:cs="Times New Roman"/>
        </w:rPr>
        <w:t>Gelir ve Yaşam Koşulları Anketi örnekleminde en yüksek gelirli hanenin geliri 546 bin TL’dir.  Forbes listesinin sonuncu sırasındaki kişinin geliri 65 milyon TL ile karşılaştırıldığında kapsanmayan en üst gruba ait hane gelirlerinin büyüklüğü konusunda bir fikir elde edilebilir. Aradaki fark 100 kattan fazladır.</w:t>
      </w:r>
      <w:r w:rsidR="00401F9E">
        <w:rPr>
          <w:rFonts w:ascii="Times New Roman" w:hAnsi="Times New Roman" w:cs="Times New Roman"/>
        </w:rPr>
        <w:t xml:space="preserve"> Zaten geliri 65 milyon olan bir haneyi örnekleme kattığımızda </w:t>
      </w:r>
      <w:proofErr w:type="spellStart"/>
      <w:r w:rsidR="00401F9E">
        <w:rPr>
          <w:rFonts w:ascii="Times New Roman" w:hAnsi="Times New Roman" w:cs="Times New Roman"/>
        </w:rPr>
        <w:t>Gini</w:t>
      </w:r>
      <w:proofErr w:type="spellEnd"/>
      <w:r w:rsidR="00401F9E">
        <w:rPr>
          <w:rFonts w:ascii="Times New Roman" w:hAnsi="Times New Roman" w:cs="Times New Roman"/>
        </w:rPr>
        <w:t xml:space="preserve"> katsayısı 0,17 puan artarak 0,55 olmaktadır. Bu tek kişinin gelir eşitsizliğini nasıl değiştirdiğini aşağıdaki grafikten de görebiliriz. Kırmızı ile çizilen yeni gelir dağılımıdır. </w:t>
      </w:r>
    </w:p>
    <w:p w:rsidR="00401F9E" w:rsidRDefault="00401F9E">
      <w:pPr>
        <w:rPr>
          <w:rFonts w:ascii="Times New Roman" w:hAnsi="Times New Roman" w:cs="Times New Roman"/>
        </w:rPr>
      </w:pPr>
      <w:r>
        <w:rPr>
          <w:rFonts w:ascii="Times New Roman" w:hAnsi="Times New Roman" w:cs="Times New Roman"/>
          <w:noProof/>
        </w:rPr>
        <w:lastRenderedPageBreak/>
        <w:drawing>
          <wp:inline distT="0" distB="0" distL="0" distR="0">
            <wp:extent cx="5760720" cy="4164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enzToru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164330"/>
                    </a:xfrm>
                    <a:prstGeom prst="rect">
                      <a:avLst/>
                    </a:prstGeom>
                  </pic:spPr>
                </pic:pic>
              </a:graphicData>
            </a:graphic>
          </wp:inline>
        </w:drawing>
      </w:r>
    </w:p>
    <w:p w:rsidR="008F3E5A" w:rsidRDefault="006049D0">
      <w:pPr>
        <w:rPr>
          <w:rFonts w:ascii="Times New Roman" w:hAnsi="Times New Roman" w:cs="Times New Roman"/>
        </w:rPr>
      </w:pPr>
      <w:r>
        <w:rPr>
          <w:rFonts w:ascii="Times New Roman" w:hAnsi="Times New Roman" w:cs="Times New Roman"/>
        </w:rPr>
        <w:t xml:space="preserve">Bu uç </w:t>
      </w:r>
      <w:proofErr w:type="gramStart"/>
      <w:r>
        <w:rPr>
          <w:rFonts w:ascii="Times New Roman" w:hAnsi="Times New Roman" w:cs="Times New Roman"/>
        </w:rPr>
        <w:t>durumun</w:t>
      </w:r>
      <w:r w:rsidR="001D670A">
        <w:rPr>
          <w:rFonts w:ascii="Times New Roman" w:hAnsi="Times New Roman" w:cs="Times New Roman"/>
        </w:rPr>
        <w:t xml:space="preserve"> </w:t>
      </w:r>
      <w:r>
        <w:rPr>
          <w:rFonts w:ascii="Times New Roman" w:hAnsi="Times New Roman" w:cs="Times New Roman"/>
        </w:rPr>
        <w:t xml:space="preserve"> da</w:t>
      </w:r>
      <w:proofErr w:type="gramEnd"/>
      <w:r>
        <w:rPr>
          <w:rFonts w:ascii="Times New Roman" w:hAnsi="Times New Roman" w:cs="Times New Roman"/>
        </w:rPr>
        <w:t xml:space="preserve"> gerçekleri tam yansıtmadığı dikkate alınmalıdır. Örneklemde, 8700 gözlemden birinde hane gelirinin 10 milyon TL olma ihtimali olasılık içinde olsa da her 8700 kişiden birinin 65 milyon TL olması pek olasılık içinde olmayacaktır. Gerçeğe yakın gelir eşitsizliğine ulaşmanın aşağıda tartışıldığı üzere daha bilimsel ve daha sistematik yolları vardır.</w:t>
      </w:r>
    </w:p>
    <w:p w:rsidR="008F3E5A" w:rsidRDefault="008F3E5A">
      <w:pPr>
        <w:rPr>
          <w:rFonts w:ascii="Times New Roman" w:hAnsi="Times New Roman" w:cs="Times New Roman"/>
        </w:rPr>
      </w:pPr>
    </w:p>
    <w:p w:rsidR="000811F5" w:rsidRDefault="00091B38" w:rsidP="00091B38">
      <w:pPr>
        <w:pStyle w:val="Heading2"/>
      </w:pPr>
      <w:r>
        <w:t>Milli Gelir ve Tüketim Harcamaları Düzeltmesi</w:t>
      </w:r>
    </w:p>
    <w:p w:rsidR="001D670A" w:rsidRDefault="00091B38" w:rsidP="00091B38">
      <w:pPr>
        <w:rPr>
          <w:rFonts w:ascii="Times New Roman" w:hAnsi="Times New Roman" w:cs="Times New Roman"/>
        </w:rPr>
      </w:pPr>
      <w:proofErr w:type="spellStart"/>
      <w:r>
        <w:rPr>
          <w:rFonts w:ascii="Times New Roman" w:hAnsi="Times New Roman" w:cs="Times New Roman"/>
        </w:rPr>
        <w:t>Hanehalkı</w:t>
      </w:r>
      <w:proofErr w:type="spellEnd"/>
      <w:r>
        <w:rPr>
          <w:rFonts w:ascii="Times New Roman" w:hAnsi="Times New Roman" w:cs="Times New Roman"/>
        </w:rPr>
        <w:t xml:space="preserve"> gelirini ölçen ve gelir eşitsizliği göstergelerinin dayandığı anketlerde en zengin hanelerin kapsanmamasının üç temel nedeni olabilir. </w:t>
      </w:r>
      <w:r w:rsidR="00AD0FD7">
        <w:rPr>
          <w:rFonts w:ascii="Times New Roman" w:hAnsi="Times New Roman" w:cs="Times New Roman"/>
        </w:rPr>
        <w:t>B</w:t>
      </w:r>
      <w:r w:rsidR="00636B96">
        <w:rPr>
          <w:rFonts w:ascii="Times New Roman" w:hAnsi="Times New Roman" w:cs="Times New Roman"/>
        </w:rPr>
        <w:t>u nedenlerden b</w:t>
      </w:r>
      <w:r>
        <w:rPr>
          <w:rFonts w:ascii="Times New Roman" w:hAnsi="Times New Roman" w:cs="Times New Roman"/>
        </w:rPr>
        <w:t>irincisi, anketler</w:t>
      </w:r>
      <w:r w:rsidR="00636B96">
        <w:rPr>
          <w:rFonts w:ascii="Times New Roman" w:hAnsi="Times New Roman" w:cs="Times New Roman"/>
        </w:rPr>
        <w:t xml:space="preserve"> birkaç bin kişilik örneklemlerinde</w:t>
      </w:r>
      <w:r w:rsidR="00AD0FD7">
        <w:rPr>
          <w:rFonts w:ascii="Times New Roman" w:hAnsi="Times New Roman" w:cs="Times New Roman"/>
        </w:rPr>
        <w:t>,</w:t>
      </w:r>
      <w:r w:rsidR="00636B96">
        <w:rPr>
          <w:rFonts w:ascii="Times New Roman" w:hAnsi="Times New Roman" w:cs="Times New Roman"/>
        </w:rPr>
        <w:t xml:space="preserve"> zaten sayıları toplam nüfusla karşılaştırıldığında oldukça düşük olan en zengin %1’i istatistiksel olarak dışlayabilir. İkincisi, zenginlerin korunaklı sitelerine anketörlerin girmesi ve zenginleri anketlere yanıt vermeye ikna etmesi zordur.</w:t>
      </w:r>
      <w:r w:rsidR="00AD0FD7">
        <w:rPr>
          <w:rFonts w:ascii="Times New Roman" w:hAnsi="Times New Roman" w:cs="Times New Roman"/>
        </w:rPr>
        <w:t xml:space="preserve"> Bu cevapsızlık oranının zenginlerde alt ve orta gelirli hanelere göre çok daha yüksek olduğu anlamına gelmektedir. </w:t>
      </w:r>
      <w:r w:rsidR="00636B96">
        <w:rPr>
          <w:rFonts w:ascii="Times New Roman" w:hAnsi="Times New Roman" w:cs="Times New Roman"/>
        </w:rPr>
        <w:t xml:space="preserve"> Üçüncüsü ise örneklem tasarımında veya sonrasında uç örneklerin çıkarılması z</w:t>
      </w:r>
      <w:r w:rsidR="00AD0FD7">
        <w:rPr>
          <w:rFonts w:ascii="Times New Roman" w:hAnsi="Times New Roman" w:cs="Times New Roman"/>
        </w:rPr>
        <w:t xml:space="preserve">enginlerin </w:t>
      </w:r>
      <w:proofErr w:type="spellStart"/>
      <w:r w:rsidR="00AD0FD7">
        <w:rPr>
          <w:rFonts w:ascii="Times New Roman" w:hAnsi="Times New Roman" w:cs="Times New Roman"/>
        </w:rPr>
        <w:t>temsiliyetini</w:t>
      </w:r>
      <w:proofErr w:type="spellEnd"/>
      <w:r w:rsidR="00AD0FD7">
        <w:rPr>
          <w:rFonts w:ascii="Times New Roman" w:hAnsi="Times New Roman" w:cs="Times New Roman"/>
        </w:rPr>
        <w:t xml:space="preserve"> azaltmaktadır</w:t>
      </w:r>
      <w:r w:rsidR="00636B96">
        <w:rPr>
          <w:rFonts w:ascii="Times New Roman" w:hAnsi="Times New Roman" w:cs="Times New Roman"/>
        </w:rPr>
        <w:t xml:space="preserve"> (</w:t>
      </w:r>
      <w:proofErr w:type="spellStart"/>
      <w:r w:rsidR="00636B96">
        <w:rPr>
          <w:rFonts w:ascii="Times New Roman" w:hAnsi="Times New Roman" w:cs="Times New Roman"/>
        </w:rPr>
        <w:t>Lekner</w:t>
      </w:r>
      <w:proofErr w:type="spellEnd"/>
      <w:r w:rsidR="00636B96">
        <w:rPr>
          <w:rFonts w:ascii="Times New Roman" w:hAnsi="Times New Roman" w:cs="Times New Roman"/>
        </w:rPr>
        <w:t xml:space="preserve"> ve </w:t>
      </w:r>
      <w:proofErr w:type="spellStart"/>
      <w:r w:rsidR="00636B96">
        <w:rPr>
          <w:rFonts w:ascii="Times New Roman" w:hAnsi="Times New Roman" w:cs="Times New Roman"/>
        </w:rPr>
        <w:t>Milanovic</w:t>
      </w:r>
      <w:proofErr w:type="spellEnd"/>
      <w:r w:rsidR="00636B96">
        <w:rPr>
          <w:rFonts w:ascii="Times New Roman" w:hAnsi="Times New Roman" w:cs="Times New Roman"/>
        </w:rPr>
        <w:t xml:space="preserve"> 2013</w:t>
      </w:r>
      <w:r w:rsidR="001D670A">
        <w:rPr>
          <w:rFonts w:ascii="Times New Roman" w:hAnsi="Times New Roman" w:cs="Times New Roman"/>
        </w:rPr>
        <w:t>)</w:t>
      </w:r>
    </w:p>
    <w:p w:rsidR="00636B96" w:rsidRDefault="00636B96" w:rsidP="00091B38">
      <w:pPr>
        <w:rPr>
          <w:rFonts w:ascii="Times New Roman" w:hAnsi="Times New Roman" w:cs="Times New Roman"/>
        </w:rPr>
      </w:pPr>
      <w:proofErr w:type="spellStart"/>
      <w:r>
        <w:rPr>
          <w:rFonts w:ascii="Times New Roman" w:hAnsi="Times New Roman" w:cs="Times New Roman"/>
        </w:rPr>
        <w:t>Hanehalkı</w:t>
      </w:r>
      <w:proofErr w:type="spellEnd"/>
      <w:r>
        <w:rPr>
          <w:rFonts w:ascii="Times New Roman" w:hAnsi="Times New Roman" w:cs="Times New Roman"/>
        </w:rPr>
        <w:t xml:space="preserve"> anketlerinin gelir sıralamasındaki </w:t>
      </w:r>
      <w:r w:rsidR="00AD0FD7">
        <w:rPr>
          <w:rFonts w:ascii="Times New Roman" w:hAnsi="Times New Roman" w:cs="Times New Roman"/>
        </w:rPr>
        <w:t xml:space="preserve">ilk </w:t>
      </w:r>
      <w:r>
        <w:rPr>
          <w:rFonts w:ascii="Times New Roman" w:hAnsi="Times New Roman" w:cs="Times New Roman"/>
        </w:rPr>
        <w:t>%90</w:t>
      </w:r>
      <w:r w:rsidR="00AD0FD7">
        <w:rPr>
          <w:rFonts w:ascii="Times New Roman" w:hAnsi="Times New Roman" w:cs="Times New Roman"/>
        </w:rPr>
        <w:t>-95’lik</w:t>
      </w:r>
      <w:r>
        <w:rPr>
          <w:rFonts w:ascii="Times New Roman" w:hAnsi="Times New Roman" w:cs="Times New Roman"/>
        </w:rPr>
        <w:t xml:space="preserve"> hane hakkında doğruya yakın bilgiler sunduğu kabul edilebilir. Ancak milli gelir hesaplarındaki tüketim rakamları ile anketlerdeki gelirler arasındaki </w:t>
      </w:r>
      <w:r w:rsidR="00AD0FD7">
        <w:rPr>
          <w:rFonts w:ascii="Times New Roman" w:hAnsi="Times New Roman" w:cs="Times New Roman"/>
        </w:rPr>
        <w:t>uçurum</w:t>
      </w:r>
      <w:r>
        <w:rPr>
          <w:rFonts w:ascii="Times New Roman" w:hAnsi="Times New Roman" w:cs="Times New Roman"/>
        </w:rPr>
        <w:t xml:space="preserve"> veya vergi kayıtlarındaki en zengin % 5-10’lik hane geliri ile anketlerde buna karşılık gelen örneklem grubunun gelirleri arasındaki uçurum anketleri</w:t>
      </w:r>
      <w:r w:rsidR="00AD0FD7">
        <w:rPr>
          <w:rFonts w:ascii="Times New Roman" w:hAnsi="Times New Roman" w:cs="Times New Roman"/>
        </w:rPr>
        <w:t>n en zengin %10 haneyi kapsa</w:t>
      </w:r>
      <w:r>
        <w:rPr>
          <w:rFonts w:ascii="Times New Roman" w:hAnsi="Times New Roman" w:cs="Times New Roman"/>
        </w:rPr>
        <w:t xml:space="preserve">madığını işaret etmektedir. </w:t>
      </w:r>
      <w:r w:rsidR="00A90744">
        <w:rPr>
          <w:rFonts w:ascii="Times New Roman" w:hAnsi="Times New Roman" w:cs="Times New Roman"/>
        </w:rPr>
        <w:t xml:space="preserve"> Sözgelimi, </w:t>
      </w:r>
      <w:proofErr w:type="spellStart"/>
      <w:r w:rsidR="00A90744">
        <w:rPr>
          <w:rFonts w:ascii="Times New Roman" w:hAnsi="Times New Roman" w:cs="Times New Roman"/>
        </w:rPr>
        <w:t>Benarjee</w:t>
      </w:r>
      <w:proofErr w:type="spellEnd"/>
      <w:r w:rsidR="00A90744">
        <w:rPr>
          <w:rFonts w:ascii="Times New Roman" w:hAnsi="Times New Roman" w:cs="Times New Roman"/>
        </w:rPr>
        <w:t xml:space="preserve"> ve </w:t>
      </w:r>
      <w:proofErr w:type="spellStart"/>
      <w:r w:rsidR="00A90744">
        <w:rPr>
          <w:rFonts w:ascii="Times New Roman" w:hAnsi="Times New Roman" w:cs="Times New Roman"/>
        </w:rPr>
        <w:t>Piketty</w:t>
      </w:r>
      <w:proofErr w:type="spellEnd"/>
      <w:r w:rsidR="00A90744">
        <w:rPr>
          <w:rFonts w:ascii="Times New Roman" w:hAnsi="Times New Roman" w:cs="Times New Roman"/>
        </w:rPr>
        <w:t xml:space="preserve"> (2010) vergi kayıtlarını inceleyerek, Hindistan’da anketlerdeki gelirlerin artışı ile milli gelir hesaplarında yer alan tüketim harcamaları artışı arasında farkın zenginlerin gelirlerini saklamasından ileri geldiğini göstermişlerdir.</w:t>
      </w:r>
    </w:p>
    <w:p w:rsidR="00A90744" w:rsidRDefault="00A90744" w:rsidP="00091B38">
      <w:pPr>
        <w:rPr>
          <w:rFonts w:ascii="Times New Roman" w:hAnsi="Times New Roman" w:cs="Times New Roman"/>
        </w:rPr>
      </w:pPr>
      <w:proofErr w:type="spellStart"/>
      <w:r>
        <w:rPr>
          <w:rFonts w:ascii="Times New Roman" w:hAnsi="Times New Roman" w:cs="Times New Roman"/>
        </w:rPr>
        <w:lastRenderedPageBreak/>
        <w:t>Lekner</w:t>
      </w:r>
      <w:proofErr w:type="spellEnd"/>
      <w:r>
        <w:rPr>
          <w:rFonts w:ascii="Times New Roman" w:hAnsi="Times New Roman" w:cs="Times New Roman"/>
        </w:rPr>
        <w:t xml:space="preserve"> ve </w:t>
      </w:r>
      <w:proofErr w:type="spellStart"/>
      <w:r>
        <w:rPr>
          <w:rFonts w:ascii="Times New Roman" w:hAnsi="Times New Roman" w:cs="Times New Roman"/>
        </w:rPr>
        <w:t>Milanovic</w:t>
      </w:r>
      <w:proofErr w:type="spellEnd"/>
      <w:r>
        <w:rPr>
          <w:rFonts w:ascii="Times New Roman" w:hAnsi="Times New Roman" w:cs="Times New Roman"/>
        </w:rPr>
        <w:t xml:space="preserve"> (2013) çözüm olarak “fazla” tüketimi en zengin % 10’luk hanenin gelirini artırarak ve bu yeniden dağılımı belirli bir </w:t>
      </w:r>
      <w:proofErr w:type="spellStart"/>
      <w:r>
        <w:rPr>
          <w:rFonts w:ascii="Times New Roman" w:hAnsi="Times New Roman" w:cs="Times New Roman"/>
        </w:rPr>
        <w:t>Pareto</w:t>
      </w:r>
      <w:proofErr w:type="spellEnd"/>
      <w:r>
        <w:rPr>
          <w:rFonts w:ascii="Times New Roman" w:hAnsi="Times New Roman" w:cs="Times New Roman"/>
        </w:rPr>
        <w:t xml:space="preserve"> katsayısını </w:t>
      </w:r>
      <w:proofErr w:type="gramStart"/>
      <w:r>
        <w:rPr>
          <w:rFonts w:ascii="Times New Roman" w:hAnsi="Times New Roman" w:cs="Times New Roman"/>
        </w:rPr>
        <w:t>baz</w:t>
      </w:r>
      <w:proofErr w:type="gramEnd"/>
      <w:r>
        <w:rPr>
          <w:rFonts w:ascii="Times New Roman" w:hAnsi="Times New Roman" w:cs="Times New Roman"/>
        </w:rPr>
        <w:t xml:space="preserve"> alarak yapmayı önermektedirler. </w:t>
      </w:r>
    </w:p>
    <w:p w:rsidR="00A06A48" w:rsidRDefault="00A06A48" w:rsidP="00091B38">
      <w:pPr>
        <w:rPr>
          <w:rFonts w:ascii="Times New Roman" w:hAnsi="Times New Roman" w:cs="Times New Roman"/>
        </w:rPr>
      </w:pPr>
      <w:r>
        <w:rPr>
          <w:rFonts w:ascii="Times New Roman" w:hAnsi="Times New Roman" w:cs="Times New Roman"/>
        </w:rPr>
        <w:t>Biz bu kısa çalışmada bu yöntemi kullanmıyoruz.</w:t>
      </w:r>
    </w:p>
    <w:p w:rsidR="00A06A48" w:rsidRDefault="00A06A48" w:rsidP="00091B38">
      <w:pPr>
        <w:rPr>
          <w:rFonts w:ascii="Times New Roman" w:hAnsi="Times New Roman" w:cs="Times New Roman"/>
        </w:rPr>
      </w:pPr>
    </w:p>
    <w:p w:rsidR="00636B96" w:rsidRDefault="004B11C2" w:rsidP="004B11C2">
      <w:pPr>
        <w:pStyle w:val="Heading2"/>
      </w:pPr>
      <w:r>
        <w:t xml:space="preserve">Forbes Zenginleri ve </w:t>
      </w:r>
      <w:proofErr w:type="spellStart"/>
      <w:r>
        <w:t>Pareto</w:t>
      </w:r>
      <w:proofErr w:type="spellEnd"/>
      <w:r>
        <w:t xml:space="preserve"> Dağılımı</w:t>
      </w:r>
    </w:p>
    <w:p w:rsidR="008F17C9" w:rsidRDefault="008F17C9" w:rsidP="004B11C2">
      <w:pPr>
        <w:rPr>
          <w:rFonts w:ascii="Times New Roman" w:hAnsi="Times New Roman" w:cs="Times New Roman"/>
        </w:rPr>
      </w:pPr>
      <w:r>
        <w:rPr>
          <w:rFonts w:ascii="Times New Roman" w:hAnsi="Times New Roman" w:cs="Times New Roman"/>
        </w:rPr>
        <w:t xml:space="preserve">Gelir ve </w:t>
      </w:r>
      <w:r w:rsidR="00A06A48">
        <w:rPr>
          <w:rFonts w:ascii="Times New Roman" w:hAnsi="Times New Roman" w:cs="Times New Roman"/>
        </w:rPr>
        <w:t>servet eşitsizliği yaz</w:t>
      </w:r>
      <w:r w:rsidR="00AD0FD7">
        <w:rPr>
          <w:rFonts w:ascii="Times New Roman" w:hAnsi="Times New Roman" w:cs="Times New Roman"/>
        </w:rPr>
        <w:t>ı</w:t>
      </w:r>
      <w:r w:rsidR="00A06A48">
        <w:rPr>
          <w:rFonts w:ascii="Times New Roman" w:hAnsi="Times New Roman" w:cs="Times New Roman"/>
        </w:rPr>
        <w:t>nında</w:t>
      </w:r>
      <w:r>
        <w:rPr>
          <w:rFonts w:ascii="Times New Roman" w:hAnsi="Times New Roman" w:cs="Times New Roman"/>
        </w:rPr>
        <w:t xml:space="preserve"> görüş birliğine varılan konulardan biri en zenginlerin gelir ve servetlerinin </w:t>
      </w:r>
      <w:proofErr w:type="spellStart"/>
      <w:r>
        <w:rPr>
          <w:rFonts w:ascii="Times New Roman" w:hAnsi="Times New Roman" w:cs="Times New Roman"/>
        </w:rPr>
        <w:t>Pareto</w:t>
      </w:r>
      <w:proofErr w:type="spellEnd"/>
      <w:r>
        <w:rPr>
          <w:rFonts w:ascii="Times New Roman" w:hAnsi="Times New Roman" w:cs="Times New Roman"/>
        </w:rPr>
        <w:t xml:space="preserve"> dağılımına sahip olduğudur. Uzlaşılan diğer bir konu da yukarıda üzerinde durduğumuz gibi en zenginlerin olduklarından daha az temsil edildikleridir.</w:t>
      </w:r>
    </w:p>
    <w:p w:rsidR="008F17C9" w:rsidRDefault="008F17C9" w:rsidP="004B11C2">
      <w:pPr>
        <w:rPr>
          <w:rFonts w:ascii="Times New Roman" w:hAnsi="Times New Roman" w:cs="Times New Roman"/>
        </w:rPr>
      </w:pPr>
      <w:proofErr w:type="spellStart"/>
      <w:r>
        <w:rPr>
          <w:rFonts w:ascii="Times New Roman" w:hAnsi="Times New Roman" w:cs="Times New Roman"/>
        </w:rPr>
        <w:t>Vermuelen</w:t>
      </w:r>
      <w:proofErr w:type="spellEnd"/>
      <w:r>
        <w:rPr>
          <w:rFonts w:ascii="Times New Roman" w:hAnsi="Times New Roman" w:cs="Times New Roman"/>
        </w:rPr>
        <w:t xml:space="preserve"> (2014) Forbes listelerini kullanarak hem örneklem için düzeltme hem de daha gerçekçi bir </w:t>
      </w:r>
      <w:proofErr w:type="spellStart"/>
      <w:r>
        <w:rPr>
          <w:rFonts w:ascii="Times New Roman" w:hAnsi="Times New Roman" w:cs="Times New Roman"/>
        </w:rPr>
        <w:t>Pareto</w:t>
      </w:r>
      <w:proofErr w:type="spellEnd"/>
      <w:r>
        <w:rPr>
          <w:rFonts w:ascii="Times New Roman" w:hAnsi="Times New Roman" w:cs="Times New Roman"/>
        </w:rPr>
        <w:t xml:space="preserve"> katsayısı hesaplanmasını önermektedir. Servet gibi gelir için de benzer bir yöntem kullanılarak gelir eşitsizliğine dair gerçeğe daha yakın bulgulara erişmek mümkün olabilecektir. Forbes listesinden elde edilen gözlemlerin </w:t>
      </w:r>
      <w:r w:rsidR="001F1DF5">
        <w:rPr>
          <w:rFonts w:ascii="Times New Roman" w:hAnsi="Times New Roman" w:cs="Times New Roman"/>
        </w:rPr>
        <w:t xml:space="preserve">dağılımı dikkate alınarak </w:t>
      </w:r>
      <w:proofErr w:type="spellStart"/>
      <w:r>
        <w:rPr>
          <w:rFonts w:ascii="Times New Roman" w:hAnsi="Times New Roman" w:cs="Times New Roman"/>
        </w:rPr>
        <w:t>hanehalkı</w:t>
      </w:r>
      <w:proofErr w:type="spellEnd"/>
      <w:r>
        <w:rPr>
          <w:rFonts w:ascii="Times New Roman" w:hAnsi="Times New Roman" w:cs="Times New Roman"/>
        </w:rPr>
        <w:t xml:space="preserve"> anketlerindeki </w:t>
      </w:r>
      <w:r w:rsidR="001F1DF5">
        <w:rPr>
          <w:rFonts w:ascii="Times New Roman" w:hAnsi="Times New Roman" w:cs="Times New Roman"/>
        </w:rPr>
        <w:t xml:space="preserve">örneklemlerin özellikle en üst % 1’lik kesiminin düzeltilmesi gerekmektedir. Bunun en basit yolu Forbes listelerinden </w:t>
      </w:r>
      <w:r>
        <w:rPr>
          <w:rFonts w:ascii="Times New Roman" w:hAnsi="Times New Roman" w:cs="Times New Roman"/>
        </w:rPr>
        <w:t xml:space="preserve">tahmin edilecek </w:t>
      </w:r>
      <w:proofErr w:type="spellStart"/>
      <w:r>
        <w:rPr>
          <w:rFonts w:ascii="Times New Roman" w:hAnsi="Times New Roman" w:cs="Times New Roman"/>
        </w:rPr>
        <w:t>Pareto</w:t>
      </w:r>
      <w:proofErr w:type="spellEnd"/>
      <w:r>
        <w:rPr>
          <w:rFonts w:ascii="Times New Roman" w:hAnsi="Times New Roman" w:cs="Times New Roman"/>
        </w:rPr>
        <w:t xml:space="preserve"> </w:t>
      </w:r>
      <w:r w:rsidR="001F1DF5">
        <w:rPr>
          <w:rFonts w:ascii="Times New Roman" w:hAnsi="Times New Roman" w:cs="Times New Roman"/>
        </w:rPr>
        <w:t>katsayılarının örneklem içindeki</w:t>
      </w:r>
      <w:r>
        <w:rPr>
          <w:rFonts w:ascii="Times New Roman" w:hAnsi="Times New Roman" w:cs="Times New Roman"/>
        </w:rPr>
        <w:t xml:space="preserve"> e</w:t>
      </w:r>
      <w:r w:rsidR="00DD14C3">
        <w:rPr>
          <w:rFonts w:ascii="Times New Roman" w:hAnsi="Times New Roman" w:cs="Times New Roman"/>
        </w:rPr>
        <w:t xml:space="preserve">n </w:t>
      </w:r>
      <w:r w:rsidR="001F1DF5">
        <w:rPr>
          <w:rFonts w:ascii="Times New Roman" w:hAnsi="Times New Roman" w:cs="Times New Roman"/>
        </w:rPr>
        <w:t xml:space="preserve">zengin %1’in gelirinin dağılımı için kullanılmasıdır. Elde edilecek yeni örneklemde gelir eşitsizliğini ölçen </w:t>
      </w:r>
      <w:proofErr w:type="spellStart"/>
      <w:r w:rsidR="001F1DF5">
        <w:rPr>
          <w:rFonts w:ascii="Times New Roman" w:hAnsi="Times New Roman" w:cs="Times New Roman"/>
        </w:rPr>
        <w:t>Gini</w:t>
      </w:r>
      <w:proofErr w:type="spellEnd"/>
      <w:r w:rsidR="001F1DF5">
        <w:rPr>
          <w:rFonts w:ascii="Times New Roman" w:hAnsi="Times New Roman" w:cs="Times New Roman"/>
        </w:rPr>
        <w:t xml:space="preserve"> göstergesi çok farklı olacaktır.</w:t>
      </w:r>
    </w:p>
    <w:p w:rsidR="002330E7" w:rsidRDefault="002330E7" w:rsidP="004B11C2">
      <w:pPr>
        <w:rPr>
          <w:rFonts w:ascii="Times New Roman" w:hAnsi="Times New Roman" w:cs="Times New Roman"/>
        </w:rPr>
      </w:pPr>
      <w:r>
        <w:rPr>
          <w:rFonts w:ascii="Times New Roman" w:hAnsi="Times New Roman" w:cs="Times New Roman"/>
        </w:rPr>
        <w:t xml:space="preserve">En zengin %1’lik </w:t>
      </w:r>
      <w:r w:rsidR="00461BDD">
        <w:rPr>
          <w:rFonts w:ascii="Times New Roman" w:hAnsi="Times New Roman" w:cs="Times New Roman"/>
        </w:rPr>
        <w:t xml:space="preserve">hanelerin ya da fertlerin gelirleri şu şekilde </w:t>
      </w:r>
      <w:proofErr w:type="spellStart"/>
      <w:r w:rsidR="00461BDD">
        <w:rPr>
          <w:rFonts w:ascii="Times New Roman" w:hAnsi="Times New Roman" w:cs="Times New Roman"/>
        </w:rPr>
        <w:t>Pareto</w:t>
      </w:r>
      <w:proofErr w:type="spellEnd"/>
      <w:r w:rsidR="00461BDD">
        <w:rPr>
          <w:rFonts w:ascii="Times New Roman" w:hAnsi="Times New Roman" w:cs="Times New Roman"/>
        </w:rPr>
        <w:t xml:space="preserve"> dağılımı g</w:t>
      </w:r>
      <w:r>
        <w:rPr>
          <w:rFonts w:ascii="Times New Roman" w:hAnsi="Times New Roman" w:cs="Times New Roman"/>
        </w:rPr>
        <w:t xml:space="preserve">östermektedir. </w:t>
      </w:r>
    </w:p>
    <w:p w:rsidR="002330E7" w:rsidRPr="002330E7" w:rsidRDefault="002330E7" w:rsidP="004B11C2">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num>
            <m:den>
              <m:r>
                <w:rPr>
                  <w:rFonts w:ascii="Cambria Math" w:hAnsi="Cambria Math" w:cs="Times New Roman"/>
                </w:rPr>
                <m:t>N</m:t>
              </m:r>
            </m:den>
          </m:f>
          <m: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min</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en>
              </m:f>
              <m:r>
                <w:rPr>
                  <w:rFonts w:ascii="Cambria Math" w:hAnsi="Cambria Math" w:cs="Times New Roman"/>
                </w:rPr>
                <m:t>)</m:t>
              </m:r>
            </m:e>
            <m:sup>
              <m:r>
                <w:rPr>
                  <w:rFonts w:ascii="Cambria Math" w:hAnsi="Cambria Math" w:cs="Times New Roman"/>
                </w:rPr>
                <m:t>α</m:t>
              </m:r>
            </m:sup>
          </m:sSup>
        </m:oMath>
      </m:oMathPara>
    </w:p>
    <w:p w:rsidR="002330E7" w:rsidRDefault="002330E7" w:rsidP="004B11C2">
      <w:pPr>
        <w:rPr>
          <w:rFonts w:ascii="Times New Roman" w:hAnsi="Times New Roman" w:cs="Times New Roman"/>
        </w:rPr>
      </w:pPr>
      <w:r>
        <w:rPr>
          <w:rFonts w:ascii="Times New Roman" w:hAnsi="Times New Roman" w:cs="Times New Roman"/>
        </w:rPr>
        <w:t xml:space="preserve">Bu şu anlama gelmektedir. Geliri belirli bir düzeyin üstünde olanların göreli frekansı </w:t>
      </w:r>
      <w:proofErr w:type="spellStart"/>
      <w:r>
        <w:rPr>
          <w:rFonts w:ascii="Times New Roman" w:hAnsi="Times New Roman" w:cs="Times New Roman"/>
        </w:rPr>
        <w:t>üstsel</w:t>
      </w:r>
      <w:proofErr w:type="spellEnd"/>
      <w:r>
        <w:rPr>
          <w:rFonts w:ascii="Times New Roman" w:hAnsi="Times New Roman" w:cs="Times New Roman"/>
        </w:rPr>
        <w:t xml:space="preserve">  (</w:t>
      </w:r>
      <w:proofErr w:type="spellStart"/>
      <w:r>
        <w:rPr>
          <w:rFonts w:ascii="Times New Roman" w:hAnsi="Times New Roman" w:cs="Times New Roman"/>
        </w:rPr>
        <w:t>Power</w:t>
      </w:r>
      <w:proofErr w:type="spellEnd"/>
      <w:r>
        <w:rPr>
          <w:rFonts w:ascii="Times New Roman" w:hAnsi="Times New Roman" w:cs="Times New Roman"/>
        </w:rPr>
        <w:t xml:space="preserve"> </w:t>
      </w:r>
      <w:proofErr w:type="spellStart"/>
      <w:r>
        <w:rPr>
          <w:rFonts w:ascii="Times New Roman" w:hAnsi="Times New Roman" w:cs="Times New Roman"/>
        </w:rPr>
        <w:t>law</w:t>
      </w:r>
      <w:proofErr w:type="spellEnd"/>
      <w:r>
        <w:rPr>
          <w:rFonts w:ascii="Times New Roman" w:hAnsi="Times New Roman" w:cs="Times New Roman"/>
        </w:rPr>
        <w:t xml:space="preserve">) bir fonksiyonla belirlenmektedir. </w:t>
      </w:r>
      <w:r w:rsidR="00461BDD">
        <w:rPr>
          <w:rFonts w:ascii="Times New Roman" w:hAnsi="Times New Roman" w:cs="Times New Roman"/>
        </w:rPr>
        <w:t xml:space="preserve">Örneklem zenginden fakire sıralandığında, gelir sıralaması göreli frekans dağılımı için doğal bir hesaplama yöntemi sunar. Örneğin en zengin kişinin geliri dikkate alındığında bu gelir düzeyinde göreli frekans basitçe 1/N olacaktır. </w:t>
      </w:r>
    </w:p>
    <w:p w:rsidR="00461BDD" w:rsidRDefault="00461BDD" w:rsidP="004B11C2">
      <w:pPr>
        <w:rPr>
          <w:rFonts w:ascii="Times New Roman" w:hAnsi="Times New Roman" w:cs="Times New Roman"/>
        </w:rPr>
      </w:pPr>
      <w:r>
        <w:rPr>
          <w:rFonts w:ascii="Times New Roman" w:hAnsi="Times New Roman" w:cs="Times New Roman"/>
        </w:rPr>
        <w:t>Yukarıdaki denklik sıralama ile birlikte kullanıldığında kuyruk (</w:t>
      </w:r>
      <w:proofErr w:type="spellStart"/>
      <w:r>
        <w:rPr>
          <w:rFonts w:ascii="Times New Roman" w:hAnsi="Times New Roman" w:cs="Times New Roman"/>
        </w:rPr>
        <w:t>Tail</w:t>
      </w:r>
      <w:proofErr w:type="spellEnd"/>
      <w:r>
        <w:rPr>
          <w:rFonts w:ascii="Times New Roman" w:hAnsi="Times New Roman" w:cs="Times New Roman"/>
        </w:rPr>
        <w:t xml:space="preserve">) katsayısı da denilen </w:t>
      </w:r>
      <w:proofErr w:type="spellStart"/>
      <w:r>
        <w:rPr>
          <w:rFonts w:ascii="Times New Roman" w:hAnsi="Times New Roman" w:cs="Times New Roman"/>
        </w:rPr>
        <w:t>Pareto</w:t>
      </w:r>
      <w:proofErr w:type="spellEnd"/>
      <w:r>
        <w:rPr>
          <w:rFonts w:ascii="Times New Roman" w:hAnsi="Times New Roman" w:cs="Times New Roman"/>
        </w:rPr>
        <w:t xml:space="preserve"> katsayısı α’</w:t>
      </w:r>
      <w:proofErr w:type="spellStart"/>
      <w:r>
        <w:rPr>
          <w:rFonts w:ascii="Times New Roman" w:hAnsi="Times New Roman" w:cs="Times New Roman"/>
        </w:rPr>
        <w:t>nın</w:t>
      </w:r>
      <w:proofErr w:type="spellEnd"/>
      <w:r>
        <w:rPr>
          <w:rFonts w:ascii="Times New Roman" w:hAnsi="Times New Roman" w:cs="Times New Roman"/>
        </w:rPr>
        <w:t xml:space="preserve"> hesaplanmasında büyük bir kolaylık sağlar. Her iki tarafında doğal logaritması alındığında </w:t>
      </w:r>
    </w:p>
    <w:p w:rsidR="00461BDD" w:rsidRPr="00007815" w:rsidRDefault="00461BDD" w:rsidP="004B11C2">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num>
                    <m:den>
                      <m:r>
                        <w:rPr>
                          <w:rFonts w:ascii="Cambria Math" w:hAnsi="Cambria Math" w:cs="Times New Roman"/>
                        </w:rPr>
                        <m:t>N</m:t>
                      </m:r>
                    </m:den>
                  </m:f>
                </m:e>
              </m:d>
            </m:e>
          </m:func>
          <m:r>
            <w:rPr>
              <w:rFonts w:ascii="Cambria Math" w:hAnsi="Cambria Math" w:cs="Times New Roman"/>
            </w:rPr>
            <m:t>=-α</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min</m:t>
                          </m:r>
                        </m:sub>
                      </m:sSub>
                    </m:den>
                  </m:f>
                </m:e>
              </m:d>
            </m:e>
          </m:func>
          <m:r>
            <m:rPr>
              <m:sty m:val="p"/>
            </m:rPr>
            <w:rPr>
              <w:rFonts w:ascii="Cambria Math" w:hAnsi="Cambria Math" w:cs="Times New Roman"/>
            </w:rPr>
            <m:t>⁡</m:t>
          </m:r>
        </m:oMath>
      </m:oMathPara>
    </w:p>
    <w:p w:rsidR="00007815" w:rsidRDefault="00007815" w:rsidP="004B11C2">
      <w:pPr>
        <w:rPr>
          <w:rFonts w:ascii="Times New Roman" w:hAnsi="Times New Roman" w:cs="Times New Roman"/>
        </w:rPr>
      </w:pPr>
      <w:r>
        <w:rPr>
          <w:rFonts w:ascii="Times New Roman" w:hAnsi="Times New Roman" w:cs="Times New Roman"/>
        </w:rPr>
        <w:t xml:space="preserve">Bulunur. Böylece  </w:t>
      </w:r>
      <m:oMath>
        <m:r>
          <w:rPr>
            <w:rFonts w:ascii="Cambria Math" w:hAnsi="Cambria Math" w:cs="Times New Roman"/>
          </w:rPr>
          <m:t>C=</m:t>
        </m:r>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N</m:t>
                </m:r>
              </m:e>
            </m:d>
          </m:e>
        </m:func>
        <m:r>
          <w:rPr>
            <w:rFonts w:ascii="Cambria Math" w:hAnsi="Cambria Math" w:cs="Times New Roman"/>
          </w:rPr>
          <m:t>+α</m:t>
        </m:r>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min</m:t>
            </m:r>
          </m:sub>
        </m:sSub>
        <m:r>
          <w:rPr>
            <w:rFonts w:ascii="Cambria Math" w:hAnsi="Cambria Math" w:cs="Times New Roman"/>
          </w:rPr>
          <m:t>)</m:t>
        </m:r>
      </m:oMath>
      <w:r>
        <w:rPr>
          <w:rFonts w:ascii="Times New Roman" w:hAnsi="Times New Roman" w:cs="Times New Roman"/>
        </w:rPr>
        <w:t xml:space="preserve"> sabiti dikkate alınarak sıralamanın logaritması ile gelirin </w:t>
      </w:r>
      <w:proofErr w:type="spellStart"/>
      <w:r>
        <w:rPr>
          <w:rFonts w:ascii="Times New Roman" w:hAnsi="Times New Roman" w:cs="Times New Roman"/>
        </w:rPr>
        <w:t>logartiması</w:t>
      </w:r>
      <w:proofErr w:type="spellEnd"/>
      <w:r>
        <w:rPr>
          <w:rFonts w:ascii="Times New Roman" w:hAnsi="Times New Roman" w:cs="Times New Roman"/>
        </w:rPr>
        <w:t xml:space="preserve"> arasında basit kareler yöntemi ile regresyon yapılarak </w:t>
      </w:r>
      <w:proofErr w:type="spellStart"/>
      <w:r>
        <w:rPr>
          <w:rFonts w:ascii="Times New Roman" w:hAnsi="Times New Roman" w:cs="Times New Roman"/>
        </w:rPr>
        <w:t>Pareto</w:t>
      </w:r>
      <w:proofErr w:type="spellEnd"/>
      <w:r>
        <w:rPr>
          <w:rFonts w:ascii="Times New Roman" w:hAnsi="Times New Roman" w:cs="Times New Roman"/>
        </w:rPr>
        <w:t xml:space="preserve"> katsayısı α’ya ulaşılabilir (</w:t>
      </w:r>
      <w:proofErr w:type="spellStart"/>
      <w:r>
        <w:rPr>
          <w:rFonts w:ascii="Times New Roman" w:hAnsi="Times New Roman" w:cs="Times New Roman"/>
        </w:rPr>
        <w:t>Vermuelen</w:t>
      </w:r>
      <w:proofErr w:type="spellEnd"/>
      <w:r>
        <w:rPr>
          <w:rFonts w:ascii="Times New Roman" w:hAnsi="Times New Roman" w:cs="Times New Roman"/>
        </w:rPr>
        <w:t xml:space="preserve"> 2014).</w:t>
      </w:r>
    </w:p>
    <w:p w:rsidR="001F1DF5" w:rsidRDefault="00F342B3" w:rsidP="001F1DF5">
      <w:pPr>
        <w:rPr>
          <w:rFonts w:ascii="Times New Roman" w:hAnsi="Times New Roman" w:cs="Times New Roman"/>
        </w:rPr>
      </w:pPr>
      <w:r>
        <w:rPr>
          <w:rFonts w:ascii="Times New Roman" w:hAnsi="Times New Roman" w:cs="Times New Roman"/>
        </w:rPr>
        <w:t xml:space="preserve">Elimizdeki </w:t>
      </w:r>
      <w:proofErr w:type="spellStart"/>
      <w:r>
        <w:rPr>
          <w:rFonts w:ascii="Times New Roman" w:hAnsi="Times New Roman" w:cs="Times New Roman"/>
        </w:rPr>
        <w:t>Tüik’in</w:t>
      </w:r>
      <w:proofErr w:type="spellEnd"/>
      <w:r>
        <w:rPr>
          <w:rFonts w:ascii="Times New Roman" w:hAnsi="Times New Roman" w:cs="Times New Roman"/>
        </w:rPr>
        <w:t xml:space="preserve"> 2010 örnekleminde en zengin %1’e tekabül edecek 91 haneyi ayırdık. Bu hane gelirlerinin </w:t>
      </w:r>
      <w:proofErr w:type="spellStart"/>
      <w:r>
        <w:rPr>
          <w:rFonts w:ascii="Times New Roman" w:hAnsi="Times New Roman" w:cs="Times New Roman"/>
        </w:rPr>
        <w:t>Pareto</w:t>
      </w:r>
      <w:proofErr w:type="spellEnd"/>
      <w:r>
        <w:rPr>
          <w:rFonts w:ascii="Times New Roman" w:hAnsi="Times New Roman" w:cs="Times New Roman"/>
        </w:rPr>
        <w:t xml:space="preserve"> dağılımı gösterdiğinden hareketle </w:t>
      </w:r>
      <w:proofErr w:type="spellStart"/>
      <w:r>
        <w:rPr>
          <w:rFonts w:ascii="Times New Roman" w:hAnsi="Times New Roman" w:cs="Times New Roman"/>
        </w:rPr>
        <w:t>Pareto</w:t>
      </w:r>
      <w:proofErr w:type="spellEnd"/>
      <w:r>
        <w:rPr>
          <w:rFonts w:ascii="Times New Roman" w:hAnsi="Times New Roman" w:cs="Times New Roman"/>
        </w:rPr>
        <w:t xml:space="preserve"> katsayısını hesapladık. Bu katsayı 2,70 olarak bulundu. Aşağıdaki Grafik 2’de bu dağılımı gösteriyoruz.</w:t>
      </w:r>
    </w:p>
    <w:p w:rsidR="00F342B3" w:rsidRPr="001F1DF5" w:rsidRDefault="00F342B3" w:rsidP="001F1DF5">
      <w:pPr>
        <w:rPr>
          <w:rFonts w:ascii="Times New Roman" w:hAnsi="Times New Roman" w:cs="Times New Roman"/>
        </w:rPr>
      </w:pPr>
      <w:r>
        <w:rPr>
          <w:rFonts w:ascii="Times New Roman" w:hAnsi="Times New Roman" w:cs="Times New Roman"/>
          <w:noProof/>
        </w:rPr>
        <w:lastRenderedPageBreak/>
        <w:drawing>
          <wp:inline distT="0" distB="0" distL="0" distR="0">
            <wp:extent cx="5760720" cy="4164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nt1LogLo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64330"/>
                    </a:xfrm>
                    <a:prstGeom prst="rect">
                      <a:avLst/>
                    </a:prstGeom>
                  </pic:spPr>
                </pic:pic>
              </a:graphicData>
            </a:graphic>
          </wp:inline>
        </w:drawing>
      </w:r>
    </w:p>
    <w:p w:rsidR="00DD14C3" w:rsidRDefault="00F342B3" w:rsidP="004B11C2">
      <w:pPr>
        <w:rPr>
          <w:rFonts w:ascii="Times New Roman" w:hAnsi="Times New Roman" w:cs="Times New Roman"/>
        </w:rPr>
      </w:pPr>
      <w:r>
        <w:rPr>
          <w:rFonts w:ascii="Times New Roman" w:hAnsi="Times New Roman" w:cs="Times New Roman"/>
        </w:rPr>
        <w:t xml:space="preserve">Bulunan katsayı hane gelirlerinin dağılımında eğimin yüksek olduğunu bu da gelir yükseldikçe daha fazla gelirli hane bulma olasılığının ve dolayısıyla frekansının hızla düştüğünü göstermektedir. </w:t>
      </w:r>
    </w:p>
    <w:p w:rsidR="00F342B3" w:rsidRDefault="00F342B3" w:rsidP="004B11C2">
      <w:pPr>
        <w:rPr>
          <w:rFonts w:ascii="Times New Roman" w:hAnsi="Times New Roman" w:cs="Times New Roman"/>
        </w:rPr>
      </w:pPr>
      <w:r>
        <w:rPr>
          <w:rFonts w:ascii="Times New Roman" w:hAnsi="Times New Roman" w:cs="Times New Roman"/>
        </w:rPr>
        <w:t xml:space="preserve">Buna karşılık elimizdeki Forbes Zenginler listesinden türettiğimiz ve 98 kişiyi kapsayan bir Forbes verisi var. Varlıkları üzerinden %10 getiri varsayımı ile bir akış değişkeni olarak Forbes gelirlerini oluşturuyoruz. Daha sonra yukarıda örneklem için yaptığımız </w:t>
      </w:r>
      <w:proofErr w:type="spellStart"/>
      <w:r>
        <w:rPr>
          <w:rFonts w:ascii="Times New Roman" w:hAnsi="Times New Roman" w:cs="Times New Roman"/>
        </w:rPr>
        <w:t>Pareto</w:t>
      </w:r>
      <w:proofErr w:type="spellEnd"/>
      <w:r>
        <w:rPr>
          <w:rFonts w:ascii="Times New Roman" w:hAnsi="Times New Roman" w:cs="Times New Roman"/>
        </w:rPr>
        <w:t xml:space="preserve"> dağılımı analizini Forbes gelirleri için </w:t>
      </w:r>
      <w:proofErr w:type="spellStart"/>
      <w:r>
        <w:rPr>
          <w:rFonts w:ascii="Times New Roman" w:hAnsi="Times New Roman" w:cs="Times New Roman"/>
        </w:rPr>
        <w:t>tekrarlayoruz</w:t>
      </w:r>
      <w:proofErr w:type="spellEnd"/>
      <w:r>
        <w:rPr>
          <w:rFonts w:ascii="Times New Roman" w:hAnsi="Times New Roman" w:cs="Times New Roman"/>
        </w:rPr>
        <w:t>.  Sonuç olarak</w:t>
      </w:r>
      <w:r w:rsidR="00751890">
        <w:rPr>
          <w:rFonts w:ascii="Times New Roman" w:hAnsi="Times New Roman" w:cs="Times New Roman"/>
        </w:rPr>
        <w:t xml:space="preserve"> 1,64 </w:t>
      </w:r>
      <w:proofErr w:type="gramStart"/>
      <w:r w:rsidR="00751890">
        <w:rPr>
          <w:rFonts w:ascii="Times New Roman" w:hAnsi="Times New Roman" w:cs="Times New Roman"/>
        </w:rPr>
        <w:t xml:space="preserve">gibi </w:t>
      </w:r>
      <w:r>
        <w:rPr>
          <w:rFonts w:ascii="Times New Roman" w:hAnsi="Times New Roman" w:cs="Times New Roman"/>
        </w:rPr>
        <w:t xml:space="preserve"> çok</w:t>
      </w:r>
      <w:proofErr w:type="gramEnd"/>
      <w:r>
        <w:rPr>
          <w:rFonts w:ascii="Times New Roman" w:hAnsi="Times New Roman" w:cs="Times New Roman"/>
        </w:rPr>
        <w:t xml:space="preserve"> daha küçük bir katsayı elde edi</w:t>
      </w:r>
      <w:r w:rsidR="00751890">
        <w:rPr>
          <w:rFonts w:ascii="Times New Roman" w:hAnsi="Times New Roman" w:cs="Times New Roman"/>
        </w:rPr>
        <w:t>yoruz.</w:t>
      </w:r>
      <w:r w:rsidR="00DE19A7">
        <w:rPr>
          <w:rFonts w:ascii="Times New Roman" w:hAnsi="Times New Roman" w:cs="Times New Roman"/>
        </w:rPr>
        <w:t xml:space="preserve"> </w:t>
      </w:r>
    </w:p>
    <w:p w:rsidR="00751890" w:rsidRDefault="00DE19A7" w:rsidP="004B11C2">
      <w:pPr>
        <w:rPr>
          <w:rFonts w:ascii="Times New Roman" w:hAnsi="Times New Roman" w:cs="Times New Roman"/>
        </w:rPr>
      </w:pPr>
      <w:r>
        <w:rPr>
          <w:rFonts w:ascii="Times New Roman" w:hAnsi="Times New Roman" w:cs="Times New Roman"/>
        </w:rPr>
        <w:t>Bu değişimin başlıca sebebi GYKA (Gelir ve Yaş</w:t>
      </w:r>
      <w:r w:rsidR="00007815">
        <w:rPr>
          <w:rFonts w:ascii="Times New Roman" w:hAnsi="Times New Roman" w:cs="Times New Roman"/>
        </w:rPr>
        <w:t xml:space="preserve">am Koşulları Anketi) verileri </w:t>
      </w:r>
      <w:proofErr w:type="gramStart"/>
      <w:r w:rsidR="00007815">
        <w:rPr>
          <w:rFonts w:ascii="Times New Roman" w:hAnsi="Times New Roman" w:cs="Times New Roman"/>
        </w:rPr>
        <w:t>ile</w:t>
      </w:r>
      <w:r>
        <w:rPr>
          <w:rFonts w:ascii="Times New Roman" w:hAnsi="Times New Roman" w:cs="Times New Roman"/>
        </w:rPr>
        <w:t xml:space="preserve">  Forbes</w:t>
      </w:r>
      <w:proofErr w:type="gramEnd"/>
      <w:r>
        <w:rPr>
          <w:rFonts w:ascii="Times New Roman" w:hAnsi="Times New Roman" w:cs="Times New Roman"/>
        </w:rPr>
        <w:t xml:space="preserve"> v</w:t>
      </w:r>
      <w:r w:rsidR="00007815">
        <w:rPr>
          <w:rFonts w:ascii="Times New Roman" w:hAnsi="Times New Roman" w:cs="Times New Roman"/>
        </w:rPr>
        <w:t xml:space="preserve">erilerinin dramatik ölçüde farklılık göstermesidir. Bu iki </w:t>
      </w:r>
      <w:proofErr w:type="gramStart"/>
      <w:r w:rsidR="00007815">
        <w:rPr>
          <w:rFonts w:ascii="Times New Roman" w:hAnsi="Times New Roman" w:cs="Times New Roman"/>
        </w:rPr>
        <w:t>örneklemde  o</w:t>
      </w:r>
      <w:r>
        <w:rPr>
          <w:rFonts w:ascii="Times New Roman" w:hAnsi="Times New Roman" w:cs="Times New Roman"/>
        </w:rPr>
        <w:t>rtalama</w:t>
      </w:r>
      <w:proofErr w:type="gramEnd"/>
      <w:r>
        <w:rPr>
          <w:rFonts w:ascii="Times New Roman" w:hAnsi="Times New Roman" w:cs="Times New Roman"/>
        </w:rPr>
        <w:t xml:space="preserve"> ve medyan gelirlerin ç</w:t>
      </w:r>
      <w:r w:rsidR="00F85DCD">
        <w:rPr>
          <w:rFonts w:ascii="Times New Roman" w:hAnsi="Times New Roman" w:cs="Times New Roman"/>
        </w:rPr>
        <w:t>ok farklı olmasının ötesinde Maksimum</w:t>
      </w:r>
      <w:r>
        <w:rPr>
          <w:rFonts w:ascii="Times New Roman" w:hAnsi="Times New Roman" w:cs="Times New Roman"/>
        </w:rPr>
        <w:t>/Min</w:t>
      </w:r>
      <w:r w:rsidR="00F85DCD">
        <w:rPr>
          <w:rFonts w:ascii="Times New Roman" w:hAnsi="Times New Roman" w:cs="Times New Roman"/>
        </w:rPr>
        <w:t>imum</w:t>
      </w:r>
      <w:r>
        <w:rPr>
          <w:rFonts w:ascii="Times New Roman" w:hAnsi="Times New Roman" w:cs="Times New Roman"/>
        </w:rPr>
        <w:t xml:space="preserve"> gelir oranı da </w:t>
      </w:r>
      <w:proofErr w:type="spellStart"/>
      <w:r>
        <w:rPr>
          <w:rFonts w:ascii="Times New Roman" w:hAnsi="Times New Roman" w:cs="Times New Roman"/>
        </w:rPr>
        <w:t>GYKA’da</w:t>
      </w:r>
      <w:proofErr w:type="spellEnd"/>
      <w:r>
        <w:rPr>
          <w:rFonts w:ascii="Times New Roman" w:hAnsi="Times New Roman" w:cs="Times New Roman"/>
        </w:rPr>
        <w:t xml:space="preserve"> 6,28 iken Forbes’da 12’dir. </w:t>
      </w:r>
      <w:r w:rsidR="00007815">
        <w:rPr>
          <w:rFonts w:ascii="Times New Roman" w:hAnsi="Times New Roman" w:cs="Times New Roman"/>
        </w:rPr>
        <w:t xml:space="preserve">Yani Forbes listesinde en zengin 100 kişi içinde yine en zengin olan kişinin geliri sonuncu sıradakinin 12 katı iken, </w:t>
      </w:r>
      <w:proofErr w:type="spellStart"/>
      <w:r w:rsidR="00007815">
        <w:rPr>
          <w:rFonts w:ascii="Times New Roman" w:hAnsi="Times New Roman" w:cs="Times New Roman"/>
        </w:rPr>
        <w:t>GYKA’da</w:t>
      </w:r>
      <w:proofErr w:type="spellEnd"/>
      <w:r w:rsidR="00007815">
        <w:rPr>
          <w:rFonts w:ascii="Times New Roman" w:hAnsi="Times New Roman" w:cs="Times New Roman"/>
        </w:rPr>
        <w:t xml:space="preserve"> sadece 6 katıdır.  </w:t>
      </w:r>
      <w:r w:rsidR="00A173AE">
        <w:rPr>
          <w:rFonts w:ascii="Times New Roman" w:hAnsi="Times New Roman" w:cs="Times New Roman"/>
        </w:rPr>
        <w:t xml:space="preserve">Bu koşullarda doğal olarak Forbes zenginleri için </w:t>
      </w:r>
      <w:proofErr w:type="spellStart"/>
      <w:r w:rsidR="00A173AE">
        <w:rPr>
          <w:rFonts w:ascii="Times New Roman" w:hAnsi="Times New Roman" w:cs="Times New Roman"/>
        </w:rPr>
        <w:t>Pareto</w:t>
      </w:r>
      <w:proofErr w:type="spellEnd"/>
      <w:r w:rsidR="00A173AE">
        <w:rPr>
          <w:rFonts w:ascii="Times New Roman" w:hAnsi="Times New Roman" w:cs="Times New Roman"/>
        </w:rPr>
        <w:t xml:space="preserve"> katsayısı </w:t>
      </w:r>
      <w:proofErr w:type="spellStart"/>
      <w:r w:rsidR="00A173AE">
        <w:rPr>
          <w:rFonts w:ascii="Times New Roman" w:hAnsi="Times New Roman" w:cs="Times New Roman"/>
        </w:rPr>
        <w:t>GYKA’daki</w:t>
      </w:r>
      <w:proofErr w:type="spellEnd"/>
      <w:r w:rsidR="00A173AE">
        <w:rPr>
          <w:rFonts w:ascii="Times New Roman" w:hAnsi="Times New Roman" w:cs="Times New Roman"/>
        </w:rPr>
        <w:t xml:space="preserve"> en zengin %1’lik grubun </w:t>
      </w:r>
      <w:proofErr w:type="spellStart"/>
      <w:r w:rsidR="00A173AE">
        <w:rPr>
          <w:rFonts w:ascii="Times New Roman" w:hAnsi="Times New Roman" w:cs="Times New Roman"/>
        </w:rPr>
        <w:t>Pareto</w:t>
      </w:r>
      <w:proofErr w:type="spellEnd"/>
      <w:r w:rsidR="00A173AE">
        <w:rPr>
          <w:rFonts w:ascii="Times New Roman" w:hAnsi="Times New Roman" w:cs="Times New Roman"/>
        </w:rPr>
        <w:t xml:space="preserve"> katsayısından daha düşük olacaktır.</w:t>
      </w:r>
      <w:bookmarkStart w:id="0" w:name="_GoBack"/>
      <w:bookmarkEnd w:id="0"/>
    </w:p>
    <w:p w:rsidR="00751890" w:rsidRDefault="00751890" w:rsidP="004B11C2">
      <w:pPr>
        <w:rPr>
          <w:rFonts w:ascii="Times New Roman" w:hAnsi="Times New Roman" w:cs="Times New Roman"/>
        </w:rPr>
      </w:pPr>
      <w:r>
        <w:rPr>
          <w:rFonts w:ascii="Times New Roman" w:hAnsi="Times New Roman" w:cs="Times New Roman"/>
          <w:noProof/>
        </w:rPr>
        <w:lastRenderedPageBreak/>
        <w:drawing>
          <wp:inline distT="0" distB="0" distL="0" distR="0">
            <wp:extent cx="5760720" cy="4164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besLogLog.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64330"/>
                    </a:xfrm>
                    <a:prstGeom prst="rect">
                      <a:avLst/>
                    </a:prstGeom>
                  </pic:spPr>
                </pic:pic>
              </a:graphicData>
            </a:graphic>
          </wp:inline>
        </w:drawing>
      </w:r>
    </w:p>
    <w:p w:rsidR="00751890" w:rsidRDefault="00751890" w:rsidP="004B11C2">
      <w:pPr>
        <w:rPr>
          <w:rFonts w:ascii="Times New Roman" w:hAnsi="Times New Roman" w:cs="Times New Roman"/>
        </w:rPr>
      </w:pPr>
    </w:p>
    <w:p w:rsidR="00751890" w:rsidRDefault="00751890" w:rsidP="004B11C2">
      <w:pPr>
        <w:rPr>
          <w:rFonts w:ascii="Times New Roman" w:hAnsi="Times New Roman" w:cs="Times New Roman"/>
        </w:rPr>
      </w:pPr>
      <w:r>
        <w:rPr>
          <w:rFonts w:ascii="Times New Roman" w:hAnsi="Times New Roman" w:cs="Times New Roman"/>
        </w:rPr>
        <w:t xml:space="preserve">Örneklemdeki en zengin yüzde 1’lik kısmın hane gelirleri Forbes zenginlerinin dağılımı gibi olsaydı durum ne olurdu? Bu soruya yanıt verebilmek için minimum 87000 olmak üzere 90 hanenin </w:t>
      </w:r>
      <w:proofErr w:type="spellStart"/>
      <w:r>
        <w:rPr>
          <w:rFonts w:ascii="Times New Roman" w:hAnsi="Times New Roman" w:cs="Times New Roman"/>
        </w:rPr>
        <w:t>Pareto</w:t>
      </w:r>
      <w:proofErr w:type="spellEnd"/>
      <w:r>
        <w:rPr>
          <w:rFonts w:ascii="Times New Roman" w:hAnsi="Times New Roman" w:cs="Times New Roman"/>
        </w:rPr>
        <w:t xml:space="preserve"> gelir dağılımını 2,70 yerine 1,64 katsayısına uygun olarak yeniden oluşturmamız gerekmektedir.</w:t>
      </w:r>
    </w:p>
    <w:p w:rsidR="00751890" w:rsidRPr="004B11C2" w:rsidRDefault="006049D0" w:rsidP="004B11C2">
      <w:pPr>
        <w:rPr>
          <w:rFonts w:ascii="Times New Roman" w:hAnsi="Times New Roman" w:cs="Times New Roman"/>
        </w:rPr>
      </w:pPr>
      <w:r>
        <w:rPr>
          <w:rFonts w:ascii="Times New Roman" w:hAnsi="Times New Roman" w:cs="Times New Roman"/>
        </w:rPr>
        <w:t xml:space="preserve">Yeni oluşturulan katsayı ile </w:t>
      </w:r>
      <w:proofErr w:type="spellStart"/>
      <w:r>
        <w:rPr>
          <w:rFonts w:ascii="Times New Roman" w:hAnsi="Times New Roman" w:cs="Times New Roman"/>
        </w:rPr>
        <w:t>Gini</w:t>
      </w:r>
      <w:proofErr w:type="spellEnd"/>
      <w:r>
        <w:rPr>
          <w:rFonts w:ascii="Times New Roman" w:hAnsi="Times New Roman" w:cs="Times New Roman"/>
        </w:rPr>
        <w:t xml:space="preserve"> katsayısı 0,04 puan artmaktadır. Bu da AKP yıllarındaki geçici de olsa tüm iyileşmeninim sanal olduğunu, örneklem gerçeğe daha yakın olduğunda aslında </w:t>
      </w:r>
      <w:proofErr w:type="spellStart"/>
      <w:r>
        <w:rPr>
          <w:rFonts w:ascii="Times New Roman" w:hAnsi="Times New Roman" w:cs="Times New Roman"/>
        </w:rPr>
        <w:t>Gini</w:t>
      </w:r>
      <w:proofErr w:type="spellEnd"/>
      <w:r>
        <w:rPr>
          <w:rFonts w:ascii="Times New Roman" w:hAnsi="Times New Roman" w:cs="Times New Roman"/>
        </w:rPr>
        <w:t xml:space="preserve"> katsayısında %10’luk bir yükselmenin olması gerektiğini açıkça ortaya koymaktadır. </w:t>
      </w:r>
    </w:p>
    <w:p w:rsidR="004B11C2" w:rsidRDefault="004B11C2" w:rsidP="004B11C2">
      <w:pPr>
        <w:rPr>
          <w:rFonts w:ascii="Times New Roman" w:hAnsi="Times New Roman" w:cs="Times New Roman"/>
        </w:rPr>
      </w:pPr>
    </w:p>
    <w:p w:rsidR="00FD4450" w:rsidRDefault="00FD4450" w:rsidP="00FD4450">
      <w:pPr>
        <w:pStyle w:val="Heading2"/>
        <w:rPr>
          <w:rFonts w:ascii="Times New Roman" w:hAnsi="Times New Roman" w:cs="Times New Roman"/>
        </w:rPr>
      </w:pPr>
      <w:r>
        <w:rPr>
          <w:rFonts w:ascii="Times New Roman" w:hAnsi="Times New Roman" w:cs="Times New Roman"/>
        </w:rPr>
        <w:t>Sonuç</w:t>
      </w:r>
    </w:p>
    <w:p w:rsidR="00FD4450" w:rsidRDefault="00FD4450" w:rsidP="00FD4450">
      <w:pPr>
        <w:rPr>
          <w:rFonts w:ascii="Times New Roman" w:hAnsi="Times New Roman" w:cs="Times New Roman"/>
        </w:rPr>
      </w:pPr>
    </w:p>
    <w:p w:rsidR="00FD4450" w:rsidRDefault="00FD4450" w:rsidP="00FD4450">
      <w:pPr>
        <w:rPr>
          <w:rFonts w:ascii="Times New Roman" w:hAnsi="Times New Roman" w:cs="Times New Roman"/>
        </w:rPr>
      </w:pPr>
      <w:r>
        <w:rPr>
          <w:rFonts w:ascii="Times New Roman" w:hAnsi="Times New Roman" w:cs="Times New Roman"/>
        </w:rPr>
        <w:t>Gelir dağılımı dünya ekonomisi için olduğu kadar Türkiye ekonomisi için de hayati bir meseledir.</w:t>
      </w:r>
      <w:r w:rsidR="001D670A">
        <w:rPr>
          <w:rFonts w:ascii="Times New Roman" w:hAnsi="Times New Roman" w:cs="Times New Roman"/>
        </w:rPr>
        <w:t xml:space="preserve"> Meselenin doğru analizinin yapılması da bilimsel özen ve dikkati gerektirmektedir. En zenginlerin kapsanmadığı anketlerden gelir eşitsizliğinin azaldığı ya da artmadığı yönünde sonuçlar çıkarmak gerçekleri çarpıtmaktır. </w:t>
      </w:r>
    </w:p>
    <w:p w:rsidR="001D670A" w:rsidRDefault="001D670A" w:rsidP="00FD4450">
      <w:pPr>
        <w:rPr>
          <w:rFonts w:ascii="Times New Roman" w:hAnsi="Times New Roman" w:cs="Times New Roman"/>
        </w:rPr>
      </w:pPr>
      <w:r>
        <w:rPr>
          <w:rFonts w:ascii="Times New Roman" w:hAnsi="Times New Roman" w:cs="Times New Roman"/>
        </w:rPr>
        <w:t xml:space="preserve">Türkiye halklarının gelir eşitsizliğine son 12 yılda ne oldu sorusuna doğru ve </w:t>
      </w:r>
      <w:r w:rsidR="00404970">
        <w:rPr>
          <w:rFonts w:ascii="Times New Roman" w:hAnsi="Times New Roman" w:cs="Times New Roman"/>
        </w:rPr>
        <w:t>tatminkâr</w:t>
      </w:r>
      <w:r>
        <w:rPr>
          <w:rFonts w:ascii="Times New Roman" w:hAnsi="Times New Roman" w:cs="Times New Roman"/>
        </w:rPr>
        <w:t xml:space="preserve"> yanıtlar alması sosyal bilimlerle uğraşanlar kadar siyasetçilerin de meselesi olmalıdır.</w:t>
      </w:r>
    </w:p>
    <w:p w:rsidR="001D670A" w:rsidRPr="00FD4450" w:rsidRDefault="001D670A" w:rsidP="00FD4450">
      <w:pPr>
        <w:rPr>
          <w:rFonts w:ascii="Times New Roman" w:hAnsi="Times New Roman" w:cs="Times New Roman"/>
        </w:rPr>
      </w:pPr>
    </w:p>
    <w:p w:rsidR="00FD4450" w:rsidRPr="00FD4450" w:rsidRDefault="00FD4450" w:rsidP="00FD4450">
      <w:pPr>
        <w:rPr>
          <w:rFonts w:ascii="Times New Roman" w:hAnsi="Times New Roman" w:cs="Times New Roman"/>
        </w:rPr>
      </w:pPr>
    </w:p>
    <w:p w:rsidR="004B11C2" w:rsidRPr="004B11C2" w:rsidRDefault="004B11C2" w:rsidP="004B11C2"/>
    <w:p w:rsidR="000811F5" w:rsidRDefault="00091B38" w:rsidP="00091B38">
      <w:pPr>
        <w:pStyle w:val="Heading2"/>
      </w:pPr>
      <w:r>
        <w:t>Kaynaklar</w:t>
      </w:r>
    </w:p>
    <w:p w:rsidR="00091B38" w:rsidRDefault="00636B96" w:rsidP="00091B38">
      <w:pPr>
        <w:rPr>
          <w:rFonts w:ascii="Times New Roman" w:hAnsi="Times New Roman" w:cs="Times New Roman"/>
        </w:rPr>
      </w:pPr>
      <w:proofErr w:type="spellStart"/>
      <w:r>
        <w:rPr>
          <w:rFonts w:ascii="Times New Roman" w:hAnsi="Times New Roman" w:cs="Times New Roman"/>
        </w:rPr>
        <w:t>Lekner</w:t>
      </w:r>
      <w:proofErr w:type="spellEnd"/>
      <w:r>
        <w:rPr>
          <w:rFonts w:ascii="Times New Roman" w:hAnsi="Times New Roman" w:cs="Times New Roman"/>
        </w:rPr>
        <w:t xml:space="preserve">, </w:t>
      </w:r>
      <w:proofErr w:type="spellStart"/>
      <w:r>
        <w:rPr>
          <w:rFonts w:ascii="Times New Roman" w:hAnsi="Times New Roman" w:cs="Times New Roman"/>
        </w:rPr>
        <w:t>Christopher</w:t>
      </w:r>
      <w:proofErr w:type="spellEnd"/>
      <w:r>
        <w:rPr>
          <w:rFonts w:ascii="Times New Roman" w:hAnsi="Times New Roman" w:cs="Times New Roman"/>
        </w:rPr>
        <w:t xml:space="preserve"> ve </w:t>
      </w:r>
      <w:proofErr w:type="spellStart"/>
      <w:r>
        <w:rPr>
          <w:rFonts w:ascii="Times New Roman" w:hAnsi="Times New Roman" w:cs="Times New Roman"/>
        </w:rPr>
        <w:t>Milanovic</w:t>
      </w:r>
      <w:proofErr w:type="spellEnd"/>
      <w:r w:rsidR="00091B38">
        <w:rPr>
          <w:rFonts w:ascii="Times New Roman" w:hAnsi="Times New Roman" w:cs="Times New Roman"/>
        </w:rPr>
        <w:t xml:space="preserve">, </w:t>
      </w:r>
      <w:proofErr w:type="spellStart"/>
      <w:r w:rsidR="00091B38">
        <w:rPr>
          <w:rFonts w:ascii="Times New Roman" w:hAnsi="Times New Roman" w:cs="Times New Roman"/>
        </w:rPr>
        <w:t>Branko</w:t>
      </w:r>
      <w:proofErr w:type="spellEnd"/>
      <w:r w:rsidR="00091B38">
        <w:rPr>
          <w:rFonts w:ascii="Times New Roman" w:hAnsi="Times New Roman" w:cs="Times New Roman"/>
        </w:rPr>
        <w:t xml:space="preserve"> (2013), “Global </w:t>
      </w:r>
      <w:proofErr w:type="spellStart"/>
      <w:r w:rsidR="00091B38">
        <w:rPr>
          <w:rFonts w:ascii="Times New Roman" w:hAnsi="Times New Roman" w:cs="Times New Roman"/>
        </w:rPr>
        <w:t>Income</w:t>
      </w:r>
      <w:proofErr w:type="spellEnd"/>
      <w:r w:rsidR="00091B38">
        <w:rPr>
          <w:rFonts w:ascii="Times New Roman" w:hAnsi="Times New Roman" w:cs="Times New Roman"/>
        </w:rPr>
        <w:t xml:space="preserve"> Distribution: </w:t>
      </w:r>
      <w:proofErr w:type="spellStart"/>
      <w:r w:rsidR="00091B38">
        <w:rPr>
          <w:rFonts w:ascii="Times New Roman" w:hAnsi="Times New Roman" w:cs="Times New Roman"/>
        </w:rPr>
        <w:t>From</w:t>
      </w:r>
      <w:proofErr w:type="spellEnd"/>
      <w:r w:rsidR="00091B38">
        <w:rPr>
          <w:rFonts w:ascii="Times New Roman" w:hAnsi="Times New Roman" w:cs="Times New Roman"/>
        </w:rPr>
        <w:t xml:space="preserve"> </w:t>
      </w:r>
      <w:proofErr w:type="spellStart"/>
      <w:r w:rsidR="00091B38">
        <w:rPr>
          <w:rFonts w:ascii="Times New Roman" w:hAnsi="Times New Roman" w:cs="Times New Roman"/>
        </w:rPr>
        <w:t>the</w:t>
      </w:r>
      <w:proofErr w:type="spellEnd"/>
      <w:r w:rsidR="00091B38">
        <w:rPr>
          <w:rFonts w:ascii="Times New Roman" w:hAnsi="Times New Roman" w:cs="Times New Roman"/>
        </w:rPr>
        <w:t xml:space="preserve"> Fall of Berlin Wall </w:t>
      </w:r>
      <w:proofErr w:type="spellStart"/>
      <w:r w:rsidR="00091B38">
        <w:rPr>
          <w:rFonts w:ascii="Times New Roman" w:hAnsi="Times New Roman" w:cs="Times New Roman"/>
        </w:rPr>
        <w:t>to</w:t>
      </w:r>
      <w:proofErr w:type="spellEnd"/>
      <w:r w:rsidR="00091B38">
        <w:rPr>
          <w:rFonts w:ascii="Times New Roman" w:hAnsi="Times New Roman" w:cs="Times New Roman"/>
        </w:rPr>
        <w:t xml:space="preserve"> </w:t>
      </w:r>
      <w:proofErr w:type="spellStart"/>
      <w:r w:rsidR="00091B38">
        <w:rPr>
          <w:rFonts w:ascii="Times New Roman" w:hAnsi="Times New Roman" w:cs="Times New Roman"/>
        </w:rPr>
        <w:t>the</w:t>
      </w:r>
      <w:proofErr w:type="spellEnd"/>
      <w:r w:rsidR="00091B38">
        <w:rPr>
          <w:rFonts w:ascii="Times New Roman" w:hAnsi="Times New Roman" w:cs="Times New Roman"/>
        </w:rPr>
        <w:t xml:space="preserve"> Great </w:t>
      </w:r>
      <w:proofErr w:type="spellStart"/>
      <w:r w:rsidR="00091B38">
        <w:rPr>
          <w:rFonts w:ascii="Times New Roman" w:hAnsi="Times New Roman" w:cs="Times New Roman"/>
        </w:rPr>
        <w:t>Recession</w:t>
      </w:r>
      <w:proofErr w:type="spellEnd"/>
      <w:r w:rsidR="00091B38">
        <w:rPr>
          <w:rFonts w:ascii="Times New Roman" w:hAnsi="Times New Roman" w:cs="Times New Roman"/>
        </w:rPr>
        <w:t xml:space="preserve">”, World </w:t>
      </w:r>
      <w:proofErr w:type="gramStart"/>
      <w:r w:rsidR="00091B38">
        <w:rPr>
          <w:rFonts w:ascii="Times New Roman" w:hAnsi="Times New Roman" w:cs="Times New Roman"/>
        </w:rPr>
        <w:t xml:space="preserve">Bank  </w:t>
      </w:r>
      <w:proofErr w:type="spellStart"/>
      <w:r w:rsidR="00091B38">
        <w:rPr>
          <w:rFonts w:ascii="Times New Roman" w:hAnsi="Times New Roman" w:cs="Times New Roman"/>
        </w:rPr>
        <w:t>Policy</w:t>
      </w:r>
      <w:proofErr w:type="spellEnd"/>
      <w:proofErr w:type="gramEnd"/>
      <w:r w:rsidR="00091B38">
        <w:rPr>
          <w:rFonts w:ascii="Times New Roman" w:hAnsi="Times New Roman" w:cs="Times New Roman"/>
        </w:rPr>
        <w:t xml:space="preserve"> </w:t>
      </w:r>
      <w:proofErr w:type="spellStart"/>
      <w:r w:rsidR="00091B38">
        <w:rPr>
          <w:rFonts w:ascii="Times New Roman" w:hAnsi="Times New Roman" w:cs="Times New Roman"/>
        </w:rPr>
        <w:t>Research</w:t>
      </w:r>
      <w:proofErr w:type="spellEnd"/>
      <w:r w:rsidR="00091B38">
        <w:rPr>
          <w:rFonts w:ascii="Times New Roman" w:hAnsi="Times New Roman" w:cs="Times New Roman"/>
        </w:rPr>
        <w:t xml:space="preserve"> </w:t>
      </w:r>
      <w:proofErr w:type="spellStart"/>
      <w:r w:rsidR="00091B38">
        <w:rPr>
          <w:rFonts w:ascii="Times New Roman" w:hAnsi="Times New Roman" w:cs="Times New Roman"/>
        </w:rPr>
        <w:t>Working</w:t>
      </w:r>
      <w:proofErr w:type="spellEnd"/>
      <w:r w:rsidR="00091B38">
        <w:rPr>
          <w:rFonts w:ascii="Times New Roman" w:hAnsi="Times New Roman" w:cs="Times New Roman"/>
        </w:rPr>
        <w:t xml:space="preserve"> </w:t>
      </w:r>
      <w:proofErr w:type="spellStart"/>
      <w:r w:rsidR="00091B38">
        <w:rPr>
          <w:rFonts w:ascii="Times New Roman" w:hAnsi="Times New Roman" w:cs="Times New Roman"/>
        </w:rPr>
        <w:t>Paper</w:t>
      </w:r>
      <w:proofErr w:type="spellEnd"/>
      <w:r w:rsidR="00091B38">
        <w:rPr>
          <w:rFonts w:ascii="Times New Roman" w:hAnsi="Times New Roman" w:cs="Times New Roman"/>
        </w:rPr>
        <w:t>, 6719</w:t>
      </w:r>
    </w:p>
    <w:p w:rsidR="00FA3875" w:rsidRPr="00FA3875" w:rsidRDefault="00FA3875" w:rsidP="00091B38">
      <w:pPr>
        <w:rPr>
          <w:rFonts w:ascii="Times New Roman" w:hAnsi="Times New Roman" w:cs="Times New Roman"/>
        </w:rPr>
      </w:pPr>
      <w:proofErr w:type="spellStart"/>
      <w:r w:rsidRPr="00FA3875">
        <w:rPr>
          <w:rFonts w:ascii="Times New Roman" w:hAnsi="Times New Roman" w:cs="Times New Roman"/>
          <w:sz w:val="23"/>
          <w:szCs w:val="23"/>
        </w:rPr>
        <w:t>Banerjee</w:t>
      </w:r>
      <w:proofErr w:type="spellEnd"/>
      <w:r w:rsidRPr="00FA3875">
        <w:rPr>
          <w:rFonts w:ascii="Times New Roman" w:hAnsi="Times New Roman" w:cs="Times New Roman"/>
          <w:sz w:val="23"/>
          <w:szCs w:val="23"/>
        </w:rPr>
        <w:t xml:space="preserve">, A. </w:t>
      </w:r>
      <w:proofErr w:type="spellStart"/>
      <w:r w:rsidRPr="00FA3875">
        <w:rPr>
          <w:rFonts w:ascii="Times New Roman" w:hAnsi="Times New Roman" w:cs="Times New Roman"/>
          <w:sz w:val="23"/>
          <w:szCs w:val="23"/>
        </w:rPr>
        <w:t>and</w:t>
      </w:r>
      <w:proofErr w:type="spellEnd"/>
      <w:r w:rsidRPr="00FA3875">
        <w:rPr>
          <w:rFonts w:ascii="Times New Roman" w:hAnsi="Times New Roman" w:cs="Times New Roman"/>
          <w:sz w:val="23"/>
          <w:szCs w:val="23"/>
        </w:rPr>
        <w:t xml:space="preserve"> T. </w:t>
      </w:r>
      <w:proofErr w:type="spellStart"/>
      <w:r w:rsidRPr="00FA3875">
        <w:rPr>
          <w:rFonts w:ascii="Times New Roman" w:hAnsi="Times New Roman" w:cs="Times New Roman"/>
          <w:sz w:val="23"/>
          <w:szCs w:val="23"/>
        </w:rPr>
        <w:t>Piketty</w:t>
      </w:r>
      <w:proofErr w:type="spellEnd"/>
      <w:r w:rsidRPr="00FA3875">
        <w:rPr>
          <w:rFonts w:ascii="Times New Roman" w:hAnsi="Times New Roman" w:cs="Times New Roman"/>
          <w:sz w:val="23"/>
          <w:szCs w:val="23"/>
        </w:rPr>
        <w:t xml:space="preserve">: 2010, ‘Top </w:t>
      </w:r>
      <w:proofErr w:type="spellStart"/>
      <w:r w:rsidRPr="00FA3875">
        <w:rPr>
          <w:rFonts w:ascii="Times New Roman" w:hAnsi="Times New Roman" w:cs="Times New Roman"/>
          <w:sz w:val="23"/>
          <w:szCs w:val="23"/>
        </w:rPr>
        <w:t>Indian</w:t>
      </w:r>
      <w:proofErr w:type="spellEnd"/>
      <w:r w:rsidRPr="00FA3875">
        <w:rPr>
          <w:rFonts w:ascii="Times New Roman" w:hAnsi="Times New Roman" w:cs="Times New Roman"/>
          <w:sz w:val="23"/>
          <w:szCs w:val="23"/>
        </w:rPr>
        <w:t xml:space="preserve"> </w:t>
      </w:r>
      <w:proofErr w:type="spellStart"/>
      <w:r w:rsidRPr="00FA3875">
        <w:rPr>
          <w:rFonts w:ascii="Times New Roman" w:hAnsi="Times New Roman" w:cs="Times New Roman"/>
          <w:sz w:val="23"/>
          <w:szCs w:val="23"/>
        </w:rPr>
        <w:t>Incomes</w:t>
      </w:r>
      <w:proofErr w:type="spellEnd"/>
      <w:r w:rsidRPr="00FA3875">
        <w:rPr>
          <w:rFonts w:ascii="Times New Roman" w:hAnsi="Times New Roman" w:cs="Times New Roman"/>
          <w:sz w:val="23"/>
          <w:szCs w:val="23"/>
        </w:rPr>
        <w:t xml:space="preserve">, 1922-2000’. </w:t>
      </w:r>
      <w:proofErr w:type="spellStart"/>
      <w:r w:rsidRPr="00FA3875">
        <w:rPr>
          <w:rFonts w:ascii="Times New Roman" w:hAnsi="Times New Roman" w:cs="Times New Roman"/>
          <w:sz w:val="23"/>
          <w:szCs w:val="23"/>
        </w:rPr>
        <w:t>In</w:t>
      </w:r>
      <w:proofErr w:type="spellEnd"/>
      <w:r w:rsidRPr="00FA3875">
        <w:rPr>
          <w:rFonts w:ascii="Times New Roman" w:hAnsi="Times New Roman" w:cs="Times New Roman"/>
          <w:sz w:val="23"/>
          <w:szCs w:val="23"/>
        </w:rPr>
        <w:t xml:space="preserve">: A. B. </w:t>
      </w:r>
      <w:proofErr w:type="spellStart"/>
      <w:r w:rsidRPr="00FA3875">
        <w:rPr>
          <w:rFonts w:ascii="Times New Roman" w:hAnsi="Times New Roman" w:cs="Times New Roman"/>
          <w:sz w:val="23"/>
          <w:szCs w:val="23"/>
        </w:rPr>
        <w:t>Atkinson</w:t>
      </w:r>
      <w:proofErr w:type="spellEnd"/>
      <w:r w:rsidRPr="00FA3875">
        <w:rPr>
          <w:rFonts w:ascii="Times New Roman" w:hAnsi="Times New Roman" w:cs="Times New Roman"/>
          <w:sz w:val="23"/>
          <w:szCs w:val="23"/>
        </w:rPr>
        <w:t xml:space="preserve"> </w:t>
      </w:r>
      <w:proofErr w:type="spellStart"/>
      <w:r w:rsidRPr="00FA3875">
        <w:rPr>
          <w:rFonts w:ascii="Times New Roman" w:hAnsi="Times New Roman" w:cs="Times New Roman"/>
          <w:sz w:val="23"/>
          <w:szCs w:val="23"/>
        </w:rPr>
        <w:t>and</w:t>
      </w:r>
      <w:proofErr w:type="spellEnd"/>
      <w:r w:rsidRPr="00FA3875">
        <w:rPr>
          <w:rFonts w:ascii="Times New Roman" w:hAnsi="Times New Roman" w:cs="Times New Roman"/>
          <w:sz w:val="23"/>
          <w:szCs w:val="23"/>
        </w:rPr>
        <w:t xml:space="preserve"> T. </w:t>
      </w:r>
      <w:proofErr w:type="spellStart"/>
      <w:r w:rsidRPr="00FA3875">
        <w:rPr>
          <w:rFonts w:ascii="Times New Roman" w:hAnsi="Times New Roman" w:cs="Times New Roman"/>
          <w:sz w:val="23"/>
          <w:szCs w:val="23"/>
        </w:rPr>
        <w:t>Piketty</w:t>
      </w:r>
      <w:proofErr w:type="spellEnd"/>
      <w:r w:rsidRPr="00FA3875">
        <w:rPr>
          <w:rFonts w:ascii="Times New Roman" w:hAnsi="Times New Roman" w:cs="Times New Roman"/>
          <w:sz w:val="23"/>
          <w:szCs w:val="23"/>
        </w:rPr>
        <w:t xml:space="preserve"> (</w:t>
      </w:r>
      <w:proofErr w:type="spellStart"/>
      <w:r w:rsidRPr="00FA3875">
        <w:rPr>
          <w:rFonts w:ascii="Times New Roman" w:hAnsi="Times New Roman" w:cs="Times New Roman"/>
          <w:sz w:val="23"/>
          <w:szCs w:val="23"/>
        </w:rPr>
        <w:t>eds</w:t>
      </w:r>
      <w:proofErr w:type="spellEnd"/>
      <w:r w:rsidRPr="00FA3875">
        <w:rPr>
          <w:rFonts w:ascii="Times New Roman" w:hAnsi="Times New Roman" w:cs="Times New Roman"/>
          <w:sz w:val="23"/>
          <w:szCs w:val="23"/>
        </w:rPr>
        <w:t xml:space="preserve">.): </w:t>
      </w:r>
      <w:r w:rsidRPr="00FA3875">
        <w:rPr>
          <w:rFonts w:ascii="Times New Roman" w:hAnsi="Times New Roman" w:cs="Times New Roman"/>
          <w:i/>
          <w:iCs/>
          <w:sz w:val="23"/>
          <w:szCs w:val="23"/>
        </w:rPr>
        <w:t xml:space="preserve">Top </w:t>
      </w:r>
      <w:proofErr w:type="spellStart"/>
      <w:r w:rsidRPr="00FA3875">
        <w:rPr>
          <w:rFonts w:ascii="Times New Roman" w:hAnsi="Times New Roman" w:cs="Times New Roman"/>
          <w:i/>
          <w:iCs/>
          <w:sz w:val="23"/>
          <w:szCs w:val="23"/>
        </w:rPr>
        <w:t>Incomes</w:t>
      </w:r>
      <w:proofErr w:type="spellEnd"/>
      <w:r w:rsidRPr="00FA3875">
        <w:rPr>
          <w:rFonts w:ascii="Times New Roman" w:hAnsi="Times New Roman" w:cs="Times New Roman"/>
          <w:i/>
          <w:iCs/>
          <w:sz w:val="23"/>
          <w:szCs w:val="23"/>
        </w:rPr>
        <w:t xml:space="preserve">: A Global </w:t>
      </w:r>
      <w:proofErr w:type="spellStart"/>
      <w:r w:rsidRPr="00FA3875">
        <w:rPr>
          <w:rFonts w:ascii="Times New Roman" w:hAnsi="Times New Roman" w:cs="Times New Roman"/>
          <w:i/>
          <w:iCs/>
          <w:sz w:val="23"/>
          <w:szCs w:val="23"/>
        </w:rPr>
        <w:t>Perspective</w:t>
      </w:r>
      <w:proofErr w:type="spellEnd"/>
      <w:r w:rsidRPr="00FA3875">
        <w:rPr>
          <w:rFonts w:ascii="Times New Roman" w:hAnsi="Times New Roman" w:cs="Times New Roman"/>
          <w:sz w:val="23"/>
          <w:szCs w:val="23"/>
        </w:rPr>
        <w:t xml:space="preserve">. Oxford </w:t>
      </w:r>
      <w:proofErr w:type="spellStart"/>
      <w:r w:rsidRPr="00FA3875">
        <w:rPr>
          <w:rFonts w:ascii="Times New Roman" w:hAnsi="Times New Roman" w:cs="Times New Roman"/>
          <w:sz w:val="23"/>
          <w:szCs w:val="23"/>
        </w:rPr>
        <w:t>University</w:t>
      </w:r>
      <w:proofErr w:type="spellEnd"/>
      <w:r w:rsidRPr="00FA3875">
        <w:rPr>
          <w:rFonts w:ascii="Times New Roman" w:hAnsi="Times New Roman" w:cs="Times New Roman"/>
          <w:sz w:val="23"/>
          <w:szCs w:val="23"/>
        </w:rPr>
        <w:t xml:space="preserve"> </w:t>
      </w:r>
      <w:proofErr w:type="spellStart"/>
      <w:r w:rsidRPr="00FA3875">
        <w:rPr>
          <w:rFonts w:ascii="Times New Roman" w:hAnsi="Times New Roman" w:cs="Times New Roman"/>
          <w:sz w:val="23"/>
          <w:szCs w:val="23"/>
        </w:rPr>
        <w:t>Press</w:t>
      </w:r>
      <w:proofErr w:type="spellEnd"/>
      <w:r w:rsidRPr="00FA3875">
        <w:rPr>
          <w:rFonts w:ascii="Times New Roman" w:hAnsi="Times New Roman" w:cs="Times New Roman"/>
          <w:sz w:val="23"/>
          <w:szCs w:val="23"/>
        </w:rPr>
        <w:t>.</w:t>
      </w:r>
    </w:p>
    <w:p w:rsidR="00FA3875" w:rsidRDefault="00FA3875" w:rsidP="00091B38">
      <w:pPr>
        <w:rPr>
          <w:rFonts w:ascii="Times New Roman" w:hAnsi="Times New Roman" w:cs="Times New Roman"/>
        </w:rPr>
      </w:pPr>
      <w:proofErr w:type="spellStart"/>
      <w:r>
        <w:rPr>
          <w:rFonts w:ascii="Times New Roman" w:hAnsi="Times New Roman" w:cs="Times New Roman"/>
        </w:rPr>
        <w:t>Vermuelen</w:t>
      </w:r>
      <w:proofErr w:type="spellEnd"/>
      <w:r>
        <w:rPr>
          <w:rFonts w:ascii="Times New Roman" w:hAnsi="Times New Roman" w:cs="Times New Roman"/>
        </w:rPr>
        <w:t xml:space="preserve">, Philip (2014), “How </w:t>
      </w:r>
      <w:proofErr w:type="spellStart"/>
      <w:r>
        <w:rPr>
          <w:rFonts w:ascii="Times New Roman" w:hAnsi="Times New Roman" w:cs="Times New Roman"/>
        </w:rPr>
        <w:t>fat</w:t>
      </w:r>
      <w:proofErr w:type="spellEnd"/>
      <w:r>
        <w:rPr>
          <w:rFonts w:ascii="Times New Roman" w:hAnsi="Times New Roman" w:cs="Times New Roman"/>
        </w:rPr>
        <w:t xml:space="preserve"> is </w:t>
      </w:r>
      <w:proofErr w:type="spellStart"/>
      <w:r>
        <w:rPr>
          <w:rFonts w:ascii="Times New Roman" w:hAnsi="Times New Roman" w:cs="Times New Roman"/>
        </w:rPr>
        <w:t>the</w:t>
      </w:r>
      <w:proofErr w:type="spellEnd"/>
      <w:r>
        <w:rPr>
          <w:rFonts w:ascii="Times New Roman" w:hAnsi="Times New Roman" w:cs="Times New Roman"/>
        </w:rPr>
        <w:t xml:space="preserve"> top </w:t>
      </w:r>
      <w:proofErr w:type="spellStart"/>
      <w:r>
        <w:rPr>
          <w:rFonts w:ascii="Times New Roman" w:hAnsi="Times New Roman" w:cs="Times New Roman"/>
        </w:rPr>
        <w:t>tail</w:t>
      </w:r>
      <w:proofErr w:type="spellEnd"/>
      <w:r>
        <w:rPr>
          <w:rFonts w:ascii="Times New Roman" w:hAnsi="Times New Roman" w:cs="Times New Roman"/>
        </w:rPr>
        <w:t xml:space="preserve"> of </w:t>
      </w:r>
      <w:proofErr w:type="spellStart"/>
      <w:r>
        <w:rPr>
          <w:rFonts w:ascii="Times New Roman" w:hAnsi="Times New Roman" w:cs="Times New Roman"/>
        </w:rPr>
        <w:t>wealth</w:t>
      </w:r>
      <w:proofErr w:type="spellEnd"/>
      <w:r>
        <w:rPr>
          <w:rFonts w:ascii="Times New Roman" w:hAnsi="Times New Roman" w:cs="Times New Roman"/>
        </w:rPr>
        <w:t xml:space="preserve"> </w:t>
      </w:r>
      <w:proofErr w:type="spellStart"/>
      <w:r>
        <w:rPr>
          <w:rFonts w:ascii="Times New Roman" w:hAnsi="Times New Roman" w:cs="Times New Roman"/>
        </w:rPr>
        <w:t>distribution</w:t>
      </w:r>
      <w:proofErr w:type="spellEnd"/>
      <w:r>
        <w:rPr>
          <w:rFonts w:ascii="Times New Roman" w:hAnsi="Times New Roman" w:cs="Times New Roman"/>
        </w:rPr>
        <w:t xml:space="preserve">?”,  </w:t>
      </w:r>
      <w:proofErr w:type="spellStart"/>
      <w:r>
        <w:rPr>
          <w:rFonts w:ascii="Times New Roman" w:hAnsi="Times New Roman" w:cs="Times New Roman"/>
        </w:rPr>
        <w:t>European</w:t>
      </w:r>
      <w:proofErr w:type="spellEnd"/>
      <w:r>
        <w:rPr>
          <w:rFonts w:ascii="Times New Roman" w:hAnsi="Times New Roman" w:cs="Times New Roman"/>
        </w:rPr>
        <w:t xml:space="preserve"> Central Bank </w:t>
      </w:r>
      <w:proofErr w:type="spellStart"/>
      <w:proofErr w:type="gramStart"/>
      <w:r>
        <w:rPr>
          <w:rFonts w:ascii="Times New Roman" w:hAnsi="Times New Roman" w:cs="Times New Roman"/>
        </w:rPr>
        <w:t>Working</w:t>
      </w:r>
      <w:proofErr w:type="spellEnd"/>
      <w:r>
        <w:rPr>
          <w:rFonts w:ascii="Times New Roman" w:hAnsi="Times New Roman" w:cs="Times New Roman"/>
        </w:rPr>
        <w:t xml:space="preserve">  </w:t>
      </w:r>
      <w:proofErr w:type="spellStart"/>
      <w:r>
        <w:rPr>
          <w:rFonts w:ascii="Times New Roman" w:hAnsi="Times New Roman" w:cs="Times New Roman"/>
        </w:rPr>
        <w:t>Paper</w:t>
      </w:r>
      <w:proofErr w:type="spellEnd"/>
      <w:proofErr w:type="gramEnd"/>
      <w:r>
        <w:rPr>
          <w:rFonts w:ascii="Times New Roman" w:hAnsi="Times New Roman" w:cs="Times New Roman"/>
        </w:rPr>
        <w:t xml:space="preserve"> No. 1692</w:t>
      </w:r>
    </w:p>
    <w:p w:rsidR="00091B38" w:rsidRPr="00091B38" w:rsidRDefault="00091B38" w:rsidP="00091B38">
      <w:pPr>
        <w:rPr>
          <w:rFonts w:ascii="Times New Roman" w:hAnsi="Times New Roman" w:cs="Times New Roman"/>
        </w:rPr>
      </w:pPr>
    </w:p>
    <w:sectPr w:rsidR="00091B38" w:rsidRPr="00091B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19C" w:rsidRDefault="00D1119C" w:rsidP="00636B96">
      <w:pPr>
        <w:spacing w:after="0" w:line="240" w:lineRule="auto"/>
      </w:pPr>
      <w:r>
        <w:separator/>
      </w:r>
    </w:p>
  </w:endnote>
  <w:endnote w:type="continuationSeparator" w:id="0">
    <w:p w:rsidR="00D1119C" w:rsidRDefault="00D1119C" w:rsidP="0063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19C" w:rsidRDefault="00D1119C" w:rsidP="00636B96">
      <w:pPr>
        <w:spacing w:after="0" w:line="240" w:lineRule="auto"/>
      </w:pPr>
      <w:r>
        <w:separator/>
      </w:r>
    </w:p>
  </w:footnote>
  <w:footnote w:type="continuationSeparator" w:id="0">
    <w:p w:rsidR="00D1119C" w:rsidRDefault="00D1119C" w:rsidP="00636B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D54"/>
    <w:rsid w:val="00007815"/>
    <w:rsid w:val="000811F5"/>
    <w:rsid w:val="00091B38"/>
    <w:rsid w:val="001D670A"/>
    <w:rsid w:val="001F1DF5"/>
    <w:rsid w:val="002330E7"/>
    <w:rsid w:val="002D3F8C"/>
    <w:rsid w:val="002F5E99"/>
    <w:rsid w:val="003F6A4C"/>
    <w:rsid w:val="00401F9E"/>
    <w:rsid w:val="00404970"/>
    <w:rsid w:val="00411263"/>
    <w:rsid w:val="00461BDD"/>
    <w:rsid w:val="004B11C2"/>
    <w:rsid w:val="006049D0"/>
    <w:rsid w:val="00636B96"/>
    <w:rsid w:val="006F1D54"/>
    <w:rsid w:val="00751890"/>
    <w:rsid w:val="007C6AE2"/>
    <w:rsid w:val="008F17C9"/>
    <w:rsid w:val="008F3E5A"/>
    <w:rsid w:val="00A06A48"/>
    <w:rsid w:val="00A173AE"/>
    <w:rsid w:val="00A77E4E"/>
    <w:rsid w:val="00A90744"/>
    <w:rsid w:val="00AD0FD7"/>
    <w:rsid w:val="00C86BC6"/>
    <w:rsid w:val="00D1119C"/>
    <w:rsid w:val="00D80728"/>
    <w:rsid w:val="00DD14C3"/>
    <w:rsid w:val="00DE19A7"/>
    <w:rsid w:val="00EE5684"/>
    <w:rsid w:val="00F342B3"/>
    <w:rsid w:val="00F46982"/>
    <w:rsid w:val="00F839EB"/>
    <w:rsid w:val="00F85DCD"/>
    <w:rsid w:val="00FA3875"/>
    <w:rsid w:val="00FD445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91B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1D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91B38"/>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636B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6B96"/>
    <w:rPr>
      <w:sz w:val="20"/>
      <w:szCs w:val="20"/>
    </w:rPr>
  </w:style>
  <w:style w:type="character" w:styleId="EndnoteReference">
    <w:name w:val="endnote reference"/>
    <w:basedOn w:val="DefaultParagraphFont"/>
    <w:uiPriority w:val="99"/>
    <w:semiHidden/>
    <w:unhideWhenUsed/>
    <w:rsid w:val="00636B96"/>
    <w:rPr>
      <w:vertAlign w:val="superscript"/>
    </w:rPr>
  </w:style>
  <w:style w:type="paragraph" w:styleId="BalloonText">
    <w:name w:val="Balloon Text"/>
    <w:basedOn w:val="Normal"/>
    <w:link w:val="BalloonTextChar"/>
    <w:uiPriority w:val="99"/>
    <w:semiHidden/>
    <w:unhideWhenUsed/>
    <w:rsid w:val="008F1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7C9"/>
    <w:rPr>
      <w:rFonts w:ascii="Tahoma" w:hAnsi="Tahoma" w:cs="Tahoma"/>
      <w:sz w:val="16"/>
      <w:szCs w:val="16"/>
    </w:rPr>
  </w:style>
  <w:style w:type="character" w:customStyle="1" w:styleId="Heading3Char">
    <w:name w:val="Heading 3 Char"/>
    <w:basedOn w:val="DefaultParagraphFont"/>
    <w:link w:val="Heading3"/>
    <w:uiPriority w:val="9"/>
    <w:rsid w:val="001F1DF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5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890"/>
    <w:rPr>
      <w:rFonts w:ascii="Courier New" w:eastAsia="Times New Roman" w:hAnsi="Courier New" w:cs="Courier New"/>
      <w:sz w:val="20"/>
      <w:szCs w:val="20"/>
    </w:rPr>
  </w:style>
  <w:style w:type="character" w:customStyle="1" w:styleId="gcg52b5bgfb">
    <w:name w:val="gcg52b5bgfb"/>
    <w:basedOn w:val="DefaultParagraphFont"/>
    <w:rsid w:val="00751890"/>
  </w:style>
  <w:style w:type="character" w:customStyle="1" w:styleId="gcg52b5bgeb">
    <w:name w:val="gcg52b5bgeb"/>
    <w:basedOn w:val="DefaultParagraphFont"/>
    <w:rsid w:val="00751890"/>
  </w:style>
  <w:style w:type="character" w:styleId="PlaceholderText">
    <w:name w:val="Placeholder Text"/>
    <w:basedOn w:val="DefaultParagraphFont"/>
    <w:uiPriority w:val="99"/>
    <w:semiHidden/>
    <w:rsid w:val="002330E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91B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1D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91B38"/>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636B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6B96"/>
    <w:rPr>
      <w:sz w:val="20"/>
      <w:szCs w:val="20"/>
    </w:rPr>
  </w:style>
  <w:style w:type="character" w:styleId="EndnoteReference">
    <w:name w:val="endnote reference"/>
    <w:basedOn w:val="DefaultParagraphFont"/>
    <w:uiPriority w:val="99"/>
    <w:semiHidden/>
    <w:unhideWhenUsed/>
    <w:rsid w:val="00636B96"/>
    <w:rPr>
      <w:vertAlign w:val="superscript"/>
    </w:rPr>
  </w:style>
  <w:style w:type="paragraph" w:styleId="BalloonText">
    <w:name w:val="Balloon Text"/>
    <w:basedOn w:val="Normal"/>
    <w:link w:val="BalloonTextChar"/>
    <w:uiPriority w:val="99"/>
    <w:semiHidden/>
    <w:unhideWhenUsed/>
    <w:rsid w:val="008F1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7C9"/>
    <w:rPr>
      <w:rFonts w:ascii="Tahoma" w:hAnsi="Tahoma" w:cs="Tahoma"/>
      <w:sz w:val="16"/>
      <w:szCs w:val="16"/>
    </w:rPr>
  </w:style>
  <w:style w:type="character" w:customStyle="1" w:styleId="Heading3Char">
    <w:name w:val="Heading 3 Char"/>
    <w:basedOn w:val="DefaultParagraphFont"/>
    <w:link w:val="Heading3"/>
    <w:uiPriority w:val="9"/>
    <w:rsid w:val="001F1DF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5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890"/>
    <w:rPr>
      <w:rFonts w:ascii="Courier New" w:eastAsia="Times New Roman" w:hAnsi="Courier New" w:cs="Courier New"/>
      <w:sz w:val="20"/>
      <w:szCs w:val="20"/>
    </w:rPr>
  </w:style>
  <w:style w:type="character" w:customStyle="1" w:styleId="gcg52b5bgfb">
    <w:name w:val="gcg52b5bgfb"/>
    <w:basedOn w:val="DefaultParagraphFont"/>
    <w:rsid w:val="00751890"/>
  </w:style>
  <w:style w:type="character" w:customStyle="1" w:styleId="gcg52b5bgeb">
    <w:name w:val="gcg52b5bgeb"/>
    <w:basedOn w:val="DefaultParagraphFont"/>
    <w:rsid w:val="00751890"/>
  </w:style>
  <w:style w:type="character" w:styleId="PlaceholderText">
    <w:name w:val="Placeholder Text"/>
    <w:basedOn w:val="DefaultParagraphFont"/>
    <w:uiPriority w:val="99"/>
    <w:semiHidden/>
    <w:rsid w:val="002330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07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5001F-DB4A-4B36-BF44-D121D30F5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Alper Duman</dc:creator>
  <cp:lastModifiedBy>Alper Duman</cp:lastModifiedBy>
  <cp:revision>2</cp:revision>
  <dcterms:created xsi:type="dcterms:W3CDTF">2015-05-10T06:59:00Z</dcterms:created>
  <dcterms:modified xsi:type="dcterms:W3CDTF">2015-05-10T06:59:00Z</dcterms:modified>
</cp:coreProperties>
</file>