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usiness-case-appraisalcopilot"/>
    <w:p>
      <w:pPr>
        <w:pStyle w:val="Heading1"/>
      </w:pPr>
      <w:r>
        <w:t xml:space="preserve">Business Case: AppraisalCopilot</w:t>
      </w:r>
    </w:p>
    <w:p>
      <w:pPr>
        <w:pStyle w:val="FirstParagraph"/>
      </w:pPr>
      <w:r>
        <w:t xml:space="preserve">The use of GenAI within Commercial Real Estate Appraisals presents an immense opportunity. Currently, appraisers spend 60-80% of their time on unbillable data gathering, reading municipal documents, and writing repetitive neighborhood summary narratives.</w:t>
      </w:r>
    </w:p>
    <w:bookmarkStart w:id="9" w:name="the-core-value-proposition"/>
    <w:p>
      <w:pPr>
        <w:pStyle w:val="Heading2"/>
      </w:pPr>
      <w:r>
        <w:t xml:space="preserve">The Core Value Proposition</w:t>
      </w:r>
    </w:p>
    <w:p>
      <w:pPr>
        <w:pStyle w:val="FirstParagraph"/>
      </w:pPr>
      <w:r>
        <w:t xml:space="preserve">A standard commercial appraisal is a 100+ page narrative document defending a property’s value to a bank. Appraisers typically charge between $2,000 and $5,000+ per report, but the work is tedious. If a software solution can reduce a 2-week appraisal process into a 2-day process, appraisal firms will easily justify paying a premium monthly subscription ($500 - $1,000+ per seat).</w:t>
      </w:r>
    </w:p>
    <w:bookmarkEnd w:id="9"/>
    <w:bookmarkStart w:id="14" w:name="specific-ai-interventions"/>
    <w:p>
      <w:pPr>
        <w:pStyle w:val="Heading2"/>
      </w:pPr>
      <w:r>
        <w:t xml:space="preserve">Specific AI Interventions</w:t>
      </w:r>
    </w:p>
    <w:bookmarkStart w:id="10" w:name="market-neighborhood-analysis-rag"/>
    <w:p>
      <w:pPr>
        <w:pStyle w:val="Heading3"/>
      </w:pPr>
      <w:r>
        <w:t xml:space="preserve">1. Market &amp; Neighborhood Analysis (RAG)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Writing the</w:t>
      </w:r>
      <w:r>
        <w:t xml:space="preserve"> </w:t>
      </w:r>
      <w:r>
        <w:t xml:space="preserve">“Neighborhood &amp; Market Analysis”</w:t>
      </w:r>
      <w:r>
        <w:t xml:space="preserve"> </w:t>
      </w:r>
      <w:r>
        <w:t xml:space="preserve">section takes hours. Appraisers must Google local demographics, traffic counts, and economic drivers for specific submarkets.</w:t>
      </w:r>
      <w:r>
        <w:t xml:space="preserve"> </w:t>
      </w:r>
      <w:r>
        <w:rPr>
          <w:b/>
          <w:bCs/>
        </w:rPr>
        <w:t xml:space="preserve">The Solution:</w:t>
      </w:r>
      <w:r>
        <w:t xml:space="preserve"> </w:t>
      </w:r>
      <w:r>
        <w:t xml:space="preserve">A Retrieval-Augmented Generation (RAG) engine that automatically ingests the local city’s Master Plan PDFs, zoning codes, and census data to write highly factual, customized market analyses.</w:t>
      </w:r>
    </w:p>
    <w:bookmarkEnd w:id="10"/>
    <w:bookmarkStart w:id="11" w:name="standardizing-rent-rolls-react"/>
    <w:p>
      <w:pPr>
        <w:pStyle w:val="Heading3"/>
      </w:pPr>
      <w:r>
        <w:t xml:space="preserve">2. Standardizing Rent Rolls (ReAct)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Property managers provide chaotic Excel or PDF</w:t>
      </w:r>
      <w:r>
        <w:t xml:space="preserve"> </w:t>
      </w:r>
      <w:r>
        <w:t xml:space="preserve">“Rent Rolls.”</w:t>
      </w:r>
      <w:r>
        <w:t xml:space="preserve"> </w:t>
      </w:r>
      <w:r>
        <w:t xml:space="preserve">Appraisers manually standardize this data (e.g., extracting</w:t>
      </w:r>
      <w:r>
        <w:t xml:space="preserve"> </w:t>
      </w:r>
      <w:r>
        <w:t xml:space="preserve">“NNN”</w:t>
      </w:r>
      <w:r>
        <w:t xml:space="preserve"> </w:t>
      </w:r>
      <w:r>
        <w:t xml:space="preserve">vs</w:t>
      </w:r>
      <w:r>
        <w:t xml:space="preserve"> </w:t>
      </w:r>
      <w:r>
        <w:t xml:space="preserve">“Gross”</w:t>
      </w:r>
      <w:r>
        <w:t xml:space="preserve"> </w:t>
      </w:r>
      <w:r>
        <w:t xml:space="preserve">lease terms) to calculate Net Operating Income (NOI).</w:t>
      </w:r>
      <w:r>
        <w:t xml:space="preserve"> </w:t>
      </w:r>
      <w:r>
        <w:rPr>
          <w:b/>
          <w:bCs/>
        </w:rPr>
        <w:t xml:space="preserve">The Solution:</w:t>
      </w:r>
      <w:r>
        <w:t xml:space="preserve"> </w:t>
      </w:r>
      <w:r>
        <w:t xml:space="preserve">An autonomous ReAct agent equipped with a Python interpreter and a database lookup tool to extract lease structures, normalize the rent roll, and calculate preliminary cash flow.</w:t>
      </w:r>
    </w:p>
    <w:bookmarkEnd w:id="11"/>
    <w:bookmarkStart w:id="12" w:name="defending-the-valuation-to-auditors-cot"/>
    <w:p>
      <w:pPr>
        <w:pStyle w:val="Heading3"/>
      </w:pPr>
      <w:r>
        <w:t xml:space="preserve">3. Defending the Valuation to Auditors (CoT)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Appraisers must mathematically and logically defend how they derived a property’s value from 3 comparable leases.</w:t>
      </w:r>
      <w:r>
        <w:t xml:space="preserve"> </w:t>
      </w:r>
      <w:r>
        <w:rPr>
          <w:b/>
          <w:bCs/>
        </w:rPr>
        <w:t xml:space="preserve">The Solution:</w:t>
      </w:r>
      <w:r>
        <w:t xml:space="preserve"> </w:t>
      </w:r>
      <w:r>
        <w:t xml:space="preserve">Using Chain-of-Thought (CoT) prompting to force the AI to transparently show its math step-by-step (e.g., applying specific dollar adjustments based on the subject property’s office buildout vs. a comparable). This satisfies strict bank underwriters.</w:t>
      </w:r>
    </w:p>
    <w:bookmarkEnd w:id="12"/>
    <w:bookmarkStart w:id="13" w:name="ensuring-uspap-compliance-dsp"/>
    <w:p>
      <w:pPr>
        <w:pStyle w:val="Heading3"/>
      </w:pPr>
      <w:r>
        <w:t xml:space="preserve">4. Ensuring USPAP Compliance (DSP)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The Federal government strictly regulates appraisals via the Uniform Standards of Professional Appraisal Practice (USPAP). Appraisers can lose their license if required disclaimers are missing.</w:t>
      </w:r>
      <w:r>
        <w:t xml:space="preserve"> </w:t>
      </w:r>
      <w:r>
        <w:rPr>
          <w:b/>
          <w:bCs/>
        </w:rPr>
        <w:t xml:space="preserve">The Solution:</w:t>
      </w:r>
      <w:r>
        <w:t xml:space="preserve"> </w:t>
      </w:r>
      <w:r>
        <w:t xml:space="preserve">Directional Stimulus Prompting (DSP) layers acting as an aggressive, invisible editor to enforce required terminology. Whenever a speculative assumption is made, the DSP ensures the mandatory</w:t>
      </w:r>
      <w:r>
        <w:t xml:space="preserve"> </w:t>
      </w:r>
      <w:r>
        <w:t xml:space="preserve">“Extraordinary Assumption”</w:t>
      </w:r>
      <w:r>
        <w:t xml:space="preserve"> </w:t>
      </w:r>
      <w:r>
        <w:t xml:space="preserve">legal disclaimer is automatically attached.</w:t>
      </w:r>
    </w:p>
    <w:bookmarkEnd w:id="13"/>
    <w:bookmarkEnd w:id="14"/>
    <w:bookmarkStart w:id="15" w:name="go-to-market-mvp-strategy"/>
    <w:p>
      <w:pPr>
        <w:pStyle w:val="Heading2"/>
      </w:pPr>
      <w:r>
        <w:t xml:space="preserve">Go-To-Market (MVP) Strategy</w:t>
      </w:r>
    </w:p>
    <w:p>
      <w:pPr>
        <w:pStyle w:val="FirstParagraph"/>
      </w:pPr>
      <w:r>
        <w:t xml:space="preserve">Because the full 100-page generator is a massive engineering effort, the MVP strategy focuses solely on</w:t>
      </w:r>
      <w:r>
        <w:t xml:space="preserve"> </w:t>
      </w:r>
      <w:r>
        <w:rPr>
          <w:b/>
          <w:bCs/>
        </w:rPr>
        <w:t xml:space="preserve">“Zoning &amp; Demographics Automation.”</w:t>
      </w:r>
      <w:r>
        <w:t xml:space="preserve"> </w:t>
      </w:r>
      <w:r>
        <w:t xml:space="preserve">By deploying a simple Kubernetes (GKE) frontend where an appraiser enters a property address and uploads a city’s zoning PDF, the AI can instantly write the required Zoning Compliance section. This solves a 2-hour pain point in 60 seconds and serves as an ideal wedge into independent appraisal firms.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2026-03-07T20:59:02Z</dcterms:created>
  <dcterms:modified xsi:type="dcterms:W3CDTF">2026-03-07T20:59:02Z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