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urity-compliance-posture"/>
    <w:p>
      <w:pPr>
        <w:pStyle w:val="Heading1"/>
      </w:pPr>
      <w:r>
        <w:t xml:space="preserve">Security &amp; Compliance Posture</w:t>
      </w:r>
    </w:p>
    <w:p>
      <w:pPr>
        <w:pStyle w:val="FirstParagraph"/>
      </w:pPr>
      <w:r>
        <w:t xml:space="preserve">For enterprise appraisal firms and banking clients, data security and regulatory compliance are non-negotiable.</w:t>
      </w:r>
      <w:r>
        <w:t xml:space="preserve"> </w:t>
      </w:r>
      <w:r>
        <w:rPr>
          <w:b/>
          <w:bCs/>
        </w:rPr>
        <w:t xml:space="preserve">AppraisalCopilot</w:t>
      </w:r>
      <w:r>
        <w:t xml:space="preserve"> </w:t>
      </w:r>
      <w:r>
        <w:t xml:space="preserve">is architected on Google Cloud Platform (GCP) to immediately inherit enterprise-grade security controls and meet strict compliance frameworks, including SOC 2.</w:t>
      </w:r>
    </w:p>
    <w:bookmarkStart w:id="9" w:name="soc-2-compliance"/>
    <w:p>
      <w:pPr>
        <w:pStyle w:val="Heading2"/>
      </w:pPr>
      <w:r>
        <w:t xml:space="preserve">1. SOC 2 Compliance</w:t>
      </w:r>
    </w:p>
    <w:p>
      <w:pPr>
        <w:pStyle w:val="FirstParagraph"/>
      </w:pPr>
      <w:r>
        <w:t xml:space="preserve">AppraisalCopilot’s infrastructure is built to support a Systems and Organization Controls (SOC) 2 Type II audit.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Underlying Infrastructure:</w:t>
      </w:r>
      <w:r>
        <w:t xml:space="preserve"> </w:t>
      </w:r>
      <w:r>
        <w:t xml:space="preserve">The application is hosted on Google Kubernetes Engine (GKE). GCP undergoes regular independent third-party audits and maintains</w:t>
      </w:r>
      <w:r>
        <w:t xml:space="preserve"> </w:t>
      </w:r>
      <w:r>
        <w:rPr>
          <w:b/>
          <w:bCs/>
        </w:rPr>
        <w:t xml:space="preserve">SOC 1, SOC 2, and SOC 3</w:t>
      </w:r>
      <w:r>
        <w:t xml:space="preserve"> </w:t>
      </w:r>
      <w:r>
        <w:t xml:space="preserve">certifications.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Principles:</w:t>
      </w:r>
      <w:r>
        <w:t xml:space="preserve"> </w:t>
      </w:r>
      <w:r>
        <w:t xml:space="preserve">We practice the Principle of Least Privilege. Access between the backend services and the LLM/databases is tightly controlled using GKE Workload Identity and strict Google Cloud IAM roles.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Auditing &amp; Logging:</w:t>
      </w:r>
      <w:r>
        <w:t xml:space="preserve"> </w:t>
      </w:r>
      <w:r>
        <w:t xml:space="preserve">All API requests and infrastructure changes can be logged and monitored via Google Cloud Logging and Cloud Audit Logs, ensuring full traceability required for SOC 2 compliance.</w:t>
      </w:r>
    </w:p>
    <w:bookmarkEnd w:id="9"/>
    <w:bookmarkStart w:id="10" w:name="llm-data-privacy-vertex-ai-vs.-openai"/>
    <w:p>
      <w:pPr>
        <w:pStyle w:val="Heading2"/>
      </w:pPr>
      <w:r>
        <w:t xml:space="preserve">2. LLM Data Privacy (Vertex AI vs. OpenAI)</w:t>
      </w:r>
    </w:p>
    <w:p>
      <w:pPr>
        <w:pStyle w:val="FirstParagraph"/>
      </w:pPr>
      <w:r>
        <w:t xml:space="preserve">A major concern for appraisal firms is data leakage (e.g., uploading a physical rent roll and having an AI train on that confidential data).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Model Training:</w:t>
      </w:r>
      <w:r>
        <w:t xml:space="preserve"> </w:t>
      </w:r>
      <w:r>
        <w:t xml:space="preserve">By utilizing Google’s</w:t>
      </w:r>
      <w:r>
        <w:t xml:space="preserve"> </w:t>
      </w:r>
      <w:r>
        <w:rPr>
          <w:b/>
          <w:bCs/>
        </w:rPr>
        <w:t xml:space="preserve">Vertex AI</w:t>
      </w:r>
      <w:r>
        <w:t xml:space="preserve"> </w:t>
      </w:r>
      <w:r>
        <w:t xml:space="preserve">for our Gemini models (rather than consumer-grade web interfaces), we are protected by Google Cloud’s enterprise terms of service.</w:t>
      </w:r>
      <w:r>
        <w:t xml:space="preserve"> </w:t>
      </w:r>
      <w:r>
        <w:rPr>
          <w:b/>
          <w:bCs/>
        </w:rPr>
        <w:t xml:space="preserve">Customer data, prompts, and uploaded documents are NEVER used to train Google’s foundation models.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Tenant Isolation:</w:t>
      </w:r>
      <w:r>
        <w:t xml:space="preserve"> </w:t>
      </w:r>
      <w:r>
        <w:t xml:space="preserve">Your data remains strictly within your GCP project boundary.</w:t>
      </w:r>
    </w:p>
    <w:bookmarkEnd w:id="10"/>
    <w:bookmarkStart w:id="11" w:name="data-protection-encryption"/>
    <w:p>
      <w:pPr>
        <w:pStyle w:val="Heading2"/>
      </w:pPr>
      <w:r>
        <w:t xml:space="preserve">3. Data Protection (Encryption)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Transit:</w:t>
      </w:r>
      <w:r>
        <w:t xml:space="preserve"> </w:t>
      </w:r>
      <w:r>
        <w:t xml:space="preserve">All communications between the user’s browser, the React frontend, and the FastAPI backend are secured using TLS/HTTPS.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 Rest:</w:t>
      </w:r>
      <w:r>
        <w:t xml:space="preserve"> </w:t>
      </w:r>
      <w:r>
        <w:t xml:space="preserve">All data stored within Google Cloud (including the FAISS Vector Database volumes, Cloud SQL, and Cloud Storage buckets) is</w:t>
      </w:r>
      <w:r>
        <w:t xml:space="preserve"> </w:t>
      </w:r>
      <w:r>
        <w:rPr>
          <w:b/>
          <w:bCs/>
        </w:rPr>
        <w:t xml:space="preserve">encrypted at rest by default</w:t>
      </w:r>
      <w:r>
        <w:t xml:space="preserve"> </w:t>
      </w:r>
      <w:r>
        <w:t xml:space="preserve">using AES-256 encryption.</w:t>
      </w:r>
    </w:p>
    <w:bookmarkEnd w:id="11"/>
    <w:bookmarkStart w:id="12" w:name="regulatory-compliance-uspap"/>
    <w:p>
      <w:pPr>
        <w:pStyle w:val="Heading2"/>
      </w:pPr>
      <w:r>
        <w:t xml:space="preserve">4. Regulatory Compliance: USPAP</w:t>
      </w:r>
    </w:p>
    <w:p>
      <w:pPr>
        <w:pStyle w:val="FirstParagraph"/>
      </w:pPr>
      <w:r>
        <w:t xml:space="preserve">Beyond technical security, the system must comply with the appraisal industry’s legal framework: the Uniform Standards of Professional Appraisal Practice (USPAP).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Directional Stimulus Prompting (DSP):</w:t>
      </w:r>
      <w:r>
        <w:t xml:space="preserve"> </w:t>
      </w:r>
      <w:r>
        <w:t xml:space="preserve">Our AI orchestration layer acts as a strict compliance editor. The system is prompted to categorically avoid speculative language (</w:t>
      </w:r>
      <w:r>
        <w:t xml:space="preserve">“guess”</w:t>
      </w:r>
      <w:r>
        <w:t xml:space="preserve">,</w:t>
      </w:r>
      <w:r>
        <w:t xml:space="preserve"> </w:t>
      </w:r>
      <w:r>
        <w:t xml:space="preserve">“estimate”</w:t>
      </w:r>
      <w:r>
        <w:t xml:space="preserve">) and rigidly enforce the inclusion of mandatory legal disclaimers (e.g.,</w:t>
      </w:r>
      <w:r>
        <w:t xml:space="preserve"> </w:t>
      </w:r>
      <w:r>
        <w:rPr>
          <w:i/>
          <w:iCs/>
        </w:rPr>
        <w:t xml:space="preserve">Extraordinary Assumptions</w:t>
      </w:r>
      <w:r>
        <w:t xml:space="preserve">) when missing data is encountered.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Verifiable Citations:</w:t>
      </w:r>
      <w:r>
        <w:t xml:space="preserve"> </w:t>
      </w:r>
      <w:r>
        <w:t xml:space="preserve">The Dual-Pane UI eliminates</w:t>
      </w:r>
      <w:r>
        <w:t xml:space="preserve"> </w:t>
      </w:r>
      <w:r>
        <w:t xml:space="preserve">“hallucinations”</w:t>
      </w:r>
      <w:r>
        <w:t xml:space="preserve"> </w:t>
      </w:r>
      <w:r>
        <w:t xml:space="preserve">by forcing the AI to highlight the exact source document, page, and text chunk it used to generate the narrative, easily satisfying bank auditor review requirements.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2026-03-07T20:59:02Z</dcterms:created>
  <dcterms:modified xsi:type="dcterms:W3CDTF">2026-03-07T20:59:02Z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