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f9d5f514b4d088235c8b02427e36161e7e4ba67"/>
    <w:p>
      <w:pPr>
        <w:pStyle w:val="Heading1"/>
      </w:pPr>
      <w:r>
        <w:t xml:space="preserve">AppraisalCopilot: The AI Advantage for MAI Appraisers</w:t>
      </w:r>
    </w:p>
    <w:p>
      <w:pPr>
        <w:pStyle w:val="BlockText"/>
      </w:pPr>
      <w:r>
        <w:rPr>
          <w:i/>
          <w:iCs/>
        </w:rPr>
        <w:t xml:space="preserve">To: Independent Commercial Real Estate Appraisals Firms &amp; Directors</w:t>
      </w:r>
    </w:p>
    <w:p>
      <w:r>
        <w:pict>
          <v:rect style="width:0;height:1.5pt" o:hralign="center" o:hrstd="t" o:hr="t"/>
        </w:pict>
      </w:r>
    </w:p>
    <w:bookmarkStart w:id="9" w:name="the-bottleneck"/>
    <w:p>
      <w:pPr>
        <w:pStyle w:val="Heading2"/>
      </w:pPr>
      <w:r>
        <w:t xml:space="preserve">The Bottleneck</w:t>
      </w:r>
    </w:p>
    <w:p>
      <w:pPr>
        <w:pStyle w:val="FirstParagraph"/>
      </w:pPr>
      <w:r>
        <w:t xml:space="preserve">You are an expert in valuation, not data entry. Yet, you and your senior appraisers likely spend</w:t>
      </w:r>
      <w:r>
        <w:t xml:space="preserve"> </w:t>
      </w:r>
      <w:r>
        <w:rPr>
          <w:b/>
          <w:bCs/>
        </w:rPr>
        <w:t xml:space="preserve">60% to 80% of your billable hours</w:t>
      </w:r>
      <w:r>
        <w:t xml:space="preserve"> </w:t>
      </w:r>
      <w:r>
        <w:t xml:space="preserve">doing the exact same manual, tedious tasks for every 100-page report:</w:t>
      </w:r>
    </w:p>
    <w:p>
      <w:pPr>
        <w:pStyle w:val="Compact"/>
        <w:numPr>
          <w:ilvl w:val="0"/>
          <w:numId w:val="1001"/>
        </w:numPr>
      </w:pPr>
      <w:r>
        <w:t xml:space="preserve">Digging through 500-page municipal PDFs to find specific parking minimums for a new submarket.</w:t>
      </w:r>
    </w:p>
    <w:p>
      <w:pPr>
        <w:pStyle w:val="Compact"/>
        <w:numPr>
          <w:ilvl w:val="0"/>
          <w:numId w:val="1001"/>
        </w:numPr>
      </w:pPr>
      <w:r>
        <w:t xml:space="preserve">Googling local traffic counts and census demographics to copy-paste into the</w:t>
      </w:r>
      <w:r>
        <w:t xml:space="preserve"> </w:t>
      </w:r>
      <w:r>
        <w:t xml:space="preserve">“Neighborhood Analysis”</w:t>
      </w:r>
      <w:r>
        <w:t xml:space="preserve"> </w:t>
      </w:r>
      <w:r>
        <w:t xml:space="preserve">section.</w:t>
      </w:r>
    </w:p>
    <w:p>
      <w:pPr>
        <w:pStyle w:val="Compact"/>
        <w:numPr>
          <w:ilvl w:val="0"/>
          <w:numId w:val="1001"/>
        </w:numPr>
      </w:pPr>
      <w:r>
        <w:t xml:space="preserve">Standardizing messy, disorganized rent rolls from property managers just to calculate a baseline NOI.</w:t>
      </w:r>
    </w:p>
    <w:p>
      <w:pPr>
        <w:pStyle w:val="FirstParagraph"/>
      </w:pPr>
      <w:r>
        <w:t xml:space="preserve">You charge $3,000 to $5,000 per commercial report. But because of the manual research required, a single report takes weeks to write. Your revenue is fundamentally capped by the speed of human reading and typing.</w:t>
      </w:r>
    </w:p>
    <w:p>
      <w:r>
        <w:pict>
          <v:rect style="width:0;height:1.5pt" o:hralign="center" o:hrstd="t" o:hr="t"/>
        </w:pict>
      </w:r>
    </w:p>
    <w:bookmarkEnd w:id="9"/>
    <w:bookmarkStart w:id="10" w:name="the-solution-appraisalcopilot"/>
    <w:p>
      <w:pPr>
        <w:pStyle w:val="Heading2"/>
      </w:pPr>
      <w:r>
        <w:t xml:space="preserve">The Solution: AppraisalCopilot</w:t>
      </w:r>
    </w:p>
    <w:p>
      <w:pPr>
        <w:pStyle w:val="FirstParagraph"/>
      </w:pPr>
      <w:r>
        <w:t xml:space="preserve">AppraisalCopilot is an enterprise-grade AI assistant built exclusively for the Commercial Real Estate Appraisal workflow. It doesn’t replace the appraiser’s judgment—it automates the tedious research and narrative generation that slows you down, allowing you to focus purely on the valuation mathematics.</w:t>
      </w:r>
    </w:p>
    <w:p>
      <w:pPr>
        <w:pStyle w:val="BodyText"/>
      </w:pPr>
      <w:r>
        <w:rPr>
          <w:b/>
          <w:bCs/>
        </w:rPr>
        <w:t xml:space="preserve">Here is what the Copilot can do for you today:</w:t>
      </w:r>
    </w:p>
    <w:p>
      <w:pPr>
        <w:pStyle w:val="Compact"/>
        <w:numPr>
          <w:ilvl w:val="0"/>
          <w:numId w:val="1002"/>
        </w:numPr>
      </w:pPr>
      <w:r>
        <w:rPr>
          <w:b/>
          <w:bCs/>
        </w:rPr>
        <w:t xml:space="preserve">Instant Zoning Analysis (Live MVP):</w:t>
      </w:r>
      <w:r>
        <w:t xml:space="preserve"> </w:t>
      </w:r>
      <w:r>
        <w:t xml:space="preserve">Stop reading municipal codes. Just upload a city’s Master Plan PDF into our secure system, type in the property address, and select the property type. AppraisalCopilot will instantly generate a formal, USPAP-compliant</w:t>
      </w:r>
      <w:r>
        <w:t xml:space="preserve"> </w:t>
      </w:r>
      <w:r>
        <w:t xml:space="preserve">“Zoning Compliance”</w:t>
      </w:r>
      <w:r>
        <w:t xml:space="preserve"> </w:t>
      </w:r>
      <w:r>
        <w:t xml:space="preserve">narrative.</w:t>
      </w:r>
    </w:p>
    <w:p>
      <w:pPr>
        <w:pStyle w:val="Compact"/>
        <w:numPr>
          <w:ilvl w:val="0"/>
          <w:numId w:val="1002"/>
        </w:numPr>
      </w:pPr>
      <w:r>
        <w:rPr>
          <w:b/>
          <w:bCs/>
        </w:rPr>
        <w:t xml:space="preserve">Zero Hallucinations, 100% Verifiable:</w:t>
      </w:r>
      <w:r>
        <w:t xml:space="preserve"> </w:t>
      </w:r>
      <w:r>
        <w:t xml:space="preserve">Bank auditors demand precision. That is why our</w:t>
      </w:r>
      <w:r>
        <w:t xml:space="preserve"> </w:t>
      </w:r>
      <w:r>
        <w:rPr>
          <w:b/>
          <w:bCs/>
        </w:rPr>
        <w:t xml:space="preserve">Dual-Pane AI Citations UI</w:t>
      </w:r>
      <w:r>
        <w:t xml:space="preserve"> </w:t>
      </w:r>
      <w:r>
        <w:t xml:space="preserve">doesn’t just give you a generated narrative—it provides the</w:t>
      </w:r>
      <w:r>
        <w:t xml:space="preserve"> </w:t>
      </w:r>
      <w:r>
        <w:rPr>
          <w:i/>
          <w:iCs/>
        </w:rPr>
        <w:t xml:space="preserve">exact text snippets</w:t>
      </w:r>
      <w:r>
        <w:t xml:space="preserve"> </w:t>
      </w:r>
      <w:r>
        <w:t xml:space="preserve">and</w:t>
      </w:r>
      <w:r>
        <w:t xml:space="preserve"> </w:t>
      </w:r>
      <w:r>
        <w:rPr>
          <w:i/>
          <w:iCs/>
        </w:rPr>
        <w:t xml:space="preserve">page numbers</w:t>
      </w:r>
      <w:r>
        <w:t xml:space="preserve"> </w:t>
      </w:r>
      <w:r>
        <w:t xml:space="preserve">from the uploaded PDF that the AI used to write it. You review the source material side-by-side with the output.</w:t>
      </w:r>
    </w:p>
    <w:p>
      <w:r>
        <w:pict>
          <v:rect style="width:0;height:1.5pt" o:hralign="center" o:hrstd="t" o:hr="t"/>
        </w:pict>
      </w:r>
    </w:p>
    <w:bookmarkEnd w:id="10"/>
    <w:bookmarkStart w:id="11" w:name="security-enterprise-compliance"/>
    <w:p>
      <w:pPr>
        <w:pStyle w:val="Heading2"/>
      </w:pPr>
      <w:r>
        <w:t xml:space="preserve">Security &amp; Enterprise Compliance</w:t>
      </w:r>
    </w:p>
    <w:p>
      <w:pPr>
        <w:pStyle w:val="FirstParagraph"/>
      </w:pPr>
      <w:r>
        <w:t xml:space="preserve">Because your application handles highly confidential real estate data (rent rolls, valuations, banking data), passing security vendor reviews and proving compliance is absolutely critical. We’ve built AppraisalCopilot to be enterprise-ready from day one:</w:t>
      </w:r>
    </w:p>
    <w:p>
      <w:pPr>
        <w:pStyle w:val="Compact"/>
        <w:numPr>
          <w:ilvl w:val="0"/>
          <w:numId w:val="1003"/>
        </w:numPr>
      </w:pPr>
      <w:r>
        <w:rPr>
          <w:b/>
          <w:bCs/>
        </w:rPr>
        <w:t xml:space="preserve">SOC 2 Foundation:</w:t>
      </w:r>
      <w:r>
        <w:t xml:space="preserve"> </w:t>
      </w:r>
      <w:r>
        <w:t xml:space="preserve">Deployed on Google Cloud’s enterprise infrastructure, inheriting SOC 2 Type II compliance out-of-the-box. We use tight IAM permissions and audit logging to ensure your tenant data remains completely securely separated.</w:t>
      </w:r>
    </w:p>
    <w:p>
      <w:pPr>
        <w:pStyle w:val="Compact"/>
        <w:numPr>
          <w:ilvl w:val="0"/>
          <w:numId w:val="1003"/>
        </w:numPr>
      </w:pPr>
      <w:r>
        <w:rPr>
          <w:b/>
          <w:bCs/>
        </w:rPr>
        <w:t xml:space="preserve">Encrypted at Rest:</w:t>
      </w:r>
      <w:r>
        <w:t xml:space="preserve"> </w:t>
      </w:r>
      <w:r>
        <w:t xml:space="preserve">Both the uploaded municipal PDFs and the semantic embeddings inside our vector database are automatically encrypted with AES-256 encryption.</w:t>
      </w:r>
    </w:p>
    <w:p>
      <w:pPr>
        <w:pStyle w:val="Compact"/>
        <w:numPr>
          <w:ilvl w:val="0"/>
          <w:numId w:val="1003"/>
        </w:numPr>
      </w:pPr>
      <w:r>
        <w:rPr>
          <w:b/>
          <w:bCs/>
        </w:rPr>
        <w:t xml:space="preserve">Your Data Stays Yours:</w:t>
      </w:r>
      <w:r>
        <w:t xml:space="preserve"> </w:t>
      </w:r>
      <w:r>
        <w:t xml:space="preserve">By utilizing enterprise-grade Google Vertex AI instead of consumer web interfaces, we guarantee that your confidential appraisal data and uploaded zoning PDFs are</w:t>
      </w:r>
      <w:r>
        <w:t xml:space="preserve"> </w:t>
      </w:r>
      <w:r>
        <w:rPr>
          <w:b/>
          <w:bCs/>
        </w:rPr>
        <w:t xml:space="preserve">NEVER used to train Google’s foundation models.</w:t>
      </w:r>
    </w:p>
    <w:p>
      <w:pPr>
        <w:pStyle w:val="Compact"/>
        <w:numPr>
          <w:ilvl w:val="0"/>
          <w:numId w:val="1003"/>
        </w:numPr>
      </w:pPr>
      <w:r>
        <w:rPr>
          <w:b/>
          <w:bCs/>
        </w:rPr>
        <w:t xml:space="preserve">USPAP Regulatory Compliance:</w:t>
      </w:r>
      <w:r>
        <w:t xml:space="preserve"> </w:t>
      </w:r>
      <w:r>
        <w:t xml:space="preserve">Our AI employs strict</w:t>
      </w:r>
      <w:r>
        <w:t xml:space="preserve"> </w:t>
      </w:r>
      <w:r>
        <w:rPr>
          <w:i/>
          <w:iCs/>
        </w:rPr>
        <w:t xml:space="preserve">Directional Stimulus Prompting</w:t>
      </w:r>
      <w:r>
        <w:t xml:space="preserve"> </w:t>
      </w:r>
      <w:r>
        <w:t xml:space="preserve">to ensure the generated narratives adhere to USPAP. It categorically avoids speculative language and reliably enforces mandatory</w:t>
      </w:r>
      <w:r>
        <w:t xml:space="preserve"> </w:t>
      </w:r>
      <w:r>
        <w:rPr>
          <w:i/>
          <w:iCs/>
        </w:rPr>
        <w:t xml:space="preserve">Extraordinary Assumption</w:t>
      </w:r>
      <w:r>
        <w:t xml:space="preserve"> </w:t>
      </w:r>
      <w:r>
        <w:t xml:space="preserve">disclaimers.</w:t>
      </w:r>
    </w:p>
    <w:p>
      <w:r>
        <w:pict>
          <v:rect style="width:0;height:1.5pt" o:hralign="center" o:hrstd="t" o:hr="t"/>
        </w:pict>
      </w:r>
    </w:p>
    <w:bookmarkEnd w:id="11"/>
    <w:bookmarkStart w:id="12" w:name="the-roi"/>
    <w:p>
      <w:pPr>
        <w:pStyle w:val="Heading2"/>
      </w:pPr>
      <w:r>
        <w:t xml:space="preserve">The ROI</w:t>
      </w:r>
    </w:p>
    <w:p>
      <w:pPr>
        <w:pStyle w:val="FirstParagraph"/>
      </w:pPr>
      <w:r>
        <w:t xml:space="preserve">By deploying AppraisalCopilot, you can turn a</w:t>
      </w:r>
      <w:r>
        <w:t xml:space="preserve"> </w:t>
      </w:r>
      <w:r>
        <w:rPr>
          <w:b/>
          <w:bCs/>
        </w:rPr>
        <w:t xml:space="preserve">two-week appraisal process into a two-day process.</w:t>
      </w:r>
    </w:p>
    <w:p>
      <w:pPr>
        <w:pStyle w:val="BodyText"/>
      </w:pPr>
      <w:r>
        <w:t xml:space="preserve">If you can increase your output from 4 commercial reports a month to 15 reports a month without increasing headcount or sacrificing quality, the impact on your firm’s bottom line is transformative.</w:t>
      </w:r>
    </w:p>
    <w:bookmarkEnd w:id="12"/>
    <w:bookmarkStart w:id="14" w:name="ready-to-see-the-future-of-appraising"/>
    <w:p>
      <w:pPr>
        <w:pStyle w:val="Heading2"/>
      </w:pPr>
      <w:r>
        <w:t xml:space="preserve">Ready to see the future of appraising?</w:t>
      </w:r>
    </w:p>
    <w:p>
      <w:pPr>
        <w:pStyle w:val="FirstParagraph"/>
      </w:pPr>
      <w:hyperlink r:id="rId13">
        <w:r>
          <w:rPr>
            <w:rStyle w:val="Hyperlink"/>
            <w:b/>
            <w:bCs/>
          </w:rPr>
          <w:t xml:space="preserve">Click here to try the live AppraisalCopilot Demo</w:t>
        </w:r>
      </w:hyperlink>
      <w:r>
        <w:t xml:space="preserve"> </w:t>
      </w:r>
      <w:r>
        <w:rPr>
          <w:i/>
          <w:iCs/>
        </w:rPr>
        <w:t xml:space="preserve">Upload a zoning code, enter an address, and watch hours of reading disappear in 10 seconds.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136.115.66.196" TargetMode="External" /></Relationships>
</file>

<file path=word/_rels/footnotes.xml.rels><?xml version="1.0" encoding="UTF-8"?><Relationships xmlns="http://schemas.openxmlformats.org/package/2006/relationships"><Relationship Type="http://schemas.openxmlformats.org/officeDocument/2006/relationships/hyperlink" Id="rId13" Target="http://136.115.66.1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2026-03-07T20:59:02Z</dcterms:created>
  <dcterms:modified xsi:type="dcterms:W3CDTF">2026-03-07T20:59:02Z</dcterms:modified>
</cp:coreProperties>
</file>

<file path=docProps/custom.xml><?xml version="1.0" encoding="utf-8"?>
<Properties xmlns="http://schemas.openxmlformats.org/officeDocument/2006/custom-properties" xmlns:vt="http://schemas.openxmlformats.org/officeDocument/2006/docPropsVTypes"/>
</file>