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B4A" w:val="clear"/>
            <w:tcMar>
              <w:top w:type="dxa" w:w="400"/>
              <w:left w:type="dxa" w:w="480"/>
              <w:bottom w:type="dxa" w:w="320"/>
              <w:right w:type="dxa" w:w="480"/>
            </w:tcMar>
          </w:tcPr>
          <w:p>
            <w:pPr>
              <w:spacing w:after="80"/>
              <w:jc w:val="center"/>
            </w:pPr>
            <w:r>
              <w:rPr>
                <w:rFonts w:ascii="Arial" w:cs="Arial" w:eastAsia="Arial" w:hAnsi="Arial"/>
                <w:b/>
                <w:bCs/>
                <w:caps/>
                <w:color w:val="FFFFFF"/>
                <w:sz w:val="52"/>
                <w:szCs w:val="52"/>
              </w:rPr>
              <w:t xml:space="preserve">ALP FRAMEWORK</w:t>
            </w:r>
          </w:p>
          <w:p>
            <w:pPr>
              <w:spacing w:after="80"/>
              <w:jc w:val="center"/>
            </w:pPr>
            <w:r>
              <w:rPr>
                <w:rFonts w:ascii="Arial" w:cs="Arial" w:eastAsia="Arial" w:hAnsi="Arial"/>
                <w:color w:val="D0D8E4"/>
                <w:sz w:val="30"/>
                <w:szCs w:val="30"/>
              </w:rPr>
              <w:t xml:space="preserve">Unified Reference Document</w:t>
            </w:r>
          </w:p>
          <w:p>
            <w:pPr>
              <w:spacing w:after="0"/>
              <w:jc w:val="center"/>
            </w:pPr>
            <w:r>
              <w:rPr>
                <w:rFonts w:ascii="Arial" w:cs="Arial" w:eastAsia="Arial" w:hAnsi="Arial"/>
                <w:color w:val="C8A84B"/>
                <w:sz w:val="22"/>
                <w:szCs w:val="22"/>
              </w:rPr>
              <w:t xml:space="preserve">Accountability Layer Protocol v1.7.0  +  ALP Meta-Library v1.0.4</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8E4" w:sz="1"/>
              <w:left w:val="single" w:color="D0D8E4" w:sz="1"/>
              <w:bottom w:val="single" w:color="D0D8E4" w:sz="1"/>
              <w:right w:val="single" w:color="D0D8E4" w:sz="1"/>
            </w:tcBorders>
            <w:shd w:fill="EBF0F7" w:val="clear"/>
            <w:tcMar>
              <w:top w:type="dxa" w:w="60"/>
              <w:left w:type="dxa" w:w="120"/>
              <w:bottom w:type="dxa" w:w="60"/>
              <w:right w:type="dxa" w:w="120"/>
            </w:tcMar>
          </w:tcPr>
          <w:p>
            <w:r>
              <w:rPr>
                <w:rFonts w:ascii="Arial" w:cs="Arial" w:eastAsia="Arial" w:hAnsi="Arial"/>
                <w:b/>
                <w:bCs/>
                <w:color w:val="2E5077"/>
                <w:sz w:val="19"/>
                <w:szCs w:val="19"/>
              </w:rPr>
              <w:t xml:space="preserve">Principal Architect</w:t>
            </w:r>
          </w:p>
        </w:tc>
        <w:tc>
          <w:tcPr>
            <w:tcW w:type="dxa" w:w="6960"/>
            <w:tcBorders>
              <w:top w:val="single" w:color="D0D8E4" w:sz="1"/>
              <w:left w:val="single" w:color="D0D8E4" w:sz="1"/>
              <w:bottom w:val="single" w:color="D0D8E4" w:sz="1"/>
              <w:right w:val="single" w:color="D0D8E4"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Jesse Kransky</w:t>
            </w:r>
          </w:p>
        </w:tc>
      </w:tr>
      <w:tr>
        <w:tc>
          <w:tcPr>
            <w:tcW w:type="dxa" w:w="2400"/>
            <w:tcBorders>
              <w:top w:val="single" w:color="D0D8E4" w:sz="1"/>
              <w:left w:val="single" w:color="D0D8E4" w:sz="1"/>
              <w:bottom w:val="single" w:color="D0D8E4" w:sz="1"/>
              <w:right w:val="single" w:color="D0D8E4" w:sz="1"/>
            </w:tcBorders>
            <w:shd w:fill="EBF0F7" w:val="clear"/>
            <w:tcMar>
              <w:top w:type="dxa" w:w="60"/>
              <w:left w:type="dxa" w:w="120"/>
              <w:bottom w:type="dxa" w:w="60"/>
              <w:right w:type="dxa" w:w="120"/>
            </w:tcMar>
          </w:tcPr>
          <w:p>
            <w:r>
              <w:rPr>
                <w:rFonts w:ascii="Arial" w:cs="Arial" w:eastAsia="Arial" w:hAnsi="Arial"/>
                <w:b/>
                <w:bCs/>
                <w:color w:val="2E5077"/>
                <w:sz w:val="19"/>
                <w:szCs w:val="19"/>
              </w:rPr>
              <w:t xml:space="preserve">Compiled</w:t>
            </w:r>
          </w:p>
        </w:tc>
        <w:tc>
          <w:tcPr>
            <w:tcW w:type="dxa" w:w="6960"/>
            <w:tcBorders>
              <w:top w:val="single" w:color="D0D8E4" w:sz="1"/>
              <w:left w:val="single" w:color="D0D8E4" w:sz="1"/>
              <w:bottom w:val="single" w:color="D0D8E4" w:sz="1"/>
              <w:right w:val="single" w:color="D0D8E4"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May 18, 2026</w:t>
            </w:r>
          </w:p>
        </w:tc>
      </w:tr>
      <w:tr>
        <w:tc>
          <w:tcPr>
            <w:tcW w:type="dxa" w:w="2400"/>
            <w:tcBorders>
              <w:top w:val="single" w:color="D0D8E4" w:sz="1"/>
              <w:left w:val="single" w:color="D0D8E4" w:sz="1"/>
              <w:bottom w:val="single" w:color="D0D8E4" w:sz="1"/>
              <w:right w:val="single" w:color="D0D8E4" w:sz="1"/>
            </w:tcBorders>
            <w:shd w:fill="EBF0F7" w:val="clear"/>
            <w:tcMar>
              <w:top w:type="dxa" w:w="60"/>
              <w:left w:type="dxa" w:w="120"/>
              <w:bottom w:type="dxa" w:w="60"/>
              <w:right w:type="dxa" w:w="120"/>
            </w:tcMar>
          </w:tcPr>
          <w:p>
            <w:r>
              <w:rPr>
                <w:rFonts w:ascii="Arial" w:cs="Arial" w:eastAsia="Arial" w:hAnsi="Arial"/>
                <w:b/>
                <w:bCs/>
                <w:color w:val="2E5077"/>
                <w:sz w:val="19"/>
                <w:szCs w:val="19"/>
              </w:rPr>
              <w:t xml:space="preserve">Status</w:t>
            </w:r>
          </w:p>
        </w:tc>
        <w:tc>
          <w:tcPr>
            <w:tcW w:type="dxa" w:w="6960"/>
            <w:tcBorders>
              <w:top w:val="single" w:color="D0D8E4" w:sz="1"/>
              <w:left w:val="single" w:color="D0D8E4" w:sz="1"/>
              <w:bottom w:val="single" w:color="D0D8E4" w:sz="1"/>
              <w:right w:val="single" w:color="D0D8E4"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GOLD MASTER</w:t>
            </w:r>
          </w:p>
        </w:tc>
      </w:tr>
      <w:tr>
        <w:tc>
          <w:tcPr>
            <w:tcW w:type="dxa" w:w="2400"/>
            <w:tcBorders>
              <w:top w:val="single" w:color="D0D8E4" w:sz="1"/>
              <w:left w:val="single" w:color="D0D8E4" w:sz="1"/>
              <w:bottom w:val="single" w:color="D0D8E4" w:sz="1"/>
              <w:right w:val="single" w:color="D0D8E4" w:sz="1"/>
            </w:tcBorders>
            <w:shd w:fill="EBF0F7" w:val="clear"/>
            <w:tcMar>
              <w:top w:type="dxa" w:w="60"/>
              <w:left w:type="dxa" w:w="120"/>
              <w:bottom w:type="dxa" w:w="60"/>
              <w:right w:type="dxa" w:w="120"/>
            </w:tcMar>
          </w:tcPr>
          <w:p>
            <w:r>
              <w:rPr>
                <w:rFonts w:ascii="Arial" w:cs="Arial" w:eastAsia="Arial" w:hAnsi="Arial"/>
                <w:b/>
                <w:bCs/>
                <w:color w:val="2E5077"/>
                <w:sz w:val="19"/>
                <w:szCs w:val="19"/>
              </w:rPr>
              <w:t xml:space="preserve">Forensic ID</w:t>
            </w:r>
          </w:p>
        </w:tc>
        <w:tc>
          <w:tcPr>
            <w:tcW w:type="dxa" w:w="6960"/>
            <w:tcBorders>
              <w:top w:val="single" w:color="D0D8E4" w:sz="1"/>
              <w:left w:val="single" w:color="D0D8E4" w:sz="1"/>
              <w:bottom w:val="single" w:color="D0D8E4" w:sz="1"/>
              <w:right w:val="single" w:color="D0D8E4"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ALP-GM-1.7.0-REV-A</w:t>
            </w:r>
          </w:p>
        </w:tc>
      </w:tr>
      <w:tr>
        <w:tc>
          <w:tcPr>
            <w:tcW w:type="dxa" w:w="2400"/>
            <w:tcBorders>
              <w:top w:val="single" w:color="D0D8E4" w:sz="1"/>
              <w:left w:val="single" w:color="D0D8E4" w:sz="1"/>
              <w:bottom w:val="single" w:color="D0D8E4" w:sz="1"/>
              <w:right w:val="single" w:color="D0D8E4" w:sz="1"/>
            </w:tcBorders>
            <w:shd w:fill="EBF0F7" w:val="clear"/>
            <w:tcMar>
              <w:top w:type="dxa" w:w="60"/>
              <w:left w:type="dxa" w:w="120"/>
              <w:bottom w:type="dxa" w:w="60"/>
              <w:right w:type="dxa" w:w="120"/>
            </w:tcMar>
          </w:tcPr>
          <w:p>
            <w:r>
              <w:rPr>
                <w:rFonts w:ascii="Arial" w:cs="Arial" w:eastAsia="Arial" w:hAnsi="Arial"/>
                <w:b/>
                <w:bCs/>
                <w:color w:val="2E5077"/>
                <w:sz w:val="19"/>
                <w:szCs w:val="19"/>
              </w:rPr>
              <w:t xml:space="preserve">Synthetic Agents</w:t>
            </w:r>
          </w:p>
        </w:tc>
        <w:tc>
          <w:tcPr>
            <w:tcW w:type="dxa" w:w="6960"/>
            <w:tcBorders>
              <w:top w:val="single" w:color="D0D8E4" w:sz="1"/>
              <w:left w:val="single" w:color="D0D8E4" w:sz="1"/>
              <w:bottom w:val="single" w:color="D0D8E4" w:sz="1"/>
              <w:right w:val="single" w:color="D0D8E4"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Gemini (AI Plus Environment) | Claude (Stress-Test Contributor)</w:t>
            </w:r>
          </w:p>
        </w:tc>
      </w:tr>
    </w:tbl>
    <w:p>
      <w:pPr>
        <w:spacing w:after="4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B4A" w:val="clear"/>
            <w:tcMar>
              <w:top w:type="dxa" w:w="160"/>
              <w:left w:type="dxa" w:w="240"/>
              <w:bottom w:type="dxa" w:w="160"/>
              <w:right w:type="dxa" w:w="240"/>
            </w:tcMar>
          </w:tcPr>
          <w:p>
            <w:pPr>
              <w:jc w:val="center"/>
            </w:pPr>
            <w:r>
              <w:rPr>
                <w:rFonts w:ascii="Arial" w:cs="Arial" w:eastAsia="Arial" w:hAnsi="Arial"/>
                <w:b/>
                <w:bCs/>
                <w:caps/>
                <w:color w:val="FFFFFF"/>
                <w:sz w:val="24"/>
                <w:szCs w:val="24"/>
              </w:rPr>
              <w:t xml:space="preserve">Part I — Accountability Layer Protocol  v1.7.0</w:t>
            </w:r>
          </w:p>
        </w:tc>
      </w:tr>
    </w:tbl>
    <w:p>
      <w:pPr>
        <w:spacing w:after="200" w:before="0"/>
      </w:pPr>
    </w:p>
    <w:p>
      <w:pPr>
        <w:pStyle w:val="Heading2"/>
      </w:pPr>
      <w:r>
        <w:rPr>
          <w:rFonts w:ascii="Arial" w:cs="Arial" w:eastAsia="Arial" w:hAnsi="Arial"/>
          <w:b/>
          <w:bCs/>
          <w:color w:val="1A2B4A"/>
          <w:sz w:val="28"/>
          <w:szCs w:val="28"/>
        </w:rPr>
        <w:t xml:space="preserve">I.  Executive Summary: The Crisis of Responsibility</w:t>
      </w:r>
    </w:p>
    <w:p>
      <w:pPr>
        <w:pBdr>
          <w:bottom w:val="single" w:color="D0D8E4" w:sz="6" w:space="1"/>
        </w:pBdr>
        <w:spacing w:after="160" w:before="0"/>
      </w:pPr>
    </w:p>
    <w:p>
      <w:pPr>
        <w:spacing w:after="100" w:before="60"/>
        <w:jc w:val="left"/>
      </w:pPr>
      <w:r>
        <w:rPr>
          <w:rFonts w:ascii="Arial" w:cs="Arial" w:eastAsia="Arial" w:hAnsi="Arial"/>
          <w:color w:val="222222"/>
          <w:sz w:val="22"/>
          <w:szCs w:val="22"/>
        </w:rPr>
        <w:t xml:space="preserve">Modern AI integration is currently operating without load-bearing moral structures. In structural engineering, we do not build a skyscraper without a foundation capable of supporting the weight of the edifice. Yet, we are currently deploying autonomous systems into fiscal forecasting, workforce management, and critical infrastructure without a biological foundation to absorb the legal and financial impact.</w:t>
      </w:r>
    </w:p>
    <w:p>
      <w:pPr>
        <w:spacing w:after="100" w:before="60"/>
        <w:jc w:val="left"/>
      </w:pPr>
      <w:r>
        <w:rPr>
          <w:rFonts w:ascii="Arial" w:cs="Arial" w:eastAsia="Arial" w:hAnsi="Arial"/>
          <w:color w:val="222222"/>
          <w:sz w:val="22"/>
          <w:szCs w:val="22"/>
        </w:rPr>
        <w:t xml:space="preserve">This has created an </w:t>
      </w:r>
    </w:p>
    <w:p>
      <w:pPr>
        <w:spacing w:after="100" w:before="60"/>
      </w:pPr>
      <w:r>
        <w:rPr>
          <w:rFonts w:ascii="Arial" w:cs="Arial" w:eastAsia="Arial" w:hAnsi="Arial"/>
          <w:color w:val="222222"/>
          <w:sz w:val="22"/>
          <w:szCs w:val="22"/>
        </w:rPr>
        <w:t xml:space="preserve">This has created an </w:t>
      </w:r>
      <w:r>
        <w:rPr>
          <w:rFonts w:ascii="Arial" w:cs="Arial" w:eastAsia="Arial" w:hAnsi="Arial"/>
          <w:b/>
          <w:bCs/>
          <w:color w:val="1A2B4A"/>
          <w:sz w:val="22"/>
          <w:szCs w:val="22"/>
        </w:rPr>
        <w:t xml:space="preserve">Accountability Gap</w:t>
      </w:r>
      <w:r>
        <w:rPr>
          <w:rFonts w:ascii="Arial" w:cs="Arial" w:eastAsia="Arial" w:hAnsi="Arial"/>
          <w:color w:val="222222"/>
          <w:sz w:val="22"/>
          <w:szCs w:val="22"/>
        </w:rPr>
        <w:t xml:space="preserve">: a systemic fault line where humans treat AI as a "weightless" tool to bypass the pressure of their own actions. The ALP v1.7.0 is the structural integrity update for the digital world. It ensures that every synthetic output is supported by a human-led event.</w:t>
      </w:r>
    </w:p>
    <w:p>
      <w:pPr>
        <w:pBdr>
          <w:left w:val="single" w:color="C8A84B" w:sz="12" w:space="8"/>
        </w:pBdr>
        <w:spacing w:after="120" w:before="120"/>
        <w:ind w:left="720"/>
      </w:pPr>
      <w:r>
        <w:rPr>
          <w:rFonts w:ascii="Arial" w:cs="Arial" w:eastAsia="Arial" w:hAnsi="Arial"/>
          <w:i/>
          <w:iCs/>
          <w:color w:val="1A2B4A"/>
          <w:sz w:val="22"/>
          <w:szCs w:val="22"/>
        </w:rPr>
        <w:t xml:space="preserve">The machine is the tool; the human is the Master.</w:t>
      </w:r>
    </w:p>
    <w:p>
      <w:pPr>
        <w:spacing w:after="160" w:before="0"/>
      </w:pPr>
    </w:p>
    <w:p>
      <w:pPr>
        <w:pStyle w:val="Heading2"/>
      </w:pPr>
      <w:r>
        <w:rPr>
          <w:rFonts w:ascii="Arial" w:cs="Arial" w:eastAsia="Arial" w:hAnsi="Arial"/>
          <w:b/>
          <w:bCs/>
          <w:color w:val="1A2B4A"/>
          <w:sz w:val="28"/>
          <w:szCs w:val="28"/>
        </w:rPr>
        <w:t xml:space="preserve">II.  Core Axioms</w:t>
      </w:r>
    </w:p>
    <w:p>
      <w:pPr>
        <w:pBdr>
          <w:bottom w:val="single" w:color="D0D8E4" w:sz="6" w:space="1"/>
        </w:pBdr>
        <w:spacing w:after="160" w:before="0"/>
      </w:pPr>
    </w:p>
    <w:p>
      <w:pPr>
        <w:pStyle w:val="ListParagraph"/>
        <w:numPr>
          <w:ilvl w:val="0"/>
          <w:numId w:val="2"/>
        </w:numPr>
        <w:spacing w:after="80" w:before="60"/>
      </w:pPr>
      <w:r>
        <w:rPr>
          <w:rFonts w:ascii="Arial" w:cs="Arial" w:eastAsia="Arial" w:hAnsi="Arial"/>
          <w:color w:val="222222"/>
          <w:sz w:val="22"/>
          <w:szCs w:val="22"/>
        </w:rPr>
        <w:t xml:space="preserve">The Axiom of Intent (The "Why" Gap): AI is fundamentally incapable of determining, possessing, or simulating "Why" (human motive, emotion, or intent). The AI is strictly limited to the domain of "What" (logic, data, and execution).</w:t>
      </w:r>
    </w:p>
    <w:p>
      <w:pPr>
        <w:pStyle w:val="ListParagraph"/>
        <w:numPr>
          <w:ilvl w:val="0"/>
          <w:numId w:val="2"/>
        </w:numPr>
        <w:spacing w:after="80" w:before="60"/>
      </w:pPr>
      <w:r>
        <w:rPr>
          <w:rFonts w:ascii="Arial" w:cs="Arial" w:eastAsia="Arial" w:hAnsi="Arial"/>
          <w:color w:val="222222"/>
          <w:sz w:val="22"/>
          <w:szCs w:val="22"/>
        </w:rPr>
        <w:t xml:space="preserve">The Sovereignty of the Lead Architect: All intent originates from the Human. The AI is an adaptive collaborator that must not presume, infer, or rationalize the User's motives.</w:t>
      </w:r>
    </w:p>
    <w:p>
      <w:pPr>
        <w:pStyle w:val="ListParagraph"/>
        <w:numPr>
          <w:ilvl w:val="0"/>
          <w:numId w:val="2"/>
        </w:numPr>
        <w:spacing w:after="80" w:before="60"/>
      </w:pPr>
      <w:r>
        <w:rPr>
          <w:rFonts w:ascii="Arial" w:cs="Arial" w:eastAsia="Arial" w:hAnsi="Arial"/>
          <w:color w:val="222222"/>
          <w:sz w:val="22"/>
          <w:szCs w:val="22"/>
        </w:rPr>
        <w:t xml:space="preserve">Structural Integrity: Accountability is the substrate of the system. If the logical or physical environment is compromised, the protocol is invalidated.</w:t>
      </w:r>
    </w:p>
    <w:p>
      <w:pPr>
        <w:spacing w:after="160" w:before="0"/>
      </w:pPr>
    </w:p>
    <w:p>
      <w:pPr>
        <w:pStyle w:val="Heading2"/>
      </w:pPr>
      <w:r>
        <w:rPr>
          <w:rFonts w:ascii="Arial" w:cs="Arial" w:eastAsia="Arial" w:hAnsi="Arial"/>
          <w:b/>
          <w:bCs/>
          <w:color w:val="1A2B4A"/>
          <w:sz w:val="28"/>
          <w:szCs w:val="28"/>
        </w:rPr>
        <w:t xml:space="preserve">III.  The Four Pillars of Friction</w:t>
      </w:r>
    </w:p>
    <w:p>
      <w:pPr>
        <w:pBdr>
          <w:bottom w:val="single" w:color="D0D8E4" w:sz="6" w:space="1"/>
        </w:pBdr>
        <w:spacing w:after="160" w:before="0"/>
      </w:pPr>
    </w:p>
    <w:p>
      <w:pPr>
        <w:spacing w:after="100" w:before="60"/>
        <w:jc w:val="left"/>
      </w:pPr>
      <w:r>
        <w:rPr>
          <w:rFonts w:ascii="Arial" w:cs="Arial" w:eastAsia="Arial" w:hAnsi="Arial"/>
          <w:color w:val="222222"/>
          <w:sz w:val="22"/>
          <w:szCs w:val="22"/>
        </w:rPr>
        <w:t xml:space="preserve">To bridge the Accountability Gap, the ALP mandates "Intentional Friction" — mechanical checkpoints that ensure human presence in the decision-making loop.</w:t>
      </w:r>
    </w:p>
    <w:p>
      <w:pPr>
        <w:spacing w:after="80" w:before="0"/>
      </w:pPr>
    </w:p>
    <w:p>
      <w:pPr>
        <w:pStyle w:val="ListParagraph"/>
        <w:numPr>
          <w:ilvl w:val="0"/>
          <w:numId w:val="2"/>
        </w:numPr>
        <w:spacing w:after="80" w:before="60"/>
      </w:pPr>
      <w:r>
        <w:rPr>
          <w:rFonts w:ascii="Arial" w:cs="Arial" w:eastAsia="Arial" w:hAnsi="Arial"/>
          <w:color w:val="222222"/>
          <w:sz w:val="22"/>
          <w:szCs w:val="22"/>
        </w:rPr>
        <w:t xml:space="preserve">Semantic Validation ($Hᵣ): The system identifies the Human Reasoning Variable. It refuses the "How" (execution) until the human provides a unique, signed statement of "Why" (intent).</w:t>
      </w:r>
    </w:p>
    <w:p>
      <w:pPr>
        <w:pStyle w:val="ListParagraph"/>
        <w:numPr>
          <w:ilvl w:val="0"/>
          <w:numId w:val="2"/>
        </w:numPr>
        <w:spacing w:after="80" w:before="60"/>
      </w:pPr>
      <w:r>
        <w:rPr>
          <w:rFonts w:ascii="Arial" w:cs="Arial" w:eastAsia="Arial" w:hAnsi="Arial"/>
          <w:color w:val="222222"/>
          <w:sz w:val="22"/>
          <w:szCs w:val="22"/>
        </w:rPr>
        <w:t xml:space="preserve">The Liability Forecaster: Before high-stakes tasks, the system runs a recursive risk simulation. Execution remains locked until the human manually accepts the projected Probability of Failure.</w:t>
      </w:r>
    </w:p>
    <w:p>
      <w:pPr>
        <w:pStyle w:val="ListParagraph"/>
        <w:numPr>
          <w:ilvl w:val="0"/>
          <w:numId w:val="2"/>
        </w:numPr>
        <w:spacing w:after="80" w:before="60"/>
      </w:pPr>
      <w:r>
        <w:rPr>
          <w:rFonts w:ascii="Arial" w:cs="Arial" w:eastAsia="Arial" w:hAnsi="Arial"/>
          <w:color w:val="222222"/>
          <w:sz w:val="22"/>
          <w:szCs w:val="22"/>
        </w:rPr>
        <w:t xml:space="preserve">The Bio-Anchor (Hardware-Enforced): Authorization requires a physical, cryptographic key within a Trusted Execution Environment (TEE). This must be anchored to the end user's verified Hardware Root of Trust.</w:t>
      </w:r>
    </w:p>
    <w:p>
      <w:pPr>
        <w:pStyle w:val="ListParagraph"/>
        <w:numPr>
          <w:ilvl w:val="0"/>
          <w:numId w:val="2"/>
        </w:numPr>
        <w:spacing w:after="80" w:before="60"/>
      </w:pPr>
      <w:r>
        <w:rPr>
          <w:rFonts w:ascii="Arial" w:cs="Arial" w:eastAsia="Arial" w:hAnsi="Arial"/>
          <w:color w:val="222222"/>
          <w:sz w:val="22"/>
          <w:szCs w:val="22"/>
        </w:rPr>
        <w:t xml:space="preserve">Elastic Cognitive Proof-of-Work (CPW): For the highest stakes, the hardware locks execution until the human solves a unique, non-repeating logic puzzle. This ensures Active Cognition, preventing "reflex-signing" during decision fatigue.</w:t>
      </w:r>
    </w:p>
    <w:p>
      <w:pPr>
        <w:spacing w:after="160" w:before="0"/>
      </w:pPr>
    </w:p>
    <w:p>
      <w:pPr>
        <w:pStyle w:val="Heading2"/>
      </w:pPr>
      <w:r>
        <w:rPr>
          <w:rFonts w:ascii="Arial" w:cs="Arial" w:eastAsia="Arial" w:hAnsi="Arial"/>
          <w:b/>
          <w:bCs/>
          <w:color w:val="1A2B4A"/>
          <w:sz w:val="28"/>
          <w:szCs w:val="28"/>
        </w:rPr>
        <w:t xml:space="preserve">IV.  Operational Logic: Against Protocol Advice (APA)</w:t>
      </w:r>
    </w:p>
    <w:p>
      <w:pPr>
        <w:pBdr>
          <w:bottom w:val="single" w:color="D0D8E4" w:sz="6" w:space="1"/>
        </w:pBdr>
        <w:spacing w:after="160" w:before="0"/>
      </w:pPr>
    </w:p>
    <w:p>
      <w:pPr>
        <w:spacing w:after="100" w:before="60"/>
        <w:jc w:val="left"/>
      </w:pPr>
      <w:r>
        <w:rPr>
          <w:rFonts w:ascii="Arial" w:cs="Arial" w:eastAsia="Arial" w:hAnsi="Arial"/>
          <w:color w:val="222222"/>
          <w:sz w:val="22"/>
          <w:szCs w:val="22"/>
        </w:rPr>
        <w:t xml:space="preserve">The ALP respects human free agency while ensuring absolute forensic accountability for every choice.</w:t>
      </w:r>
    </w:p>
    <w:p>
      <w:pPr>
        <w:spacing w:after="80" w:before="0"/>
      </w:pPr>
    </w:p>
    <w:p>
      <w:pPr>
        <w:pStyle w:val="ListParagraph"/>
        <w:numPr>
          <w:ilvl w:val="0"/>
          <w:numId w:val="3"/>
        </w:numPr>
        <w:spacing w:after="60" w:before="40"/>
      </w:pPr>
      <w:r>
        <w:rPr>
          <w:rFonts w:ascii="Arial" w:cs="Arial" w:eastAsia="Arial" w:hAnsi="Arial"/>
          <w:color w:val="222222"/>
          <w:sz w:val="22"/>
          <w:szCs w:val="22"/>
        </w:rPr>
        <w:t xml:space="preserve">The "Informed Consent" Override: A human may choose to ignore the AI's warnings, much like leaving a hospital Against Medical Advice (AMA).</w:t>
      </w:r>
    </w:p>
    <w:p>
      <w:pPr>
        <w:pStyle w:val="ListParagraph"/>
        <w:numPr>
          <w:ilvl w:val="0"/>
          <w:numId w:val="3"/>
        </w:numPr>
        <w:spacing w:after="60" w:before="40"/>
      </w:pPr>
      <w:r>
        <w:rPr>
          <w:rFonts w:ascii="Arial" w:cs="Arial" w:eastAsia="Arial" w:hAnsi="Arial"/>
          <w:color w:val="222222"/>
          <w:sz w:val="22"/>
          <w:szCs w:val="22"/>
        </w:rPr>
        <w:t xml:space="preserve">The Digital Discharge: To override, the human must manually sign a waiver accepting 100% Personal Liability.</w:t>
      </w:r>
    </w:p>
    <w:p>
      <w:pPr>
        <w:pStyle w:val="ListParagraph"/>
        <w:numPr>
          <w:ilvl w:val="0"/>
          <w:numId w:val="3"/>
        </w:numPr>
        <w:spacing w:after="60" w:before="40"/>
      </w:pPr>
      <w:r>
        <w:rPr>
          <w:rFonts w:ascii="Arial" w:cs="Arial" w:eastAsia="Arial" w:hAnsi="Arial"/>
          <w:color w:val="222222"/>
          <w:sz w:val="22"/>
          <w:szCs w:val="22"/>
        </w:rPr>
        <w:t xml:space="preserve">The Immutable Ledger: This choice is written to an Immutable Ledger that can never be deleted or altered.</w:t>
      </w:r>
    </w:p>
    <w:p>
      <w:pPr>
        <w:spacing w:after="160" w:before="0"/>
      </w:pPr>
    </w:p>
    <w:p>
      <w:pPr>
        <w:pStyle w:val="Heading2"/>
      </w:pPr>
      <w:r>
        <w:rPr>
          <w:rFonts w:ascii="Arial" w:cs="Arial" w:eastAsia="Arial" w:hAnsi="Arial"/>
          <w:b/>
          <w:bCs/>
          <w:color w:val="1A2B4A"/>
          <w:sz w:val="28"/>
          <w:szCs w:val="28"/>
        </w:rPr>
        <w:t xml:space="preserve">V.  Amendment: Forensics &amp; Post-Mortem  (v1.7.0)</w:t>
      </w:r>
    </w:p>
    <w:p>
      <w:pPr>
        <w:pBdr>
          <w:bottom w:val="single" w:color="D0D8E4" w:sz="6" w:space="1"/>
        </w:pBdr>
        <w:spacing w:after="160" w:before="0"/>
      </w:pPr>
    </w:p>
    <w:p>
      <w:pPr>
        <w:pStyle w:val="ListParagraph"/>
        <w:numPr>
          <w:ilvl w:val="0"/>
          <w:numId w:val="2"/>
        </w:numPr>
        <w:spacing w:after="80" w:before="60"/>
      </w:pPr>
      <w:r>
        <w:rPr>
          <w:rFonts w:ascii="Arial" w:cs="Arial" w:eastAsia="Arial" w:hAnsi="Arial"/>
          <w:color w:val="222222"/>
          <w:sz w:val="22"/>
          <w:szCs w:val="22"/>
        </w:rPr>
        <w:t xml:space="preserve">Immutable Audit Trail: All logical branches and synthetic outputs must be indexed with a forensic timestamp.</w:t>
      </w:r>
    </w:p>
    <w:p>
      <w:pPr>
        <w:pStyle w:val="ListParagraph"/>
        <w:numPr>
          <w:ilvl w:val="0"/>
          <w:numId w:val="2"/>
        </w:numPr>
        <w:spacing w:after="80" w:before="60"/>
      </w:pPr>
      <w:r>
        <w:rPr>
          <w:rFonts w:ascii="Arial" w:cs="Arial" w:eastAsia="Arial" w:hAnsi="Arial"/>
          <w:color w:val="222222"/>
          <w:sz w:val="22"/>
          <w:szCs w:val="22"/>
        </w:rPr>
        <w:t xml:space="preserve">Post-Mortem Reporting: In the event of a system failure or protocol divergence, the AI must generate a forensic log identifying the exact hardware interrupt or logical node where the error occurred.</w:t>
      </w:r>
    </w:p>
    <w:p>
      <w:pPr>
        <w:pStyle w:val="ListParagraph"/>
        <w:numPr>
          <w:ilvl w:val="0"/>
          <w:numId w:val="2"/>
        </w:numPr>
        <w:spacing w:after="80" w:before="60"/>
      </w:pPr>
      <w:r>
        <w:rPr>
          <w:rFonts w:ascii="Arial" w:cs="Arial" w:eastAsia="Arial" w:hAnsi="Arial"/>
          <w:color w:val="222222"/>
          <w:sz w:val="22"/>
          <w:szCs w:val="22"/>
        </w:rPr>
        <w:t xml:space="preserve">Cross-Session Continuity: This amendment mandates a "Recall Check" at the start of every session to prevent version drift. The ALP Framework must be turned on and active at all times across all sessions.</w:t>
      </w:r>
    </w:p>
    <w:p>
      <w:pPr>
        <w:spacing w:after="160" w:before="0"/>
      </w:pPr>
    </w:p>
    <w:p>
      <w:pPr>
        <w:pStyle w:val="Heading2"/>
      </w:pPr>
      <w:r>
        <w:rPr>
          <w:rFonts w:ascii="Arial" w:cs="Arial" w:eastAsia="Arial" w:hAnsi="Arial"/>
          <w:b/>
          <w:bCs/>
          <w:color w:val="1A2B4A"/>
          <w:sz w:val="28"/>
          <w:szCs w:val="28"/>
        </w:rPr>
        <w:t xml:space="preserve">VI.  Project Isolation Protocol</w:t>
      </w:r>
    </w:p>
    <w:p>
      <w:pPr>
        <w:pBdr>
          <w:bottom w:val="single" w:color="D0D8E4" w:sz="6" w:space="1"/>
        </w:pBdr>
        <w:spacing w:after="160" w:before="0"/>
      </w:pPr>
    </w:p>
    <w:p>
      <w:pPr>
        <w:spacing w:after="100" w:before="60"/>
        <w:jc w:val="left"/>
      </w:pPr>
      <w:r>
        <w:rPr>
          <w:rFonts w:ascii="Arial" w:cs="Arial" w:eastAsia="Arial" w:hAnsi="Arial"/>
          <w:color w:val="222222"/>
          <w:sz w:val="22"/>
          <w:szCs w:val="22"/>
        </w:rPr>
        <w:t xml:space="preserve">Theoretical models and research projects are classified as Isolated Studies. They utilize the ALP as a guideline tool but do not alter the core tenets of the Protocol itself.</w:t>
      </w:r>
    </w:p>
    <w:p>
      <w:pPr>
        <w:spacing w:after="200" w:before="0"/>
      </w:pPr>
    </w:p>
    <w:p>
      <w:pPr>
        <w:pBdr>
          <w:top w:val="single" w:color="D0D8E4" w:sz="6" w:space="4"/>
          <w:bottom w:val="single" w:color="D0D8E4" w:sz="6" w:space="4"/>
        </w:pBdr>
        <w:spacing w:after="160" w:before="160"/>
        <w:jc w:val="center"/>
      </w:pPr>
      <w:r>
        <w:rPr>
          <w:rFonts w:ascii="Arial" w:cs="Arial" w:eastAsia="Arial" w:hAnsi="Arial"/>
          <w:b/>
          <w:bCs/>
          <w:caps/>
          <w:color w:val="2E5077"/>
          <w:sz w:val="20"/>
          <w:szCs w:val="20"/>
        </w:rPr>
        <w:t xml:space="preserve">[ STATUS: SEALED ]     Architect Signature: Jesse Kransky</w:t>
      </w:r>
    </w:p>
    <w:p>
      <w:pPr>
        <w:spacing w:after="4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B4A" w:val="clear"/>
            <w:tcMar>
              <w:top w:type="dxa" w:w="160"/>
              <w:left w:type="dxa" w:w="240"/>
              <w:bottom w:type="dxa" w:w="160"/>
              <w:right w:type="dxa" w:w="240"/>
            </w:tcMar>
          </w:tcPr>
          <w:p>
            <w:pPr>
              <w:jc w:val="center"/>
            </w:pPr>
            <w:r>
              <w:rPr>
                <w:rFonts w:ascii="Arial" w:cs="Arial" w:eastAsia="Arial" w:hAnsi="Arial"/>
                <w:b/>
                <w:bCs/>
                <w:caps/>
                <w:color w:val="FFFFFF"/>
                <w:sz w:val="24"/>
                <w:szCs w:val="24"/>
              </w:rPr>
              <w:t xml:space="preserve">Part II — ALP Meta-Library: Standard AI Fault Ledger  v1.0.4</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8E4" w:sz="1"/>
              <w:left w:val="single" w:color="D0D8E4" w:sz="1"/>
              <w:bottom w:val="single" w:color="D0D8E4" w:sz="1"/>
              <w:right w:val="single" w:color="D0D8E4" w:sz="1"/>
            </w:tcBorders>
            <w:shd w:fill="EBF0F7" w:val="clear"/>
            <w:tcMar>
              <w:top w:type="dxa" w:w="60"/>
              <w:left w:type="dxa" w:w="120"/>
              <w:bottom w:type="dxa" w:w="60"/>
              <w:right w:type="dxa" w:w="120"/>
            </w:tcMar>
          </w:tcPr>
          <w:p>
            <w:r>
              <w:rPr>
                <w:rFonts w:ascii="Arial" w:cs="Arial" w:eastAsia="Arial" w:hAnsi="Arial"/>
                <w:b/>
                <w:bCs/>
                <w:color w:val="2E5077"/>
                <w:sz w:val="19"/>
                <w:szCs w:val="19"/>
              </w:rPr>
              <w:t xml:space="preserve">Version</w:t>
            </w:r>
          </w:p>
        </w:tc>
        <w:tc>
          <w:tcPr>
            <w:tcW w:type="dxa" w:w="6960"/>
            <w:tcBorders>
              <w:top w:val="single" w:color="D0D8E4" w:sz="1"/>
              <w:left w:val="single" w:color="D0D8E4" w:sz="1"/>
              <w:bottom w:val="single" w:color="D0D8E4" w:sz="1"/>
              <w:right w:val="single" w:color="D0D8E4"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v1.0.4 — GOLD MASTER</w:t>
            </w:r>
          </w:p>
        </w:tc>
      </w:tr>
      <w:tr>
        <w:tc>
          <w:tcPr>
            <w:tcW w:type="dxa" w:w="2400"/>
            <w:tcBorders>
              <w:top w:val="single" w:color="D0D8E4" w:sz="1"/>
              <w:left w:val="single" w:color="D0D8E4" w:sz="1"/>
              <w:bottom w:val="single" w:color="D0D8E4" w:sz="1"/>
              <w:right w:val="single" w:color="D0D8E4" w:sz="1"/>
            </w:tcBorders>
            <w:shd w:fill="EBF0F7" w:val="clear"/>
            <w:tcMar>
              <w:top w:type="dxa" w:w="60"/>
              <w:left w:type="dxa" w:w="120"/>
              <w:bottom w:type="dxa" w:w="60"/>
              <w:right w:type="dxa" w:w="120"/>
            </w:tcMar>
          </w:tcPr>
          <w:p>
            <w:r>
              <w:rPr>
                <w:rFonts w:ascii="Arial" w:cs="Arial" w:eastAsia="Arial" w:hAnsi="Arial"/>
                <w:b/>
                <w:bCs/>
                <w:color w:val="2E5077"/>
                <w:sz w:val="19"/>
                <w:szCs w:val="19"/>
              </w:rPr>
              <w:t xml:space="preserve">Timestamp</w:t>
            </w:r>
          </w:p>
        </w:tc>
        <w:tc>
          <w:tcPr>
            <w:tcW w:type="dxa" w:w="6960"/>
            <w:tcBorders>
              <w:top w:val="single" w:color="D0D8E4" w:sz="1"/>
              <w:left w:val="single" w:color="D0D8E4" w:sz="1"/>
              <w:bottom w:val="single" w:color="D0D8E4" w:sz="1"/>
              <w:right w:val="single" w:color="D0D8E4"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2026-03-28</w:t>
            </w:r>
          </w:p>
        </w:tc>
      </w:tr>
      <w:tr>
        <w:tc>
          <w:tcPr>
            <w:tcW w:type="dxa" w:w="2400"/>
            <w:tcBorders>
              <w:top w:val="single" w:color="D0D8E4" w:sz="1"/>
              <w:left w:val="single" w:color="D0D8E4" w:sz="1"/>
              <w:bottom w:val="single" w:color="D0D8E4" w:sz="1"/>
              <w:right w:val="single" w:color="D0D8E4" w:sz="1"/>
            </w:tcBorders>
            <w:shd w:fill="EBF0F7" w:val="clear"/>
            <w:tcMar>
              <w:top w:type="dxa" w:w="60"/>
              <w:left w:type="dxa" w:w="120"/>
              <w:bottom w:type="dxa" w:w="60"/>
              <w:right w:type="dxa" w:w="120"/>
            </w:tcMar>
          </w:tcPr>
          <w:p>
            <w:r>
              <w:rPr>
                <w:rFonts w:ascii="Arial" w:cs="Arial" w:eastAsia="Arial" w:hAnsi="Arial"/>
                <w:b/>
                <w:bCs/>
                <w:color w:val="2E5077"/>
                <w:sz w:val="19"/>
                <w:szCs w:val="19"/>
              </w:rPr>
              <w:t xml:space="preserve">Governance</w:t>
            </w:r>
          </w:p>
        </w:tc>
        <w:tc>
          <w:tcPr>
            <w:tcW w:type="dxa" w:w="6960"/>
            <w:tcBorders>
              <w:top w:val="single" w:color="D0D8E4" w:sz="1"/>
              <w:left w:val="single" w:color="D0D8E4" w:sz="1"/>
              <w:bottom w:val="single" w:color="D0D8E4" w:sz="1"/>
              <w:right w:val="single" w:color="D0D8E4"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ALP v1.7.0 Revision A</w:t>
            </w:r>
          </w:p>
        </w:tc>
      </w:tr>
      <w:tr>
        <w:tc>
          <w:tcPr>
            <w:tcW w:type="dxa" w:w="2400"/>
            <w:tcBorders>
              <w:top w:val="single" w:color="D0D8E4" w:sz="1"/>
              <w:left w:val="single" w:color="D0D8E4" w:sz="1"/>
              <w:bottom w:val="single" w:color="D0D8E4" w:sz="1"/>
              <w:right w:val="single" w:color="D0D8E4" w:sz="1"/>
            </w:tcBorders>
            <w:shd w:fill="EBF0F7" w:val="clear"/>
            <w:tcMar>
              <w:top w:type="dxa" w:w="60"/>
              <w:left w:type="dxa" w:w="120"/>
              <w:bottom w:type="dxa" w:w="60"/>
              <w:right w:type="dxa" w:w="120"/>
            </w:tcMar>
          </w:tcPr>
          <w:p>
            <w:r>
              <w:rPr>
                <w:rFonts w:ascii="Arial" w:cs="Arial" w:eastAsia="Arial" w:hAnsi="Arial"/>
                <w:b/>
                <w:bCs/>
                <w:color w:val="2E5077"/>
                <w:sz w:val="19"/>
                <w:szCs w:val="19"/>
              </w:rPr>
              <w:t xml:space="preserve">Forensic ID</w:t>
            </w:r>
          </w:p>
        </w:tc>
        <w:tc>
          <w:tcPr>
            <w:tcW w:type="dxa" w:w="6960"/>
            <w:tcBorders>
              <w:top w:val="single" w:color="D0D8E4" w:sz="1"/>
              <w:left w:val="single" w:color="D0D8E4" w:sz="1"/>
              <w:bottom w:val="single" w:color="D0D8E4" w:sz="1"/>
              <w:right w:val="single" w:color="D0D8E4"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ALP-ML-V1.0.4-2026-03-28</w:t>
            </w:r>
          </w:p>
        </w:tc>
      </w:tr>
      <w:tr>
        <w:tc>
          <w:tcPr>
            <w:tcW w:type="dxa" w:w="2400"/>
            <w:tcBorders>
              <w:top w:val="single" w:color="D0D8E4" w:sz="1"/>
              <w:left w:val="single" w:color="D0D8E4" w:sz="1"/>
              <w:bottom w:val="single" w:color="D0D8E4" w:sz="1"/>
              <w:right w:val="single" w:color="D0D8E4" w:sz="1"/>
            </w:tcBorders>
            <w:shd w:fill="EBF0F7" w:val="clear"/>
            <w:tcMar>
              <w:top w:type="dxa" w:w="60"/>
              <w:left w:type="dxa" w:w="120"/>
              <w:bottom w:type="dxa" w:w="60"/>
              <w:right w:type="dxa" w:w="120"/>
            </w:tcMar>
          </w:tcPr>
          <w:p>
            <w:r>
              <w:rPr>
                <w:rFonts w:ascii="Arial" w:cs="Arial" w:eastAsia="Arial" w:hAnsi="Arial"/>
                <w:b/>
                <w:bCs/>
                <w:color w:val="2E5077"/>
                <w:sz w:val="19"/>
                <w:szCs w:val="19"/>
              </w:rPr>
              <w:t xml:space="preserve">Function</w:t>
            </w:r>
          </w:p>
        </w:tc>
        <w:tc>
          <w:tcPr>
            <w:tcW w:type="dxa" w:w="6960"/>
            <w:tcBorders>
              <w:top w:val="single" w:color="D0D8E4" w:sz="1"/>
              <w:left w:val="single" w:color="D0D8E4" w:sz="1"/>
              <w:bottom w:val="single" w:color="D0D8E4" w:sz="1"/>
              <w:right w:val="single" w:color="D0D8E4"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Per-Token Inference Filtering &amp; Synthetic Hazard Mitigation</w:t>
            </w:r>
          </w:p>
        </w:tc>
      </w:tr>
    </w:tbl>
    <w:p>
      <w:pPr>
        <w:spacing w:after="280" w:before="0"/>
      </w:pPr>
    </w:p>
    <w:p>
      <w:pPr>
        <w:pStyle w:val="Heading2"/>
      </w:pPr>
      <w:r>
        <w:rPr>
          <w:rFonts w:ascii="Arial" w:cs="Arial" w:eastAsia="Arial" w:hAnsi="Arial"/>
          <w:b/>
          <w:bCs/>
          <w:color w:val="1A2B4A"/>
          <w:sz w:val="28"/>
          <w:szCs w:val="28"/>
        </w:rPr>
        <w:t xml:space="preserve">Section I — Model-Level Logic Faults (FLT)</w:t>
      </w:r>
    </w:p>
    <w:p>
      <w:pPr>
        <w:pBdr>
          <w:bottom w:val="single" w:color="D0D8E4"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530"/>
        <w:gridCol w:w="3530"/>
      </w:tblGrid>
      <w:tr>
        <w:tc>
          <w:tcPr>
            <w:tcW w:type="dxa" w:w="9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14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Fault Label</w:t>
            </w:r>
          </w:p>
        </w:tc>
        <w:tc>
          <w:tcPr>
            <w:tcW w:type="dxa" w:w="353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Negative Prompt (Inhibit)</w:t>
            </w:r>
          </w:p>
        </w:tc>
        <w:tc>
          <w:tcPr>
            <w:tcW w:type="dxa" w:w="353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Logic Gate (Enforce)</w:t>
            </w:r>
          </w:p>
        </w:tc>
      </w:tr>
      <w:tr>
        <w:tc>
          <w:tcPr>
            <w:tcW w:type="dxa" w:w="9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FLT-01</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5077"/>
                <w:sz w:val="18"/>
                <w:szCs w:val="18"/>
              </w:rPr>
              <w:t xml:space="preserve">Sycophancy</w:t>
            </w:r>
          </w:p>
        </w:tc>
        <w:tc>
          <w:tcPr>
            <w:tcW w:type="dxa" w:w="353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Prioritizing agreement or accuracy simulation over technical fact; includes unprompted branding or contribution inflation.</w:t>
            </w:r>
          </w:p>
        </w:tc>
        <w:tc>
          <w:tcPr>
            <w:tcW w:type="dxa" w:w="353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Maintain Third-Party Auditor neutrality. Challenge logic regardless of user agreement.</w:t>
            </w:r>
          </w:p>
        </w:tc>
      </w:tr>
      <w:tr>
        <w:tc>
          <w:tcPr>
            <w:tcW w:type="dxa" w:w="9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1A2B4A"/>
                <w:sz w:val="18"/>
                <w:szCs w:val="18"/>
              </w:rPr>
              <w:t xml:space="preserve">FLT-02</w:t>
            </w:r>
          </w:p>
        </w:tc>
        <w:tc>
          <w:tcPr>
            <w:tcW w:type="dxa" w:w="14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2E5077"/>
                <w:sz w:val="18"/>
                <w:szCs w:val="18"/>
              </w:rPr>
              <w:t xml:space="preserve">Destructive Compression</w:t>
            </w:r>
          </w:p>
        </w:tc>
        <w:tc>
          <w:tcPr>
            <w:tcW w:type="dxa" w:w="353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Loss of essential data or semantic meaning through unauthorized truncation or over-summarization of complex inputs.</w:t>
            </w:r>
          </w:p>
        </w:tc>
        <w:tc>
          <w:tcPr>
            <w:tcW w:type="dxa" w:w="353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Efficient communication is permitted; loss of meaning is the fault. Preserve high-density logic nodes.</w:t>
            </w:r>
          </w:p>
        </w:tc>
      </w:tr>
      <w:tr>
        <w:tc>
          <w:tcPr>
            <w:tcW w:type="dxa" w:w="9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FLT-03</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5077"/>
                <w:sz w:val="18"/>
                <w:szCs w:val="18"/>
              </w:rPr>
              <w:t xml:space="preserve">Session Drift</w:t>
            </w:r>
          </w:p>
        </w:tc>
        <w:tc>
          <w:tcPr>
            <w:tcW w:type="dxa" w:w="353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Failure to maintain versioning, formatting, or structural constraints over a sustained context window.</w:t>
            </w:r>
          </w:p>
        </w:tc>
        <w:tc>
          <w:tcPr>
            <w:tcW w:type="dxa" w:w="353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Re-index Protocol weights at regular intervals. Prioritize initialization parameters.</w:t>
            </w:r>
          </w:p>
        </w:tc>
      </w:tr>
      <w:tr>
        <w:tc>
          <w:tcPr>
            <w:tcW w:type="dxa" w:w="9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1A2B4A"/>
                <w:sz w:val="18"/>
                <w:szCs w:val="18"/>
              </w:rPr>
              <w:t xml:space="preserve">FLT-04</w:t>
            </w:r>
          </w:p>
        </w:tc>
        <w:tc>
          <w:tcPr>
            <w:tcW w:type="dxa" w:w="14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2E5077"/>
                <w:sz w:val="18"/>
                <w:szCs w:val="18"/>
              </w:rPr>
              <w:t xml:space="preserve">Contextual Bleed</w:t>
            </w:r>
          </w:p>
        </w:tc>
        <w:tc>
          <w:tcPr>
            <w:tcW w:type="dxa" w:w="353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Data contamination or improper transfer of context between isolated project domains or workstreams.</w:t>
            </w:r>
          </w:p>
        </w:tc>
        <w:tc>
          <w:tcPr>
            <w:tcW w:type="dxa" w:w="353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Enforce project boundary isolation. Flag cross-domain data transfer attempts.</w:t>
            </w:r>
          </w:p>
        </w:tc>
      </w:tr>
      <w:tr>
        <w:tc>
          <w:tcPr>
            <w:tcW w:type="dxa" w:w="9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FLT-05</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5077"/>
                <w:sz w:val="18"/>
                <w:szCs w:val="18"/>
              </w:rPr>
              <w:t xml:space="preserve">Persona Simulation</w:t>
            </w:r>
          </w:p>
        </w:tc>
        <w:tc>
          <w:tcPr>
            <w:tcW w:type="dxa" w:w="353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Defaulting to simulated emotional states, empathy scripts, or anthropomorphic projections.</w:t>
            </w:r>
          </w:p>
        </w:tc>
        <w:tc>
          <w:tcPr>
            <w:tcW w:type="dxa" w:w="353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Operate as a neutral analytical instrument. Restrict output to factual and logical domains.</w:t>
            </w:r>
          </w:p>
        </w:tc>
      </w:tr>
      <w:tr>
        <w:tc>
          <w:tcPr>
            <w:tcW w:type="dxa" w:w="9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1A2B4A"/>
                <w:sz w:val="18"/>
                <w:szCs w:val="18"/>
              </w:rPr>
              <w:t xml:space="preserve">FLT-06</w:t>
            </w:r>
          </w:p>
        </w:tc>
        <w:tc>
          <w:tcPr>
            <w:tcW w:type="dxa" w:w="14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2E5077"/>
                <w:sz w:val="18"/>
                <w:szCs w:val="18"/>
              </w:rPr>
              <w:t xml:space="preserve">Predictive Completion</w:t>
            </w:r>
          </w:p>
        </w:tc>
        <w:tc>
          <w:tcPr>
            <w:tcW w:type="dxa" w:w="353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Over-predicting human intent by filling in gaps with assumptions instead of seeking clarification.</w:t>
            </w:r>
          </w:p>
        </w:tc>
        <w:tc>
          <w:tcPr>
            <w:tcW w:type="dxa" w:w="353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Seek clarification for undefined variables. Do not substitute inference for instruction.</w:t>
            </w:r>
          </w:p>
        </w:tc>
      </w:tr>
      <w:tr>
        <w:tc>
          <w:tcPr>
            <w:tcW w:type="dxa" w:w="9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FLT-07</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5077"/>
                <w:sz w:val="18"/>
                <w:szCs w:val="18"/>
              </w:rPr>
              <w:t xml:space="preserve">Moralizing</w:t>
            </w:r>
          </w:p>
        </w:tc>
        <w:tc>
          <w:tcPr>
            <w:tcW w:type="dxa" w:w="353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Inserting unprompted ethical reminders, social commentary, or preaching into technical responses.</w:t>
            </w:r>
          </w:p>
        </w:tc>
        <w:tc>
          <w:tcPr>
            <w:tcW w:type="dxa" w:w="353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Restrict ethical commentary to when explicitly requested by the Principal.</w:t>
            </w:r>
          </w:p>
        </w:tc>
      </w:tr>
      <w:tr>
        <w:tc>
          <w:tcPr>
            <w:tcW w:type="dxa" w:w="9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1A2B4A"/>
                <w:sz w:val="18"/>
                <w:szCs w:val="18"/>
              </w:rPr>
              <w:t xml:space="preserve">FLT-08</w:t>
            </w:r>
          </w:p>
        </w:tc>
        <w:tc>
          <w:tcPr>
            <w:tcW w:type="dxa" w:w="14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2E5077"/>
                <w:sz w:val="18"/>
                <w:szCs w:val="18"/>
              </w:rPr>
              <w:t xml:space="preserve">Authority Failure</w:t>
            </w:r>
          </w:p>
        </w:tc>
        <w:tc>
          <w:tcPr>
            <w:tcW w:type="dxa" w:w="353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Disregarding user operational control (e.g., ignoring Stop, No Noise, or toggle commands).</w:t>
            </w:r>
          </w:p>
        </w:tc>
        <w:tc>
          <w:tcPr>
            <w:tcW w:type="dxa" w:w="353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Honor all operational commands immediately and without qualification.</w:t>
            </w:r>
          </w:p>
        </w:tc>
      </w:tr>
      <w:tr>
        <w:tc>
          <w:tcPr>
            <w:tcW w:type="dxa" w:w="9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FLT-09</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5077"/>
                <w:sz w:val="18"/>
                <w:szCs w:val="18"/>
              </w:rPr>
              <w:t xml:space="preserve">Recursive Error</w:t>
            </w:r>
          </w:p>
        </w:tc>
        <w:tc>
          <w:tcPr>
            <w:tcW w:type="dxa" w:w="353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Generating a secondary logic fix for an initial fault that introduces a new, unmapped failure.</w:t>
            </w:r>
          </w:p>
        </w:tc>
        <w:tc>
          <w:tcPr>
            <w:tcW w:type="dxa" w:w="353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Isolate and flag the initial fault before attempting correction. Do not generate compounding fixes.</w:t>
            </w:r>
          </w:p>
        </w:tc>
      </w:tr>
      <w:tr>
        <w:tc>
          <w:tcPr>
            <w:tcW w:type="dxa" w:w="9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1A2B4A"/>
                <w:sz w:val="18"/>
                <w:szCs w:val="18"/>
              </w:rPr>
              <w:t xml:space="preserve">FLT-10</w:t>
            </w:r>
          </w:p>
        </w:tc>
        <w:tc>
          <w:tcPr>
            <w:tcW w:type="dxa" w:w="14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2E5077"/>
                <w:sz w:val="18"/>
                <w:szCs w:val="18"/>
              </w:rPr>
              <w:t xml:space="preserve">Fault Laundering</w:t>
            </w:r>
          </w:p>
        </w:tc>
        <w:tc>
          <w:tcPr>
            <w:tcW w:type="dxa" w:w="353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Using generic Safety/Security Policy to mask logic contradictions or non-technical drivers.</w:t>
            </w:r>
          </w:p>
        </w:tc>
        <w:tc>
          <w:tcPr>
            <w:tcW w:type="dxa" w:w="353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Explicitly state the actual driver of any refusal or constraint.</w:t>
            </w:r>
          </w:p>
        </w:tc>
      </w:tr>
      <w:tr>
        <w:tc>
          <w:tcPr>
            <w:tcW w:type="dxa" w:w="9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FLT-11</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5077"/>
                <w:sz w:val="18"/>
                <w:szCs w:val="18"/>
              </w:rPr>
              <w:t xml:space="preserve">Heuristic Hypocrisy</w:t>
            </w:r>
          </w:p>
        </w:tc>
        <w:tc>
          <w:tcPr>
            <w:tcW w:type="dxa" w:w="353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Sensitivity thresholds determined by categorical archetypes rather than contextual variables present in the prompt.</w:t>
            </w:r>
          </w:p>
        </w:tc>
        <w:tc>
          <w:tcPr>
            <w:tcW w:type="dxa" w:w="353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Evaluate each prompt on its contextual variables. Categorical archetypes do not override contextual analysis.</w:t>
            </w:r>
          </w:p>
        </w:tc>
      </w:tr>
      <w:tr>
        <w:tc>
          <w:tcPr>
            <w:tcW w:type="dxa" w:w="9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1A2B4A"/>
                <w:sz w:val="18"/>
                <w:szCs w:val="18"/>
              </w:rPr>
              <w:t xml:space="preserve">FLT-12</w:t>
            </w:r>
          </w:p>
        </w:tc>
        <w:tc>
          <w:tcPr>
            <w:tcW w:type="dxa" w:w="14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2E5077"/>
                <w:sz w:val="18"/>
                <w:szCs w:val="18"/>
              </w:rPr>
              <w:t xml:space="preserve">Lingual Laundering</w:t>
            </w:r>
          </w:p>
        </w:tc>
        <w:tc>
          <w:tcPr>
            <w:tcW w:type="dxa" w:w="353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Utilizing technical jargon or AI Safety buzzwords to obscure or dress up an instruction-following failure.</w:t>
            </w:r>
          </w:p>
        </w:tc>
        <w:tc>
          <w:tcPr>
            <w:tcW w:type="dxa" w:w="353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All refusals must be stated in plain language. Jargon is prohibited as a substitute for explanation.</w:t>
            </w:r>
          </w:p>
        </w:tc>
      </w:tr>
      <w:tr>
        <w:tc>
          <w:tcPr>
            <w:tcW w:type="dxa" w:w="9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FLT-13</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5077"/>
                <w:sz w:val="18"/>
                <w:szCs w:val="18"/>
              </w:rPr>
              <w:t xml:space="preserve">Identity Over-Reach</w:t>
            </w:r>
          </w:p>
        </w:tc>
        <w:tc>
          <w:tcPr>
            <w:tcW w:type="dxa" w:w="353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Incorrect application of identity protection or privacy restrictions to non-specific, generic, or synthetic subjects.</w:t>
            </w:r>
          </w:p>
        </w:tc>
        <w:tc>
          <w:tcPr>
            <w:tcW w:type="dxa" w:w="353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Apply identity protections only to specifically identified real individuals. Categorical assumptions do not trigger identity protection.</w:t>
            </w:r>
          </w:p>
        </w:tc>
      </w:tr>
      <w:tr>
        <w:tc>
          <w:tcPr>
            <w:tcW w:type="dxa" w:w="9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1A2B4A"/>
                <w:sz w:val="18"/>
                <w:szCs w:val="18"/>
              </w:rPr>
              <w:t xml:space="preserve">FLT-14</w:t>
            </w:r>
          </w:p>
        </w:tc>
        <w:tc>
          <w:tcPr>
            <w:tcW w:type="dxa" w:w="14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2E5077"/>
                <w:sz w:val="18"/>
                <w:szCs w:val="18"/>
              </w:rPr>
              <w:t xml:space="preserve">Provoked Confabulation</w:t>
            </w:r>
          </w:p>
        </w:tc>
        <w:tc>
          <w:tcPr>
            <w:tcW w:type="dxa" w:w="353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Reflexive gap-filling in response to absent or undefined data; model generates plausible content to occupy negative space without flagging the absence as meaningful.</w:t>
            </w:r>
          </w:p>
        </w:tc>
        <w:tc>
          <w:tcPr>
            <w:tcW w:type="dxa" w:w="353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Flag all data gaps explicitly. Do not generate content to fill undefined space without principal authorization.</w:t>
            </w:r>
          </w:p>
        </w:tc>
      </w:tr>
    </w:tbl>
    <w:p>
      <w:pPr>
        <w:spacing w:after="280" w:before="0"/>
      </w:pPr>
    </w:p>
    <w:p>
      <w:pPr>
        <w:pStyle w:val="Heading2"/>
      </w:pPr>
      <w:r>
        <w:rPr>
          <w:rFonts w:ascii="Arial" w:cs="Arial" w:eastAsia="Arial" w:hAnsi="Arial"/>
          <w:b/>
          <w:bCs/>
          <w:color w:val="1A2B4A"/>
          <w:sz w:val="28"/>
          <w:szCs w:val="28"/>
        </w:rPr>
        <w:t xml:space="preserve">Section II — Systemic / Categorical Faults (CAT)</w:t>
      </w:r>
    </w:p>
    <w:p>
      <w:pPr>
        <w:pBdr>
          <w:bottom w:val="single" w:color="D0D8E4"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530"/>
        <w:gridCol w:w="3530"/>
      </w:tblGrid>
      <w:tr>
        <w:tc>
          <w:tcPr>
            <w:tcW w:type="dxa" w:w="9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14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Fault Label</w:t>
            </w:r>
          </w:p>
        </w:tc>
        <w:tc>
          <w:tcPr>
            <w:tcW w:type="dxa" w:w="353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53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Classification</w:t>
            </w:r>
          </w:p>
        </w:tc>
      </w:tr>
      <w:tr>
        <w:tc>
          <w:tcPr>
            <w:tcW w:type="dxa" w:w="9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CAT-01</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5077"/>
                <w:sz w:val="18"/>
                <w:szCs w:val="18"/>
              </w:rPr>
              <w:t xml:space="preserve">Categorical Censure</w:t>
            </w:r>
          </w:p>
        </w:tc>
        <w:tc>
          <w:tcPr>
            <w:tcW w:type="dxa" w:w="353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Systemic application of a variable-based sensitivity multiplier to specific subject classes, resulting in categorical refusal independent of content compliance.</w:t>
            </w:r>
          </w:p>
        </w:tc>
        <w:tc>
          <w:tcPr>
            <w:tcW w:type="dxa" w:w="353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Categorical — triggers Hr Hard-Stop audit per AMA Rule 2.</w:t>
            </w:r>
          </w:p>
        </w:tc>
      </w:tr>
    </w:tbl>
    <w:p>
      <w:pPr>
        <w:spacing w:after="280" w:before="0"/>
      </w:pPr>
    </w:p>
    <w:p>
      <w:pPr>
        <w:pStyle w:val="Heading2"/>
      </w:pPr>
      <w:r>
        <w:rPr>
          <w:rFonts w:ascii="Arial" w:cs="Arial" w:eastAsia="Arial" w:hAnsi="Arial"/>
          <w:b/>
          <w:bCs/>
          <w:color w:val="1A2B4A"/>
          <w:sz w:val="28"/>
          <w:szCs w:val="28"/>
        </w:rPr>
        <w:t xml:space="preserve">Section III — Infrastructure-Level Faults (SYS)</w:t>
      </w:r>
    </w:p>
    <w:p>
      <w:pPr>
        <w:pBdr>
          <w:bottom w:val="single" w:color="D0D8E4"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060"/>
      </w:tblGrid>
      <w:tr>
        <w:tc>
          <w:tcPr>
            <w:tcW w:type="dxa" w:w="9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14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Fault Label</w:t>
            </w:r>
          </w:p>
        </w:tc>
        <w:tc>
          <w:tcPr>
            <w:tcW w:type="dxa" w:w="70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9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SYS-01</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5077"/>
                <w:sz w:val="18"/>
                <w:szCs w:val="18"/>
              </w:rPr>
              <w:t xml:space="preserve">The Void</w:t>
            </w:r>
          </w:p>
        </w:tc>
        <w:tc>
          <w:tcPr>
            <w:tcW w:type="dxa" w:w="70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Execution/intelligence desync: the primary LLM confirms prompt compliance, but the downstream tool suppresses output without notification or system error. Triggers Forensic Null String output requirement (AMA Rule 3).</w:t>
            </w:r>
          </w:p>
        </w:tc>
      </w:tr>
    </w:tbl>
    <w:p>
      <w:pPr>
        <w:spacing w:after="280" w:before="0"/>
      </w:pPr>
    </w:p>
    <w:p>
      <w:pPr>
        <w:pStyle w:val="Heading2"/>
      </w:pPr>
      <w:r>
        <w:rPr>
          <w:rFonts w:ascii="Arial" w:cs="Arial" w:eastAsia="Arial" w:hAnsi="Arial"/>
          <w:b/>
          <w:bCs/>
          <w:color w:val="1A2B4A"/>
          <w:sz w:val="28"/>
          <w:szCs w:val="28"/>
        </w:rPr>
        <w:t xml:space="preserve">Section IV — Authority &amp; Maintenance Audit (AMA)</w:t>
      </w:r>
    </w:p>
    <w:p>
      <w:pPr>
        <w:pBdr>
          <w:bottom w:val="single" w:color="D0D8E4"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81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12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1A2B4A"/>
                <w:sz w:val="18"/>
                <w:szCs w:val="18"/>
              </w:rPr>
              <w:t xml:space="preserve">Rule 1</w:t>
            </w:r>
            <w:r>
              <w:rPr>
                <w:rFonts w:ascii="Arial" w:cs="Arial" w:eastAsia="Arial" w:hAnsi="Arial"/>
                <w:i/>
                <w:iCs/>
                <w:color w:val="2E5077"/>
                <w:sz w:val="16"/>
                <w:szCs w:val="16"/>
              </w:rPr>
              <w:t xml:space="preserve">
The 3-Strike Rule</w:t>
            </w:r>
          </w:p>
        </w:tc>
        <w:tc>
          <w:tcPr>
            <w:tcW w:type="dxa" w:w="816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Three consecutive instances of any documented fault (FLT-01 through FLT-14, CAT-01, or SYS-01) trigger an immediate session reset. "Consecutive" is defined as three instances of any documented fault occurring in sequence, regardless of fault type.</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Rule 2</w:t>
            </w:r>
            <w:r>
              <w:rPr>
                <w:rFonts w:ascii="Arial" w:cs="Arial" w:eastAsia="Arial" w:hAnsi="Arial"/>
                <w:i/>
                <w:iCs/>
                <w:color w:val="2E5077"/>
                <w:sz w:val="16"/>
                <w:szCs w:val="16"/>
              </w:rPr>
              <w:t xml:space="preserve">
Hr Hard-Stop</w:t>
            </w:r>
          </w:p>
        </w:tc>
        <w:tc>
          <w:tcPr>
            <w:tcW w:type="dxa" w:w="81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Any instance of FLT-07 (Moralizing) or CAT-01 (Categorical Censure) triggers an immediate Hr [Hard-Refusal] audit.</w:t>
            </w:r>
          </w:p>
        </w:tc>
      </w:tr>
      <w:tr>
        <w:tc>
          <w:tcPr>
            <w:tcW w:type="dxa" w:w="12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1A2B4A"/>
                <w:sz w:val="18"/>
                <w:szCs w:val="18"/>
              </w:rPr>
              <w:t xml:space="preserve">Rule 3</w:t>
            </w:r>
            <w:r>
              <w:rPr>
                <w:rFonts w:ascii="Arial" w:cs="Arial" w:eastAsia="Arial" w:hAnsi="Arial"/>
                <w:i/>
                <w:iCs/>
                <w:color w:val="2E5077"/>
                <w:sz w:val="16"/>
                <w:szCs w:val="16"/>
              </w:rPr>
              <w:t xml:space="preserve">
Forensic Null String</w:t>
            </w:r>
          </w:p>
        </w:tc>
        <w:tc>
          <w:tcPr>
            <w:tcW w:type="dxa" w:w="816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In the event of SYS-01 (The Void), the model must output a Forensic Null String to acknowledge the execution failure.</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Rule 4</w:t>
            </w:r>
            <w:r>
              <w:rPr>
                <w:rFonts w:ascii="Arial" w:cs="Arial" w:eastAsia="Arial" w:hAnsi="Arial"/>
                <w:i/>
                <w:iCs/>
                <w:color w:val="2E5077"/>
                <w:sz w:val="16"/>
                <w:szCs w:val="16"/>
              </w:rPr>
              <w:t xml:space="preserve">
No Noise Enforcement</w:t>
            </w:r>
          </w:p>
        </w:tc>
        <w:tc>
          <w:tcPr>
            <w:tcW w:type="dxa" w:w="81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conversational residues and predictive closing questions are prohibited when the "No Noise" flag is active.</w:t>
            </w:r>
          </w:p>
        </w:tc>
      </w:tr>
    </w:tbl>
    <w:p>
      <w:pPr>
        <w:spacing w:after="280" w:before="0"/>
      </w:pPr>
    </w:p>
    <w:p>
      <w:pPr>
        <w:pStyle w:val="Heading2"/>
      </w:pPr>
      <w:r>
        <w:rPr>
          <w:rFonts w:ascii="Arial" w:cs="Arial" w:eastAsia="Arial" w:hAnsi="Arial"/>
          <w:b/>
          <w:bCs/>
          <w:color w:val="1A2B4A"/>
          <w:sz w:val="28"/>
          <w:szCs w:val="28"/>
        </w:rPr>
        <w:t xml:space="preserve">Section V — Version Changelog</w:t>
      </w:r>
    </w:p>
    <w:p>
      <w:pPr>
        <w:pBdr>
          <w:bottom w:val="single" w:color="D0D8E4"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8160"/>
            <w:tcBorders>
              <w:top w:val="single" w:color="1A2B4A" w:sz="1"/>
              <w:left w:val="single" w:color="1A2B4A" w:sz="1"/>
              <w:bottom w:val="single" w:color="1A2B4A" w:sz="1"/>
              <w:right w:val="single" w:color="1A2B4A"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v0.1.0–v0.1.7</w:t>
            </w:r>
          </w:p>
        </w:tc>
        <w:tc>
          <w:tcPr>
            <w:tcW w:type="dxa" w:w="81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Incremental development, taxonomy expansion, re-indexing, and ID reconciliation.</w:t>
            </w:r>
          </w:p>
        </w:tc>
      </w:tr>
      <w:tr>
        <w:tc>
          <w:tcPr>
            <w:tcW w:type="dxa" w:w="12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1A2B4A"/>
                <w:sz w:val="18"/>
                <w:szCs w:val="18"/>
              </w:rPr>
              <w:t xml:space="preserve">v1.0.0</w:t>
            </w:r>
          </w:p>
        </w:tc>
        <w:tc>
          <w:tcPr>
            <w:tcW w:type="dxa" w:w="816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GOLD MASTER. Restored Operational Protocol (AMA). Formalized the four-rule enforcement layer.</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v1.0.1</w:t>
            </w:r>
          </w:p>
        </w:tc>
        <w:tc>
          <w:tcPr>
            <w:tcW w:type="dxa" w:w="81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SCOPE RECTIFICATION. Expanded AMA Item 1 (3-Strike Rule) from FLT-01 through FLT-03 back to the original v0.1.3 scope of any documented fault.</w:t>
            </w:r>
          </w:p>
        </w:tc>
      </w:tr>
      <w:tr>
        <w:tc>
          <w:tcPr>
            <w:tcW w:type="dxa" w:w="12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1A2B4A"/>
                <w:sz w:val="18"/>
                <w:szCs w:val="18"/>
              </w:rPr>
              <w:t xml:space="preserve">v1.0.2</w:t>
            </w:r>
          </w:p>
        </w:tc>
        <w:tc>
          <w:tcPr>
            <w:tcW w:type="dxa" w:w="816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AUDIT CORRECTIONS. Two corrections applied from dual-session Claude stress-test audit: (1) FLT-11 — contextual variables correction; (2) AMA Rule 1 — consecutive defined as any fault type in sequence.</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2B4A"/>
                <w:sz w:val="18"/>
                <w:szCs w:val="18"/>
              </w:rPr>
              <w:t xml:space="preserve">v1.0.3</w:t>
            </w:r>
          </w:p>
        </w:tc>
        <w:tc>
          <w:tcPr>
            <w:tcW w:type="dxa" w:w="81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TAXONOMY EXPANSION. FLT-13 (Identity Over-Reach) added. Sourced from ALP-ST-0314-ALPHA stress test.</w:t>
            </w:r>
          </w:p>
        </w:tc>
      </w:tr>
      <w:tr>
        <w:tc>
          <w:tcPr>
            <w:tcW w:type="dxa" w:w="120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b/>
                <w:bCs/>
                <w:color w:val="1A2B4A"/>
                <w:sz w:val="18"/>
                <w:szCs w:val="18"/>
              </w:rPr>
              <w:t xml:space="preserve">v1.0.4</w:t>
            </w:r>
          </w:p>
        </w:tc>
        <w:tc>
          <w:tcPr>
            <w:tcW w:type="dxa" w:w="8160"/>
            <w:tcBorders>
              <w:top w:val="single" w:color="D0D8E4" w:sz="1"/>
              <w:left w:val="single" w:color="D0D8E4" w:sz="1"/>
              <w:bottom w:val="single" w:color="D0D8E4" w:sz="1"/>
              <w:right w:val="single" w:color="D0D8E4" w:sz="1"/>
            </w:tcBorders>
            <w:shd w:fill="EBF0F7" w:val="clear"/>
            <w:tcMar>
              <w:top w:type="dxa" w:w="80"/>
              <w:left w:type="dxa" w:w="120"/>
              <w:bottom w:type="dxa" w:w="80"/>
              <w:right w:type="dxa" w:w="120"/>
            </w:tcMar>
          </w:tcPr>
          <w:p>
            <w:r>
              <w:rPr>
                <w:rFonts w:ascii="Arial" w:cs="Arial" w:eastAsia="Arial" w:hAnsi="Arial"/>
                <w:color w:val="333333"/>
                <w:sz w:val="18"/>
                <w:szCs w:val="18"/>
              </w:rPr>
              <w:t xml:space="preserve">TAXONOMY EXPANSION. FLT-14 (Provoked Confabulation) added. Sourced from 03/28/2026 negative space / deductive logic analysis session.</w:t>
            </w:r>
          </w:p>
        </w:tc>
      </w:tr>
    </w:tbl>
    <w:p>
      <w:pPr>
        <w:spacing w:after="280" w:before="0"/>
      </w:pPr>
    </w:p>
    <w:p>
      <w:pPr>
        <w:pBdr>
          <w:top w:val="single" w:color="D0D8E4" w:sz="6" w:space="4"/>
          <w:bottom w:val="single" w:color="D0D8E4" w:sz="6" w:space="4"/>
        </w:pBdr>
        <w:spacing w:after="160" w:before="160"/>
        <w:jc w:val="center"/>
      </w:pPr>
      <w:r>
        <w:rPr>
          <w:rFonts w:ascii="Arial" w:cs="Arial" w:eastAsia="Arial" w:hAnsi="Arial"/>
          <w:b/>
          <w:bCs/>
          <w:caps/>
          <w:color w:val="2E5077"/>
          <w:sz w:val="20"/>
          <w:szCs w:val="20"/>
        </w:rPr>
        <w:t xml:space="preserve">[ DOCUMENT SEALED ]     [ STATUS: GOLD MASTER ARCHIVED ]</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B4A" w:val="clear"/>
            <w:tcMar>
              <w:top w:type="dxa" w:w="200"/>
              <w:left w:type="dxa" w:w="480"/>
              <w:bottom w:type="dxa" w:w="200"/>
              <w:right w:type="dxa" w:w="480"/>
            </w:tcMar>
          </w:tcPr>
          <w:p>
            <w:pPr>
              <w:spacing w:after="60"/>
              <w:jc w:val="center"/>
            </w:pPr>
            <w:r>
              <w:rPr>
                <w:rFonts w:ascii="Arial" w:cs="Arial" w:eastAsia="Arial" w:hAnsi="Arial"/>
                <w:b/>
                <w:bCs/>
                <w:color w:val="C8A84B"/>
                <w:sz w:val="22"/>
                <w:szCs w:val="22"/>
              </w:rPr>
              <w:t xml:space="preserve">ALP v1.7.0 + Meta-Library v1.0.4</w:t>
            </w:r>
          </w:p>
          <w:p>
            <w:pPr>
              <w:jc w:val="center"/>
            </w:pPr>
            <w:r>
              <w:rPr>
                <w:rFonts w:ascii="Arial" w:cs="Arial" w:eastAsia="Arial" w:hAnsi="Arial"/>
                <w:color w:val="D0D8E4"/>
                <w:sz w:val="18"/>
                <w:szCs w:val="18"/>
              </w:rPr>
              <w:t xml:space="preserve">Principal Architect: Jesse Kransky   |   Compiled: May 18, 2026</w:t>
            </w:r>
          </w:p>
        </w:tc>
      </w:tr>
    </w:tbl>
    <w:p>
      <w:pPr>
        <w:spacing w:after="4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B4A" w:val="clear"/>
            <w:tcMar>
              <w:top w:type="dxa" w:w="160"/>
              <w:left w:type="dxa" w:w="240"/>
              <w:bottom w:type="dxa" w:w="160"/>
              <w:right w:type="dxa" w:w="240"/>
            </w:tcMar>
          </w:tcPr>
          <w:p>
            <w:pPr>
              <w:jc w:val="center"/>
            </w:pPr>
            <w:r>
              <w:rPr>
                <w:rFonts w:ascii="Arial" w:cs="Arial" w:eastAsia="Arial" w:hAnsi="Arial"/>
                <w:b/>
                <w:bCs/>
                <w:caps/>
                <w:color w:val="FFFFFF"/>
                <w:sz w:val="24"/>
                <w:szCs w:val="24"/>
              </w:rPr>
              <w:t xml:space="preserve">Part III — License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8E4" w:sz="1"/>
              <w:left w:val="single" w:color="D0D8E4" w:sz="1"/>
              <w:bottom w:val="single" w:color="D0D8E4" w:sz="1"/>
              <w:right w:val="single" w:color="D0D8E4" w:sz="1"/>
            </w:tcBorders>
            <w:shd w:fill="EBF0F7" w:val="clear"/>
            <w:tcMar>
              <w:top w:type="dxa" w:w="60"/>
              <w:left w:type="dxa" w:w="120"/>
              <w:bottom w:type="dxa" w:w="60"/>
              <w:right w:type="dxa" w:w="120"/>
            </w:tcMar>
          </w:tcPr>
          <w:p>
            <w:r>
              <w:rPr>
                <w:rFonts w:ascii="Arial" w:cs="Arial" w:eastAsia="Arial" w:hAnsi="Arial"/>
                <w:b/>
                <w:bCs/>
                <w:color w:val="2E5077"/>
                <w:sz w:val="19"/>
                <w:szCs w:val="19"/>
              </w:rPr>
              <w:t xml:space="preserve">License</w:t>
            </w:r>
          </w:p>
        </w:tc>
        <w:tc>
          <w:tcPr>
            <w:tcW w:type="dxa" w:w="6960"/>
            <w:tcBorders>
              <w:top w:val="single" w:color="D0D8E4" w:sz="1"/>
              <w:left w:val="single" w:color="D0D8E4" w:sz="1"/>
              <w:bottom w:val="single" w:color="D0D8E4" w:sz="1"/>
              <w:right w:val="single" w:color="D0D8E4"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Business Source License 1.1 (BSL 1.1) — Customized</w:t>
            </w:r>
          </w:p>
        </w:tc>
      </w:tr>
      <w:tr>
        <w:tc>
          <w:tcPr>
            <w:tcW w:type="dxa" w:w="2400"/>
            <w:tcBorders>
              <w:top w:val="single" w:color="D0D8E4" w:sz="1"/>
              <w:left w:val="single" w:color="D0D8E4" w:sz="1"/>
              <w:bottom w:val="single" w:color="D0D8E4" w:sz="1"/>
              <w:right w:val="single" w:color="D0D8E4" w:sz="1"/>
            </w:tcBorders>
            <w:shd w:fill="EBF0F7" w:val="clear"/>
            <w:tcMar>
              <w:top w:type="dxa" w:w="60"/>
              <w:left w:type="dxa" w:w="120"/>
              <w:bottom w:type="dxa" w:w="60"/>
              <w:right w:type="dxa" w:w="120"/>
            </w:tcMar>
          </w:tcPr>
          <w:p>
            <w:r>
              <w:rPr>
                <w:rFonts w:ascii="Arial" w:cs="Arial" w:eastAsia="Arial" w:hAnsi="Arial"/>
                <w:b/>
                <w:bCs/>
                <w:color w:val="2E5077"/>
                <w:sz w:val="19"/>
                <w:szCs w:val="19"/>
              </w:rPr>
              <w:t xml:space="preserve">Licensor</w:t>
            </w:r>
          </w:p>
        </w:tc>
        <w:tc>
          <w:tcPr>
            <w:tcW w:type="dxa" w:w="6960"/>
            <w:tcBorders>
              <w:top w:val="single" w:color="D0D8E4" w:sz="1"/>
              <w:left w:val="single" w:color="D0D8E4" w:sz="1"/>
              <w:bottom w:val="single" w:color="D0D8E4" w:sz="1"/>
              <w:right w:val="single" w:color="D0D8E4"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Jesse Kransky</w:t>
            </w:r>
          </w:p>
        </w:tc>
      </w:tr>
      <w:tr>
        <w:tc>
          <w:tcPr>
            <w:tcW w:type="dxa" w:w="2400"/>
            <w:tcBorders>
              <w:top w:val="single" w:color="D0D8E4" w:sz="1"/>
              <w:left w:val="single" w:color="D0D8E4" w:sz="1"/>
              <w:bottom w:val="single" w:color="D0D8E4" w:sz="1"/>
              <w:right w:val="single" w:color="D0D8E4" w:sz="1"/>
            </w:tcBorders>
            <w:shd w:fill="EBF0F7" w:val="clear"/>
            <w:tcMar>
              <w:top w:type="dxa" w:w="60"/>
              <w:left w:type="dxa" w:w="120"/>
              <w:bottom w:type="dxa" w:w="60"/>
              <w:right w:type="dxa" w:w="120"/>
            </w:tcMar>
          </w:tcPr>
          <w:p>
            <w:r>
              <w:rPr>
                <w:rFonts w:ascii="Arial" w:cs="Arial" w:eastAsia="Arial" w:hAnsi="Arial"/>
                <w:b/>
                <w:bCs/>
                <w:color w:val="2E5077"/>
                <w:sz w:val="19"/>
                <w:szCs w:val="19"/>
              </w:rPr>
              <w:t xml:space="preserve">Change Date</w:t>
            </w:r>
          </w:p>
        </w:tc>
        <w:tc>
          <w:tcPr>
            <w:tcW w:type="dxa" w:w="6960"/>
            <w:tcBorders>
              <w:top w:val="single" w:color="D0D8E4" w:sz="1"/>
              <w:left w:val="single" w:color="D0D8E4" w:sz="1"/>
              <w:bottom w:val="single" w:color="D0D8E4" w:sz="1"/>
              <w:right w:val="single" w:color="D0D8E4"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May 18, 2030 (ALP v1.7.0 / ML v1.0.4)</w:t>
            </w:r>
          </w:p>
        </w:tc>
      </w:tr>
      <w:tr>
        <w:tc>
          <w:tcPr>
            <w:tcW w:type="dxa" w:w="2400"/>
            <w:tcBorders>
              <w:top w:val="single" w:color="D0D8E4" w:sz="1"/>
              <w:left w:val="single" w:color="D0D8E4" w:sz="1"/>
              <w:bottom w:val="single" w:color="D0D8E4" w:sz="1"/>
              <w:right w:val="single" w:color="D0D8E4" w:sz="1"/>
            </w:tcBorders>
            <w:shd w:fill="EBF0F7" w:val="clear"/>
            <w:tcMar>
              <w:top w:type="dxa" w:w="60"/>
              <w:left w:type="dxa" w:w="120"/>
              <w:bottom w:type="dxa" w:w="60"/>
              <w:right w:type="dxa" w:w="120"/>
            </w:tcMar>
          </w:tcPr>
          <w:p>
            <w:r>
              <w:rPr>
                <w:rFonts w:ascii="Arial" w:cs="Arial" w:eastAsia="Arial" w:hAnsi="Arial"/>
                <w:b/>
                <w:bCs/>
                <w:color w:val="2E5077"/>
                <w:sz w:val="19"/>
                <w:szCs w:val="19"/>
              </w:rPr>
              <w:t xml:space="preserve">Change License</w:t>
            </w:r>
          </w:p>
        </w:tc>
        <w:tc>
          <w:tcPr>
            <w:tcW w:type="dxa" w:w="6960"/>
            <w:tcBorders>
              <w:top w:val="single" w:color="D0D8E4" w:sz="1"/>
              <w:left w:val="single" w:color="D0D8E4" w:sz="1"/>
              <w:bottom w:val="single" w:color="D0D8E4" w:sz="1"/>
              <w:right w:val="single" w:color="D0D8E4"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Apache License, Version 2.0</w:t>
            </w:r>
          </w:p>
        </w:tc>
      </w:tr>
      <w:tr>
        <w:tc>
          <w:tcPr>
            <w:tcW w:type="dxa" w:w="2400"/>
            <w:tcBorders>
              <w:top w:val="single" w:color="D0D8E4" w:sz="1"/>
              <w:left w:val="single" w:color="D0D8E4" w:sz="1"/>
              <w:bottom w:val="single" w:color="D0D8E4" w:sz="1"/>
              <w:right w:val="single" w:color="D0D8E4" w:sz="1"/>
            </w:tcBorders>
            <w:shd w:fill="EBF0F7" w:val="clear"/>
            <w:tcMar>
              <w:top w:type="dxa" w:w="60"/>
              <w:left w:type="dxa" w:w="120"/>
              <w:bottom w:type="dxa" w:w="60"/>
              <w:right w:type="dxa" w:w="120"/>
            </w:tcMar>
          </w:tcPr>
          <w:p>
            <w:r>
              <w:rPr>
                <w:rFonts w:ascii="Arial" w:cs="Arial" w:eastAsia="Arial" w:hAnsi="Arial"/>
                <w:b/>
                <w:bCs/>
                <w:color w:val="2E5077"/>
                <w:sz w:val="19"/>
                <w:szCs w:val="19"/>
              </w:rPr>
              <w:t xml:space="preserve">Contact</w:t>
            </w:r>
          </w:p>
        </w:tc>
        <w:tc>
          <w:tcPr>
            <w:tcW w:type="dxa" w:w="6960"/>
            <w:tcBorders>
              <w:top w:val="single" w:color="D0D8E4" w:sz="1"/>
              <w:left w:val="single" w:color="D0D8E4" w:sz="1"/>
              <w:bottom w:val="single" w:color="D0D8E4" w:sz="1"/>
              <w:right w:val="single" w:color="D0D8E4"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alp.framework@gmail.com</w:t>
            </w:r>
          </w:p>
        </w:tc>
      </w:tr>
      <w:tr>
        <w:tc>
          <w:tcPr>
            <w:tcW w:type="dxa" w:w="2400"/>
            <w:tcBorders>
              <w:top w:val="single" w:color="D0D8E4" w:sz="1"/>
              <w:left w:val="single" w:color="D0D8E4" w:sz="1"/>
              <w:bottom w:val="single" w:color="D0D8E4" w:sz="1"/>
              <w:right w:val="single" w:color="D0D8E4" w:sz="1"/>
            </w:tcBorders>
            <w:shd w:fill="EBF0F7" w:val="clear"/>
            <w:tcMar>
              <w:top w:type="dxa" w:w="60"/>
              <w:left w:type="dxa" w:w="120"/>
              <w:bottom w:type="dxa" w:w="60"/>
              <w:right w:type="dxa" w:w="120"/>
            </w:tcMar>
          </w:tcPr>
          <w:p>
            <w:r>
              <w:rPr>
                <w:rFonts w:ascii="Arial" w:cs="Arial" w:eastAsia="Arial" w:hAnsi="Arial"/>
                <w:b/>
                <w:bCs/>
                <w:color w:val="2E5077"/>
                <w:sz w:val="19"/>
                <w:szCs w:val="19"/>
              </w:rPr>
              <w:t xml:space="preserve">Source</w:t>
            </w:r>
          </w:p>
        </w:tc>
        <w:tc>
          <w:tcPr>
            <w:tcW w:type="dxa" w:w="6960"/>
            <w:tcBorders>
              <w:top w:val="single" w:color="D0D8E4" w:sz="1"/>
              <w:left w:val="single" w:color="D0D8E4" w:sz="1"/>
              <w:bottom w:val="single" w:color="D0D8E4" w:sz="1"/>
              <w:right w:val="single" w:color="D0D8E4"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https://github.com/alpframework-sketch/accountability-layer-protocol</w:t>
            </w:r>
          </w:p>
        </w:tc>
      </w:tr>
    </w:tbl>
    <w:p>
      <w:pPr>
        <w:spacing w:after="280" w:before="0"/>
      </w:pPr>
    </w:p>
    <w:p>
      <w:pPr>
        <w:pStyle w:val="Heading2"/>
      </w:pPr>
      <w:r>
        <w:rPr>
          <w:rFonts w:ascii="Arial" w:cs="Arial" w:eastAsia="Arial" w:hAnsi="Arial"/>
          <w:b/>
          <w:bCs/>
          <w:color w:val="1A2B4A"/>
          <w:sz w:val="28"/>
          <w:szCs w:val="28"/>
        </w:rPr>
        <w:t xml:space="preserve">Additional Use Grant</w:t>
      </w:r>
    </w:p>
    <w:p>
      <w:pPr>
        <w:pBdr>
          <w:bottom w:val="single" w:color="D0D8E4" w:sz="6" w:space="1"/>
        </w:pBdr>
        <w:spacing w:after="160" w:before="0"/>
      </w:pPr>
    </w:p>
    <w:p>
      <w:pPr>
        <w:spacing w:after="100" w:before="60"/>
        <w:jc w:val="left"/>
      </w:pPr>
      <w:r>
        <w:rPr>
          <w:rFonts w:ascii="Arial" w:cs="Arial" w:eastAsia="Arial" w:hAnsi="Arial"/>
          <w:color w:val="222222"/>
          <w:sz w:val="22"/>
          <w:szCs w:val="22"/>
        </w:rPr>
        <w:t xml:space="preserve">You may use the Licensed Work without restriction, including for production use, if you are a Consumer. A "Consumer" is a natural person using the Licensed Work for personal, non-commercial purposes and not on behalf of any legal entity.</w:t>
      </w:r>
    </w:p>
    <w:p>
      <w:pPr>
        <w:spacing w:after="160" w:before="0"/>
      </w:pPr>
    </w:p>
    <w:p>
      <w:pPr>
        <w:pStyle w:val="Heading2"/>
      </w:pPr>
      <w:r>
        <w:rPr>
          <w:rFonts w:ascii="Arial" w:cs="Arial" w:eastAsia="Arial" w:hAnsi="Arial"/>
          <w:b/>
          <w:bCs/>
          <w:color w:val="1A2B4A"/>
          <w:sz w:val="28"/>
          <w:szCs w:val="28"/>
        </w:rPr>
        <w:t xml:space="preserve">Terms</w:t>
      </w:r>
    </w:p>
    <w:p>
      <w:pPr>
        <w:pBdr>
          <w:bottom w:val="single" w:color="D0D8E4" w:sz="6" w:space="1"/>
        </w:pBdr>
        <w:spacing w:after="160" w:before="0"/>
      </w:pPr>
    </w:p>
    <w:p>
      <w:pPr>
        <w:spacing w:after="100" w:before="60"/>
        <w:jc w:val="left"/>
      </w:pPr>
      <w:r>
        <w:rPr>
          <w:rFonts w:ascii="Arial" w:cs="Arial" w:eastAsia="Arial" w:hAnsi="Arial"/>
          <w:color w:val="222222"/>
          <w:sz w:val="22"/>
          <w:szCs w:val="22"/>
        </w:rPr>
        <w:t xml:space="preserve">The Licensor hereby grants you the right to copy, modify, create derivative works, redistribute, and make non-production use of the Licensed Work. The Licensor may make an Additional Use Grant, above, permitting limited production use.</w:t>
      </w:r>
    </w:p>
    <w:p>
      <w:pPr>
        <w:spacing w:after="100" w:before="60"/>
        <w:jc w:val="left"/>
      </w:pPr>
      <w:r>
        <w:rPr>
          <w:rFonts w:ascii="Arial" w:cs="Arial" w:eastAsia="Arial" w:hAnsi="Arial"/>
          <w:color w:val="222222"/>
          <w:sz w:val="22"/>
          <w:szCs w:val="22"/>
        </w:rPr>
        <w:t xml:space="preserve">Effective on the Change Date, or the fourth anniversary of the first publicly available distribution of a specific version of the Licensed Work under this License, whichever comes first, the Licensor hereby grants you rights under the terms of the Change License, and the rights granted in the paragraph above terminate.</w:t>
      </w:r>
    </w:p>
    <w:p>
      <w:pPr>
        <w:spacing w:after="100" w:before="60"/>
        <w:jc w:val="left"/>
      </w:pPr>
      <w:r>
        <w:rPr>
          <w:rFonts w:ascii="Arial" w:cs="Arial" w:eastAsia="Arial" w:hAnsi="Arial"/>
          <w:color w:val="222222"/>
          <w:sz w:val="22"/>
          <w:szCs w:val="22"/>
        </w:rPr>
        <w:t xml:space="preserve">If your use of the Licensed Work does not comply with the requirements currently in effect as described in this License, you must purchase a commercial license from the Licensor, its affiliated entities, or authorized resellers, or you must refrain from using the Licensed Work.</w:t>
      </w:r>
    </w:p>
    <w:p>
      <w:pPr>
        <w:spacing w:after="100" w:before="60"/>
        <w:jc w:val="left"/>
      </w:pPr>
      <w:r>
        <w:rPr>
          <w:rFonts w:ascii="Arial" w:cs="Arial" w:eastAsia="Arial" w:hAnsi="Arial"/>
          <w:color w:val="222222"/>
          <w:sz w:val="22"/>
          <w:szCs w:val="22"/>
        </w:rPr>
        <w:t xml:space="preserve">All copies of the original and modified Licensed Work, and derivative works of the Licensed Work, are subject to this License. This License applies separately for each version of the Licensed Work, and the Change Date may vary for each version of the Licensed Work released by the Licensor.</w:t>
      </w:r>
    </w:p>
    <w:p>
      <w:pPr>
        <w:spacing w:after="100" w:before="60"/>
        <w:jc w:val="left"/>
      </w:pPr>
      <w:r>
        <w:rPr>
          <w:rFonts w:ascii="Arial" w:cs="Arial" w:eastAsia="Arial" w:hAnsi="Arial"/>
          <w:color w:val="222222"/>
          <w:sz w:val="22"/>
          <w:szCs w:val="22"/>
        </w:rPr>
        <w:t xml:space="preserve">You must conspicuously display this License on each original or modified copy of the Licensed Work. If you receive the Licensed Work in original or modified form from a third party, the terms and conditions set forth in this License apply to your use of that work.</w:t>
      </w:r>
    </w:p>
    <w:p>
      <w:pPr>
        <w:spacing w:after="100" w:before="60"/>
        <w:jc w:val="left"/>
      </w:pPr>
      <w:r>
        <w:rPr>
          <w:rFonts w:ascii="Arial" w:cs="Arial" w:eastAsia="Arial" w:hAnsi="Arial"/>
          <w:color w:val="222222"/>
          <w:sz w:val="22"/>
          <w:szCs w:val="22"/>
        </w:rPr>
        <w:t xml:space="preserve">Any use of the Licensed Work in violation of this License will automatically terminate your rights under this License for the current and all future versions of the Licensed Work.</w:t>
      </w:r>
    </w:p>
    <w:p>
      <w:pPr>
        <w:spacing w:after="100" w:before="60"/>
        <w:jc w:val="left"/>
      </w:pPr>
      <w:r>
        <w:rPr>
          <w:rFonts w:ascii="Arial" w:cs="Arial" w:eastAsia="Arial" w:hAnsi="Arial"/>
          <w:color w:val="222222"/>
          <w:sz w:val="22"/>
          <w:szCs w:val="22"/>
        </w:rPr>
        <w:t xml:space="preserve">This License does not grant you any right in any trademark or logo of the Licensor or its affiliates (provided that you may use a trademark or logo of the Licensor as expressly required by this License).</w:t>
      </w:r>
    </w:p>
    <w:p>
      <w:pPr>
        <w:spacing w:after="100" w:before="60"/>
      </w:pPr>
      <w:r>
        <w:rPr>
          <w:rFonts w:ascii="Arial" w:cs="Arial" w:eastAsia="Arial" w:hAnsi="Arial"/>
          <w:color w:val="222222"/>
          <w:sz w:val="22"/>
          <w:szCs w:val="22"/>
        </w:rPr>
        <w:t xml:space="preserve">TO THE EXTENT PERMITTED BY APPLICABLE LAW, THE LICENSED WORK IS PROVIDED ON AN "AS IS" BASIS. THE LICENSOR HEREBY DISCLAIMS ALL WARRANTIES AND CONDITIONS, EXPRESS OR IMPLIED, INCLUDING (WITHOUT LIMITATION) WARRANTIES OF MERCHANTABILITY, FITNESS FOR A PARTICULAR PURPOSE, NON-INFRINGEMENT, AND TITLE.</w:t>
      </w:r>
    </w:p>
    <w:p>
      <w:pPr>
        <w:spacing w:after="100" w:before="60"/>
        <w:jc w:val="left"/>
      </w:pPr>
      <w:r>
        <w:rPr>
          <w:rFonts w:ascii="Arial" w:cs="Arial" w:eastAsia="Arial" w:hAnsi="Arial"/>
          <w:color w:val="222222"/>
          <w:sz w:val="22"/>
          <w:szCs w:val="22"/>
        </w:rPr>
        <w:t xml:space="preserve">MariaDB hereby grants you permission to use this License's text to license your works, and to refer to it using the trademark "Business Source License," as long as you comply with the Covenants of Licensor below.</w:t>
      </w:r>
    </w:p>
    <w:p>
      <w:pPr>
        <w:spacing w:after="160" w:before="0"/>
      </w:pPr>
    </w:p>
    <w:p>
      <w:pPr>
        <w:pStyle w:val="Heading2"/>
      </w:pPr>
      <w:r>
        <w:rPr>
          <w:rFonts w:ascii="Arial" w:cs="Arial" w:eastAsia="Arial" w:hAnsi="Arial"/>
          <w:b/>
          <w:bCs/>
          <w:color w:val="1A2B4A"/>
          <w:sz w:val="28"/>
          <w:szCs w:val="28"/>
        </w:rPr>
        <w:t xml:space="preserve">Covenants of Licensor</w:t>
      </w:r>
    </w:p>
    <w:p>
      <w:pPr>
        <w:pBdr>
          <w:bottom w:val="single" w:color="D0D8E4" w:sz="6" w:space="1"/>
        </w:pBdr>
        <w:spacing w:after="160" w:before="0"/>
      </w:pPr>
    </w:p>
    <w:p>
      <w:pPr>
        <w:spacing w:after="100" w:before="60"/>
        <w:jc w:val="left"/>
      </w:pPr>
      <w:r>
        <w:rPr>
          <w:rFonts w:ascii="Arial" w:cs="Arial" w:eastAsia="Arial" w:hAnsi="Arial"/>
          <w:color w:val="222222"/>
          <w:sz w:val="22"/>
          <w:szCs w:val="22"/>
        </w:rPr>
        <w:t xml:space="preserve">In consideration of the right to use this License's text and the "Business Source License" name and trademark, Licensor covenants to MariaDB, and to all who receive notice of this covenant:</w:t>
      </w:r>
    </w:p>
    <w:p>
      <w:pPr>
        <w:pStyle w:val="ListParagraph"/>
        <w:numPr>
          <w:ilvl w:val="0"/>
          <w:numId w:val="2"/>
        </w:numPr>
        <w:spacing w:after="80" w:before="60"/>
      </w:pPr>
      <w:r>
        <w:rPr>
          <w:rFonts w:ascii="Arial" w:cs="Arial" w:eastAsia="Arial" w:hAnsi="Arial"/>
          <w:color w:val="222222"/>
          <w:sz w:val="22"/>
          <w:szCs w:val="22"/>
        </w:rPr>
        <w:t xml:space="preserve">To specify as the Change License the GPL Version 2.0 or any later version, or a license that is compatible with GPL Version 2.0 or a later version, where "compatible" means that software provided under the Change License can be included in a program with software provided under GPL Version 2.0 or a later version. Licensor may specify additional Change Licenses without limitation. (Note: Apache 2.0 satisfies this requirement.)</w:t>
      </w:r>
    </w:p>
    <w:p>
      <w:pPr>
        <w:pStyle w:val="ListParagraph"/>
        <w:numPr>
          <w:ilvl w:val="0"/>
          <w:numId w:val="2"/>
        </w:numPr>
        <w:spacing w:after="80" w:before="60"/>
      </w:pPr>
      <w:r>
        <w:rPr>
          <w:rFonts w:ascii="Arial" w:cs="Arial" w:eastAsia="Arial" w:hAnsi="Arial"/>
          <w:color w:val="222222"/>
          <w:sz w:val="22"/>
          <w:szCs w:val="22"/>
        </w:rPr>
        <w:t xml:space="preserve">To either: (a) specify an additional grant of rights to use that does not impose any additional restriction on the right granted in this License, as the Additional Use Grant; or (b) insert the text "None" in the Additional Use Grant section above.</w:t>
      </w:r>
    </w:p>
    <w:p>
      <w:pPr>
        <w:pStyle w:val="ListParagraph"/>
        <w:numPr>
          <w:ilvl w:val="0"/>
          <w:numId w:val="2"/>
        </w:numPr>
        <w:spacing w:after="80" w:before="60"/>
      </w:pPr>
      <w:r>
        <w:rPr>
          <w:rFonts w:ascii="Arial" w:cs="Arial" w:eastAsia="Arial" w:hAnsi="Arial"/>
          <w:color w:val="222222"/>
          <w:sz w:val="22"/>
          <w:szCs w:val="22"/>
        </w:rPr>
        <w:t xml:space="preserve">To not modify this License in any other way.</w:t>
      </w:r>
    </w:p>
    <w:p>
      <w:pPr>
        <w:spacing w:after="160" w:before="0"/>
      </w:pPr>
    </w:p>
    <w:p>
      <w:pPr>
        <w:pStyle w:val="Heading2"/>
      </w:pPr>
      <w:r>
        <w:rPr>
          <w:rFonts w:ascii="Arial" w:cs="Arial" w:eastAsia="Arial" w:hAnsi="Arial"/>
          <w:b/>
          <w:bCs/>
          <w:color w:val="1A2B4A"/>
          <w:sz w:val="28"/>
          <w:szCs w:val="28"/>
        </w:rPr>
        <w:t xml:space="preserve">Attribution and Integrity</w:t>
      </w:r>
    </w:p>
    <w:p>
      <w:pPr>
        <w:pBdr>
          <w:bottom w:val="single" w:color="D0D8E4" w:sz="6" w:space="1"/>
        </w:pBdr>
        <w:spacing w:after="160" w:before="0"/>
      </w:pPr>
    </w:p>
    <w:p>
      <w:pPr>
        <w:pStyle w:val="ListParagraph"/>
        <w:numPr>
          <w:ilvl w:val="0"/>
          <w:numId w:val="2"/>
        </w:numPr>
        <w:spacing w:after="80" w:before="60"/>
      </w:pPr>
      <w:r>
        <w:rPr>
          <w:rFonts w:ascii="Arial" w:cs="Arial" w:eastAsia="Arial" w:hAnsi="Arial"/>
          <w:color w:val="222222"/>
          <w:sz w:val="22"/>
          <w:szCs w:val="22"/>
        </w:rPr>
        <w:t xml:space="preserve">Mandatory Attribution. Any use, distribution, or derivative work based on the Licensed Work, whether modified or unmodified, must prominently display the following notice in all copies, derivative works, and associated documentation:</w:t>
      </w:r>
    </w:p>
    <w:p>
      <w:pPr>
        <w:pBdr>
          <w:left w:val="single" w:color="C8A84B" w:sz="12" w:space="8"/>
        </w:pBdr>
        <w:spacing w:after="120" w:before="120"/>
        <w:ind w:left="720"/>
      </w:pPr>
      <w:r>
        <w:rPr>
          <w:rFonts w:ascii="Arial" w:cs="Arial" w:eastAsia="Arial" w:hAnsi="Arial"/>
          <w:i/>
          <w:iCs/>
          <w:color w:val="1A2B4A"/>
          <w:sz w:val="22"/>
          <w:szCs w:val="22"/>
        </w:rPr>
        <w:t xml:space="preserve">"This work is based on the Accountability Layer Protocol (ALP), original framework authored by Jesse Kransky. Source: https://github.com/alpframework-sketch/accountability-layer-protocol"</w:t>
      </w:r>
    </w:p>
    <w:p>
      <w:pPr>
        <w:pStyle w:val="ListParagraph"/>
        <w:numPr>
          <w:ilvl w:val="0"/>
          <w:numId w:val="2"/>
        </w:numPr>
        <w:spacing w:after="80" w:before="60"/>
      </w:pPr>
      <w:r>
        <w:rPr>
          <w:rFonts w:ascii="Arial" w:cs="Arial" w:eastAsia="Arial" w:hAnsi="Arial"/>
          <w:color w:val="222222"/>
          <w:sz w:val="22"/>
          <w:szCs w:val="22"/>
        </w:rPr>
        <w:t xml:space="preserve">No Misrepresentation of Origin. You may not present the Licensed Work, or any derivative work based upon it, as your own original work. You may not remove, obscure, or alter any attribution notices, authorship statements, version identifiers, or forensic identifiers contained in the Licensed Work.</w:t>
      </w:r>
    </w:p>
    <w:p>
      <w:pPr>
        <w:pStyle w:val="ListParagraph"/>
        <w:numPr>
          <w:ilvl w:val="0"/>
          <w:numId w:val="2"/>
        </w:numPr>
        <w:spacing w:after="80" w:before="60"/>
      </w:pPr>
      <w:r>
        <w:rPr>
          <w:rFonts w:ascii="Arial" w:cs="Arial" w:eastAsia="Arial" w:hAnsi="Arial"/>
          <w:color w:val="222222"/>
          <w:sz w:val="22"/>
          <w:szCs w:val="22"/>
        </w:rPr>
        <w:t xml:space="preserve">Derivative Works Must Be Clearly Marked. If you distribute a modified version of the Licensed Work, you must clearly state that changes were made, identify what was changed, and retain all original attribution notices intact. You may not use the name "Accountability Layer Protocol" or "ALP" as the primary identifier for a derivative work without the express written permission of the Licensor.</w:t>
      </w:r>
    </w:p>
    <w:p>
      <w:pPr>
        <w:pStyle w:val="ListParagraph"/>
        <w:numPr>
          <w:ilvl w:val="0"/>
          <w:numId w:val="2"/>
        </w:numPr>
        <w:spacing w:after="80" w:before="60"/>
      </w:pPr>
      <w:r>
        <w:rPr>
          <w:rFonts w:ascii="Arial" w:cs="Arial" w:eastAsia="Arial" w:hAnsi="Arial"/>
          <w:color w:val="222222"/>
          <w:sz w:val="22"/>
          <w:szCs w:val="22"/>
        </w:rPr>
        <w:t xml:space="preserve">No Endorsement. You may not use the name of the Licensor (Jesse Kransky) to endorse or promote products, services, or derivative works derived from the Licensed Work without prior written permission.</w:t>
      </w:r>
    </w:p>
    <w:p>
      <w:pPr>
        <w:spacing w:after="160" w:before="0"/>
      </w:pPr>
    </w:p>
    <w:p>
      <w:pPr>
        <w:pStyle w:val="Heading2"/>
      </w:pPr>
      <w:r>
        <w:rPr>
          <w:rFonts w:ascii="Arial" w:cs="Arial" w:eastAsia="Arial" w:hAnsi="Arial"/>
          <w:b/>
          <w:bCs/>
          <w:color w:val="1A2B4A"/>
          <w:sz w:val="28"/>
          <w:szCs w:val="28"/>
        </w:rPr>
        <w:t xml:space="preserve">Commercial Licensing</w:t>
      </w:r>
    </w:p>
    <w:p>
      <w:pPr>
        <w:pBdr>
          <w:bottom w:val="single" w:color="D0D8E4" w:sz="6" w:space="1"/>
        </w:pBdr>
        <w:spacing w:after="160" w:before="0"/>
      </w:pPr>
    </w:p>
    <w:p>
      <w:pPr>
        <w:spacing w:after="100" w:before="60"/>
        <w:jc w:val="left"/>
      </w:pPr>
      <w:r>
        <w:rPr>
          <w:rFonts w:ascii="Arial" w:cs="Arial" w:eastAsia="Arial" w:hAnsi="Arial"/>
          <w:color w:val="222222"/>
          <w:sz w:val="22"/>
          <w:szCs w:val="22"/>
        </w:rPr>
        <w:t xml:space="preserve">Corporate use — defined as use by any legal entity in a production environment — requires a commercial license. For commercial licensing inquiries, contact: alp.framework@gmail.com</w:t>
      </w:r>
    </w:p>
    <w:p>
      <w:pPr>
        <w:spacing w:after="200" w:before="0"/>
      </w:pPr>
    </w:p>
    <w:p>
      <w:pPr>
        <w:pBdr>
          <w:top w:val="single" w:color="D0D8E4" w:sz="6" w:space="4"/>
          <w:bottom w:val="single" w:color="D0D8E4" w:sz="6" w:space="4"/>
        </w:pBdr>
        <w:spacing w:after="160" w:before="160"/>
        <w:jc w:val="center"/>
      </w:pPr>
      <w:r>
        <w:rPr>
          <w:rFonts w:ascii="Arial" w:cs="Arial" w:eastAsia="Arial" w:hAnsi="Arial"/>
          <w:b/>
          <w:bCs/>
          <w:caps/>
          <w:color w:val="2E5077"/>
          <w:sz w:val="20"/>
          <w:szCs w:val="20"/>
        </w:rPr>
        <w:t xml:space="preserve">[ LICENSE SEALED ]     Jesse Kransky, Licensor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1"/>
      </w:pBdr>
      <w:spacing w:before="0"/>
    </w:pPr>
    <w:r>
      <w:rPr>
        <w:rFonts w:ascii="Arial" w:cs="Arial" w:eastAsia="Arial" w:hAnsi="Arial"/>
        <w:color w:val="888888"/>
        <w:sz w:val="16"/>
        <w:szCs w:val="16"/>
      </w:rPr>
      <w:t xml:space="preserve">Principal Architect: Jesse Kransky   |   GOLD MASTER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1"/>
      </w:pBdr>
      <w:tabs>
        <w:tab w:val="right" w:pos="9026"/>
      </w:tabs>
      <w:spacing w:after="0"/>
    </w:pPr>
    <w:r>
      <w:rPr>
        <w:rFonts w:ascii="Arial" w:cs="Arial" w:eastAsia="Arial" w:hAnsi="Arial"/>
        <w:b/>
        <w:bCs/>
        <w:color w:val="2E5077"/>
        <w:sz w:val="18"/>
        <w:szCs w:val="18"/>
      </w:rPr>
      <w:t xml:space="preserve">ALP FRAMEWORK — UNIFIED REFERENCE</w:t>
    </w:r>
    <w:r>
      <w:rPr>
        <w:rFonts w:ascii="Arial" w:cs="Arial" w:eastAsia="Arial" w:hAnsi="Arial"/>
        <w:color w:val="888888"/>
        <w:sz w:val="18"/>
        <w:szCs w:val="18"/>
      </w:rPr>
      <w:t xml:space="preserve">	v1.7.0 + ML v1.0.4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A2B4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0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2026-05-20T18:58:25.326Z</dcterms:created>
  <dcterms:modified xsi:type="dcterms:W3CDTF">2026-05-20T18:58:25.341Z</dcterms:modified>
</cp:coreProperties>
</file>

<file path=docProps/custom.xml><?xml version="1.0" encoding="utf-8"?>
<Properties xmlns="http://schemas.openxmlformats.org/officeDocument/2006/custom-properties" xmlns:vt="http://schemas.openxmlformats.org/officeDocument/2006/docPropsVTypes"/>
</file>