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color w:val="144FAF"/>
          <w:sz w:val="56"/>
        </w:rPr>
        <w:t>IARTS Dining Hall System</w:t>
      </w:r>
    </w:p>
    <w:p>
      <w:pPr>
        <w:jc w:val="center"/>
      </w:pPr>
      <w:r>
        <w:rPr>
          <w:color w:val="445566"/>
          <w:sz w:val="28"/>
        </w:rPr>
        <w:t>How the System Works — A UI Walkthrough</w:t>
      </w:r>
    </w:p>
    <w:p>
      <w:pPr>
        <w:spacing w:after="720"/>
        <w:jc w:val="center"/>
      </w:pPr>
      <w:r>
        <w:rPr>
          <w:color w:val="667788"/>
          <w:sz w:val="21"/>
        </w:rPr>
        <w:t>St. Augustine College  ·  Senior High School Dining Hall Management</w:t>
      </w:r>
    </w:p>
    <w:p>
      <w:r>
        <w:br w:type="page"/>
      </w:r>
    </w:p>
    <w:p>
      <w:pPr>
        <w:spacing w:before="440" w:after="120"/>
        <w:pBdr>
          <w:bottom w:val="single" w:sz="6" w:space="4" w:color="144FAF"/>
        </w:pBdr>
      </w:pPr>
      <w:r>
        <w:rPr>
          <w:b/>
          <w:color w:val="144FAF"/>
          <w:sz w:val="40"/>
        </w:rPr>
        <w:t>1. What Is IARTS?</w:t>
      </w:r>
    </w:p>
    <w:p>
      <w:pPr>
        <w:spacing w:after="100"/>
      </w:pPr>
      <w:r>
        <w:rPr>
          <w:color w:val="222222"/>
          <w:sz w:val="22"/>
        </w:rPr>
        <w:t>IARTS — Institutional Accountability &amp; Resource Tracking System — is a web-based platform that manages the entire dining hall operation of a Senior High School in Ghana. It connects four groups of people — the school, the government, food suppliers, and the bank — through one digital system, replacing paper records and manual processes.</w:t>
      </w:r>
    </w:p>
    <w:p>
      <w:pPr>
        <w:spacing w:before="120" w:after="120"/>
        <w:ind w:left="360" w:right="360"/>
        <w:shd w:val="clear" w:color="auto" w:fill="D6E8FB"/>
      </w:pPr>
      <w:r>
        <w:rPr>
          <w:b/>
          <w:sz w:val="22"/>
        </w:rPr>
        <w:t xml:space="preserve">In one sentence:  </w:t>
      </w:r>
      <w:r>
        <w:rPr>
          <w:sz w:val="22"/>
        </w:rPr>
        <w:t>Every meal a student eats, every bag of rice delivered, and every government payment released is tracked, verified, and audited inside IARTS.</w:t>
      </w:r>
    </w:p>
    <w:p>
      <w:pPr>
        <w:spacing w:before="320" w:after="80"/>
      </w:pPr>
      <w:r>
        <w:rPr>
          <w:b/>
          <w:color w:val="1A1A2E"/>
          <w:sz w:val="28"/>
        </w:rPr>
        <w:t>The Four Actors</w:t>
      </w:r>
    </w:p>
    <w:tbl>
      <w:tblPr>
        <w:tblStyle w:val="TableGrid"/>
        <w:tblW w:type="auto" w:w="0"/>
        <w:tblLook w:firstColumn="1" w:firstRow="1" w:lastColumn="0" w:lastRow="0" w:noHBand="0" w:noVBand="1" w:val="04A0"/>
      </w:tblPr>
      <w:tblGrid>
        <w:gridCol w:w="4464"/>
        <w:gridCol w:w="4464"/>
      </w:tblGrid>
      <w:tr>
        <w:tc>
          <w:tcPr>
            <w:tcW w:type="dxa" w:w="4464"/>
            <w:shd w:val="clear" w:color="auto" w:fill="D6E8FB"/>
          </w:tcPr>
          <w:p>
            <w:r>
              <w:rPr>
                <w:b/>
                <w:sz w:val="20"/>
              </w:rPr>
              <w:t>Actor</w:t>
            </w:r>
          </w:p>
        </w:tc>
        <w:tc>
          <w:tcPr>
            <w:tcW w:type="dxa" w:w="4464"/>
            <w:shd w:val="clear" w:color="auto" w:fill="D6E8FB"/>
          </w:tcPr>
          <w:p>
            <w:r>
              <w:rPr>
                <w:b/>
                <w:sz w:val="20"/>
              </w:rPr>
              <w:t>What They Do</w:t>
            </w:r>
          </w:p>
        </w:tc>
      </w:tr>
      <w:tr>
        <w:tc>
          <w:tcPr>
            <w:tcW w:type="dxa" w:w="4464"/>
            <w:shd w:val="clear" w:color="auto" w:fill="F3F4F6"/>
          </w:tcPr>
          <w:p>
            <w:r>
              <w:rPr>
                <w:sz w:val="20"/>
              </w:rPr>
              <w:t>School Admin</w:t>
            </w:r>
          </w:p>
        </w:tc>
        <w:tc>
          <w:tcPr>
            <w:tcW w:type="dxa" w:w="4464"/>
            <w:shd w:val="clear" w:color="auto" w:fill="F3F4F6"/>
          </w:tcPr>
          <w:p>
            <w:r>
              <w:rPr>
                <w:sz w:val="20"/>
              </w:rPr>
              <w:t>Manages students, issues dining cards, monitors the dining hall live feed, tracks supplies, and reviews daily meal reports.</w:t>
            </w:r>
          </w:p>
        </w:tc>
      </w:tr>
      <w:tr>
        <w:tc>
          <w:tcPr>
            <w:tcW w:type="dxa" w:w="4464"/>
          </w:tcPr>
          <w:p>
            <w:r>
              <w:rPr>
                <w:sz w:val="20"/>
              </w:rPr>
              <w:t>Government</w:t>
            </w:r>
          </w:p>
        </w:tc>
        <w:tc>
          <w:tcPr>
            <w:tcW w:type="dxa" w:w="4464"/>
          </w:tcPr>
          <w:p>
            <w:r>
              <w:rPr>
                <w:sz w:val="20"/>
              </w:rPr>
              <w:t>Issues financial tokens to suppliers, reviews school attendance and fraud reports, and approves reimbursement claims.</w:t>
            </w:r>
          </w:p>
        </w:tc>
      </w:tr>
      <w:tr>
        <w:tc>
          <w:tcPr>
            <w:tcW w:type="dxa" w:w="4464"/>
            <w:shd w:val="clear" w:color="auto" w:fill="F3F4F6"/>
          </w:tcPr>
          <w:p>
            <w:r>
              <w:rPr>
                <w:sz w:val="20"/>
              </w:rPr>
              <w:t>Supplier</w:t>
            </w:r>
          </w:p>
        </w:tc>
        <w:tc>
          <w:tcPr>
            <w:tcW w:type="dxa" w:w="4464"/>
            <w:shd w:val="clear" w:color="auto" w:fill="F3F4F6"/>
          </w:tcPr>
          <w:p>
            <w:r>
              <w:rPr>
                <w:sz w:val="20"/>
              </w:rPr>
              <w:t>Receives government tokens, delivers food to the school, logs deliveries, and submits tokens to the bank for cash.</w:t>
            </w:r>
          </w:p>
        </w:tc>
      </w:tr>
      <w:tr>
        <w:tc>
          <w:tcPr>
            <w:tcW w:type="dxa" w:w="4464"/>
          </w:tcPr>
          <w:p>
            <w:r>
              <w:rPr>
                <w:sz w:val="20"/>
              </w:rPr>
              <w:t>Bank</w:t>
            </w:r>
          </w:p>
        </w:tc>
        <w:tc>
          <w:tcPr>
            <w:tcW w:type="dxa" w:w="4464"/>
          </w:tcPr>
          <w:p>
            <w:r>
              <w:rPr>
                <w:sz w:val="20"/>
              </w:rPr>
              <w:t>Validates tokens submitted by suppliers and releases cash once a token is confirmed authentic.</w:t>
            </w:r>
          </w:p>
        </w:tc>
      </w:tr>
    </w:tbl>
    <w:p/>
    <w:p>
      <w:pPr>
        <w:spacing w:before="320" w:after="80"/>
      </w:pPr>
      <w:r>
        <w:rPr>
          <w:b/>
          <w:color w:val="1A1A2E"/>
          <w:sz w:val="28"/>
        </w:rPr>
        <w:t>One Shared Goal</w:t>
      </w:r>
    </w:p>
    <w:p>
      <w:pPr>
        <w:spacing w:after="100"/>
      </w:pPr>
      <w:r>
        <w:rPr>
          <w:color w:val="222222"/>
          <w:sz w:val="22"/>
        </w:rPr>
        <w:t>Every actor's screen ultimately serves the same pipeline: students eat meals → data is recorded → reports are generated → the government reimburses the school → the school's suppliers get paid. IARTS makes every step of this traceable and fraud-resistant.</w:t>
      </w:r>
    </w:p>
    <w:p>
      <w:r>
        <w:br w:type="page"/>
      </w:r>
    </w:p>
    <w:p>
      <w:pPr>
        <w:spacing w:before="440" w:after="120"/>
        <w:pBdr>
          <w:bottom w:val="single" w:sz="6" w:space="4" w:color="144FAF"/>
        </w:pBdr>
      </w:pPr>
      <w:r>
        <w:rPr>
          <w:b/>
          <w:color w:val="144FAF"/>
          <w:sz w:val="40"/>
        </w:rPr>
        <w:t>2. The Login Screen</w:t>
      </w:r>
    </w:p>
    <w:p>
      <w:pPr>
        <w:spacing w:after="100"/>
      </w:pPr>
      <w:r>
        <w:rPr>
          <w:color w:val="222222"/>
          <w:sz w:val="22"/>
        </w:rPr>
        <w:t>When you open IARTS in a browser you land on a clean login page branded with the IARTS shield logo. The page has two sections.</w:t>
      </w:r>
    </w:p>
    <w:p>
      <w:pPr>
        <w:spacing w:before="320" w:after="80"/>
      </w:pPr>
      <w:r>
        <w:rPr>
          <w:b/>
          <w:color w:val="1A1A2E"/>
          <w:sz w:val="28"/>
        </w:rPr>
        <w:t>Sign In Form</w:t>
      </w:r>
    </w:p>
    <w:p>
      <w:pPr>
        <w:spacing w:after="100"/>
      </w:pPr>
      <w:r>
        <w:rPr>
          <w:color w:val="222222"/>
          <w:sz w:val="22"/>
        </w:rPr>
        <w:t>A standard email-and-password form sits at the top. You enter your institution credentials and click Sign In. The system reads your role from your account and automatically takes you to the right portal — a school admin goes to /admin, a government officer goes to /gov, and so on. You never have to choose your portal manually.</w:t>
      </w:r>
    </w:p>
    <w:p>
      <w:pPr>
        <w:spacing w:before="320" w:after="80"/>
      </w:pPr>
      <w:r>
        <w:rPr>
          <w:b/>
          <w:color w:val="1A1A2E"/>
          <w:sz w:val="28"/>
        </w:rPr>
        <w:t>Quick Portal Access</w:t>
      </w:r>
    </w:p>
    <w:p>
      <w:pPr>
        <w:spacing w:after="100"/>
      </w:pPr>
      <w:r>
        <w:rPr>
          <w:color w:val="222222"/>
          <w:sz w:val="22"/>
        </w:rPr>
        <w:t>Below the form, four shortcut tiles let you jump directly into any portal with one click (useful for demos and development). Each tile is colour-coded:</w:t>
      </w:r>
    </w:p>
    <w:tbl>
      <w:tblPr>
        <w:tblStyle w:val="TableGrid"/>
        <w:tblW w:type="auto" w:w="0"/>
        <w:tblLook w:firstColumn="1" w:firstRow="1" w:lastColumn="0" w:lastRow="0" w:noHBand="0" w:noVBand="1" w:val="04A0"/>
      </w:tblPr>
      <w:tblGrid>
        <w:gridCol w:w="4464"/>
        <w:gridCol w:w="4464"/>
      </w:tblGrid>
      <w:tr>
        <w:tc>
          <w:tcPr>
            <w:tcW w:type="dxa" w:w="4464"/>
          </w:tcPr>
          <w:p>
            <w:r>
              <w:rPr>
                <w:sz w:val="20"/>
              </w:rPr>
              <w:t>School Admin  (blue tile)</w:t>
            </w:r>
          </w:p>
        </w:tc>
        <w:tc>
          <w:tcPr>
            <w:tcW w:type="dxa" w:w="4464"/>
          </w:tcPr>
          <w:p>
            <w:r>
              <w:rPr>
                <w:sz w:val="20"/>
              </w:rPr>
              <w:t>Manage students &amp; dining hall</w:t>
            </w:r>
          </w:p>
        </w:tc>
      </w:tr>
      <w:tr>
        <w:tc>
          <w:tcPr>
            <w:tcW w:type="dxa" w:w="4464"/>
          </w:tcPr>
          <w:p>
            <w:r>
              <w:rPr>
                <w:sz w:val="20"/>
              </w:rPr>
              <w:t>Government  (violet tile)</w:t>
            </w:r>
          </w:p>
        </w:tc>
        <w:tc>
          <w:tcPr>
            <w:tcW w:type="dxa" w:w="4464"/>
          </w:tcPr>
          <w:p>
            <w:r>
              <w:rPr>
                <w:sz w:val="20"/>
              </w:rPr>
              <w:t>Review reports &amp; issue tokens</w:t>
            </w:r>
          </w:p>
        </w:tc>
      </w:tr>
      <w:tr>
        <w:tc>
          <w:tcPr>
            <w:tcW w:type="dxa" w:w="4464"/>
          </w:tcPr>
          <w:p>
            <w:r>
              <w:rPr>
                <w:sz w:val="20"/>
              </w:rPr>
              <w:t>Supplier  (green tile)</w:t>
            </w:r>
          </w:p>
        </w:tc>
        <w:tc>
          <w:tcPr>
            <w:tcW w:type="dxa" w:w="4464"/>
          </w:tcPr>
          <w:p>
            <w:r>
              <w:rPr>
                <w:sz w:val="20"/>
              </w:rPr>
              <w:t>Track tokens &amp; deliveries</w:t>
            </w:r>
          </w:p>
        </w:tc>
      </w:tr>
      <w:tr>
        <w:tc>
          <w:tcPr>
            <w:tcW w:type="dxa" w:w="4464"/>
          </w:tcPr>
          <w:p>
            <w:r>
              <w:rPr>
                <w:sz w:val="20"/>
              </w:rPr>
              <w:t>Bank  (amber tile)</w:t>
            </w:r>
          </w:p>
        </w:tc>
        <w:tc>
          <w:tcPr>
            <w:tcW w:type="dxa" w:w="4464"/>
          </w:tcPr>
          <w:p>
            <w:r>
              <w:rPr>
                <w:sz w:val="20"/>
              </w:rPr>
              <w:t>Validate tokens &amp; release cash</w:t>
            </w:r>
          </w:p>
        </w:tc>
      </w:tr>
      <w:tr>
        <w:tc>
          <w:tcPr>
            <w:tcW w:type="dxa" w:w="4464"/>
          </w:tcPr>
          <w:p>
            <w:r>
              <w:rPr>
                <w:sz w:val="20"/>
              </w:rPr>
              <w:t>Scanner Kiosk  (orange tile)</w:t>
            </w:r>
          </w:p>
        </w:tc>
        <w:tc>
          <w:tcPr>
            <w:tcW w:type="dxa" w:w="4464"/>
          </w:tcPr>
          <w:p>
            <w:r>
              <w:rPr>
                <w:sz w:val="20"/>
              </w:rPr>
              <w:t>Opens the dining hall QR scanner — no login required</w:t>
            </w:r>
          </w:p>
        </w:tc>
      </w:tr>
    </w:tbl>
    <w:p/>
    <w:p>
      <w:pPr>
        <w:spacing w:before="120" w:after="120"/>
        <w:ind w:left="360" w:right="360"/>
        <w:shd w:val="clear" w:color="auto" w:fill="FFF3CD"/>
      </w:pPr>
      <w:r>
        <w:rPr>
          <w:b/>
          <w:sz w:val="22"/>
        </w:rPr>
        <w:t xml:space="preserve">Mobile Note:  </w:t>
      </w:r>
      <w:r>
        <w:rPr>
          <w:sz w:val="22"/>
        </w:rPr>
        <w:t>The system is desktop-only. If you open it on a phone or tablet, you see a "Desktop Only" message. The only exception is the Scanner Kiosk page, which is intentionally mobile-friendly so it can run on a tablet mounted at the dining hall entrance.</w:t>
      </w:r>
    </w:p>
    <w:p>
      <w:r>
        <w:br w:type="page"/>
      </w:r>
    </w:p>
    <w:p>
      <w:pPr>
        <w:spacing w:before="440" w:after="120"/>
        <w:pBdr>
          <w:bottom w:val="single" w:sz="6" w:space="4" w:color="144FAF"/>
        </w:pBdr>
      </w:pPr>
      <w:r>
        <w:rPr>
          <w:b/>
          <w:color w:val="144FAF"/>
          <w:sz w:val="40"/>
        </w:rPr>
        <w:t>3. The Scanner Kiosk  (/scanner)</w:t>
      </w:r>
    </w:p>
    <w:p>
      <w:pPr>
        <w:spacing w:after="100"/>
      </w:pPr>
      <w:r>
        <w:rPr>
          <w:color w:val="222222"/>
          <w:sz w:val="22"/>
        </w:rPr>
        <w:t>This is the physical-world interface of IARTS — the screen that sits at the dining hall entrance. It requires no login. When a student approaches, they hold up their QR card to the camera and the system responds in under a second.</w:t>
      </w:r>
    </w:p>
    <w:p>
      <w:pPr>
        <w:spacing w:before="320" w:after="80"/>
      </w:pPr>
      <w:r>
        <w:rPr>
          <w:b/>
          <w:color w:val="1A1A2E"/>
          <w:sz w:val="28"/>
        </w:rPr>
        <w:t>What the Kiosk Screen Shows</w:t>
      </w:r>
    </w:p>
    <w:p>
      <w:pPr>
        <w:pStyle w:val="ListBullet"/>
        <w:spacing w:after="60"/>
      </w:pPr>
      <w:r>
        <w:rPr>
          <w:sz w:val="22"/>
        </w:rPr>
        <w:t>A large "Scan Your Student Card" heading on a dark background.</w:t>
      </w:r>
    </w:p>
    <w:p>
      <w:pPr>
        <w:pStyle w:val="ListBullet"/>
        <w:spacing w:after="60"/>
      </w:pPr>
      <w:r>
        <w:rPr>
          <w:sz w:val="22"/>
        </w:rPr>
        <w:t>A live camera viewport with corner bracket guides to help students align their card.</w:t>
      </w:r>
    </w:p>
    <w:p>
      <w:pPr>
        <w:pStyle w:val="ListBullet"/>
        <w:spacing w:after="60"/>
      </w:pPr>
      <w:r>
        <w:rPr>
          <w:sz w:val="22"/>
        </w:rPr>
        <w:t>Three real-time counters at the bottom: Served (white), Duplicates (orange), Flagged (red).</w:t>
      </w:r>
    </w:p>
    <w:p>
      <w:pPr>
        <w:spacing w:before="320" w:after="80"/>
      </w:pPr>
      <w:r>
        <w:rPr>
          <w:b/>
          <w:color w:val="1A1A2E"/>
          <w:sz w:val="28"/>
        </w:rPr>
        <w:t>The Four Possible Outcomes</w:t>
      </w:r>
    </w:p>
    <w:tbl>
      <w:tblPr>
        <w:tblStyle w:val="TableGrid"/>
        <w:tblW w:type="auto" w:w="0"/>
        <w:tblLook w:firstColumn="1" w:firstRow="1" w:lastColumn="0" w:lastRow="0" w:noHBand="0" w:noVBand="1" w:val="04A0"/>
      </w:tblPr>
      <w:tblGrid>
        <w:gridCol w:w="4464"/>
        <w:gridCol w:w="4464"/>
      </w:tblGrid>
      <w:tr>
        <w:tc>
          <w:tcPr>
            <w:tcW w:type="dxa" w:w="4464"/>
            <w:shd w:val="clear" w:color="auto" w:fill="D6E8FB"/>
          </w:tcPr>
          <w:p>
            <w:r>
              <w:rPr>
                <w:b/>
                <w:sz w:val="20"/>
              </w:rPr>
              <w:t>Result</w:t>
            </w:r>
          </w:p>
        </w:tc>
        <w:tc>
          <w:tcPr>
            <w:tcW w:type="dxa" w:w="4464"/>
            <w:shd w:val="clear" w:color="auto" w:fill="D6E8FB"/>
          </w:tcPr>
          <w:p>
            <w:r>
              <w:rPr>
                <w:b/>
                <w:sz w:val="20"/>
              </w:rPr>
              <w:t>What Happens</w:t>
            </w:r>
          </w:p>
        </w:tc>
      </w:tr>
      <w:tr>
        <w:tc>
          <w:tcPr>
            <w:tcW w:type="dxa" w:w="4464"/>
            <w:shd w:val="clear" w:color="auto" w:fill="F3F4F6"/>
          </w:tcPr>
          <w:p>
            <w:r>
              <w:rPr>
                <w:sz w:val="20"/>
              </w:rPr>
              <w:t>✅  Served</w:t>
            </w:r>
          </w:p>
        </w:tc>
        <w:tc>
          <w:tcPr>
            <w:tcW w:type="dxa" w:w="4464"/>
            <w:shd w:val="clear" w:color="auto" w:fill="F3F4F6"/>
          </w:tcPr>
          <w:p>
            <w:r>
              <w:rPr>
                <w:sz w:val="20"/>
              </w:rPr>
              <w:t>Card is valid, student is active, and this is their first scan for this session. A green toast pops up with the student's name. Served counter goes up.</w:t>
            </w:r>
          </w:p>
        </w:tc>
      </w:tr>
      <w:tr>
        <w:tc>
          <w:tcPr>
            <w:tcW w:type="dxa" w:w="4464"/>
          </w:tcPr>
          <w:p>
            <w:r>
              <w:rPr>
                <w:sz w:val="20"/>
              </w:rPr>
              <w:t>🔁  Duplicate Scan</w:t>
            </w:r>
          </w:p>
        </w:tc>
        <w:tc>
          <w:tcPr>
            <w:tcW w:type="dxa" w:w="4464"/>
          </w:tcPr>
          <w:p>
            <w:r>
              <w:rPr>
                <w:sz w:val="20"/>
              </w:rPr>
              <w:t>This card was already scanned in the current meal session. A red toast says "Duplicate scan". The student does not get a second meal. Duplicate counter goes up.</w:t>
            </w:r>
          </w:p>
        </w:tc>
      </w:tr>
      <w:tr>
        <w:tc>
          <w:tcPr>
            <w:tcW w:type="dxa" w:w="4464"/>
            <w:shd w:val="clear" w:color="auto" w:fill="F3F4F6"/>
          </w:tcPr>
          <w:p>
            <w:r>
              <w:rPr>
                <w:sz w:val="20"/>
              </w:rPr>
              <w:t>⚠️  Inactive Student</w:t>
            </w:r>
          </w:p>
        </w:tc>
        <w:tc>
          <w:tcPr>
            <w:tcW w:type="dxa" w:w="4464"/>
            <w:shd w:val="clear" w:color="auto" w:fill="F3F4F6"/>
          </w:tcPr>
          <w:p>
            <w:r>
              <w:rPr>
                <w:sz w:val="20"/>
              </w:rPr>
              <w:t>The card exists but the student is suspended or has left the school. Red toast, flagged counter goes up.</w:t>
            </w:r>
          </w:p>
        </w:tc>
      </w:tr>
      <w:tr>
        <w:tc>
          <w:tcPr>
            <w:tcW w:type="dxa" w:w="4464"/>
          </w:tcPr>
          <w:p>
            <w:r>
              <w:rPr>
                <w:sz w:val="20"/>
              </w:rPr>
              <w:t>❌  Unknown Card</w:t>
            </w:r>
          </w:p>
        </w:tc>
        <w:tc>
          <w:tcPr>
            <w:tcW w:type="dxa" w:w="4464"/>
          </w:tcPr>
          <w:p>
            <w:r>
              <w:rPr>
                <w:sz w:val="20"/>
              </w:rPr>
              <w:t>The QR code is not in the system at all — possibly a forged or expired card. Red toast, flagged counter goes up.</w:t>
            </w:r>
          </w:p>
        </w:tc>
      </w:tr>
    </w:tbl>
    <w:p/>
    <w:p>
      <w:pPr>
        <w:spacing w:before="120" w:after="120"/>
        <w:ind w:left="360" w:right="360"/>
        <w:shd w:val="clear" w:color="auto" w:fill="F3F4F6"/>
      </w:pPr>
      <w:r>
        <w:rPr>
          <w:b/>
          <w:sz w:val="22"/>
        </w:rPr>
        <w:t xml:space="preserve">Anti-double-scan:  </w:t>
      </w:r>
      <w:r>
        <w:rPr>
          <w:sz w:val="22"/>
        </w:rPr>
        <w:t>A 3-second cooldown prevents the same card from being submitted twice accidentally (e.g. if the student holds the card in frame too long).</w:t>
      </w:r>
    </w:p>
    <w:p>
      <w:r>
        <w:br w:type="page"/>
      </w:r>
    </w:p>
    <w:p>
      <w:pPr>
        <w:spacing w:before="440" w:after="120"/>
        <w:pBdr>
          <w:bottom w:val="single" w:sz="6" w:space="4" w:color="144FAF"/>
        </w:pBdr>
      </w:pPr>
      <w:r>
        <w:rPr>
          <w:b/>
          <w:color w:val="144FAF"/>
          <w:sz w:val="40"/>
        </w:rPr>
        <w:t>4. School Admin Portal</w:t>
      </w:r>
    </w:p>
    <w:p>
      <w:pPr>
        <w:spacing w:after="100"/>
      </w:pPr>
      <w:r>
        <w:rPr>
          <w:color w:val="222222"/>
          <w:sz w:val="22"/>
        </w:rPr>
        <w:t>The school admin portal is the most feature-rich part of IARTS. It is the operational hub for the school — the person using it oversees everything from enrolling a new student to reviewing fraud alerts and submitting reimbursement claims. The layout is a persistent left sidebar with navigation links and a main content area on the right.</w:t>
      </w:r>
    </w:p>
    <w:p>
      <w:pPr>
        <w:spacing w:before="320" w:after="80"/>
      </w:pPr>
      <w:r>
        <w:rPr>
          <w:b/>
          <w:color w:val="1A1A2E"/>
          <w:sz w:val="28"/>
        </w:rPr>
        <w:t>4.1  Dashboard — The First Thing You See</w:t>
      </w:r>
    </w:p>
    <w:p>
      <w:pPr>
        <w:spacing w:after="100"/>
      </w:pPr>
      <w:r>
        <w:rPr>
          <w:color w:val="222222"/>
          <w:sz w:val="22"/>
        </w:rPr>
        <w:t>The dashboard greets the admin with four stat cards across the top of the page:</w:t>
      </w:r>
    </w:p>
    <w:tbl>
      <w:tblPr>
        <w:tblStyle w:val="TableGrid"/>
        <w:tblW w:type="auto" w:w="0"/>
        <w:tblLook w:firstColumn="1" w:firstRow="1" w:lastColumn="0" w:lastRow="0" w:noHBand="0" w:noVBand="1" w:val="04A0"/>
      </w:tblPr>
      <w:tblGrid>
        <w:gridCol w:w="4464"/>
        <w:gridCol w:w="4464"/>
      </w:tblGrid>
      <w:tr>
        <w:tc>
          <w:tcPr>
            <w:tcW w:type="dxa" w:w="4464"/>
            <w:shd w:val="clear" w:color="auto" w:fill="F3F4F6"/>
          </w:tcPr>
          <w:p>
            <w:r>
              <w:rPr>
                <w:sz w:val="20"/>
              </w:rPr>
              <w:t>Meals Served Today</w:t>
            </w:r>
          </w:p>
        </w:tc>
        <w:tc>
          <w:tcPr>
            <w:tcW w:type="dxa" w:w="4464"/>
            <w:shd w:val="clear" w:color="auto" w:fill="F3F4F6"/>
          </w:tcPr>
          <w:p>
            <w:r>
              <w:rPr>
                <w:sz w:val="20"/>
              </w:rPr>
              <w:t>Total verified scans across all dining halls, with a percentage trend vs. yesterday.</w:t>
            </w:r>
          </w:p>
        </w:tc>
      </w:tr>
      <w:tr>
        <w:tc>
          <w:tcPr>
            <w:tcW w:type="dxa" w:w="4464"/>
          </w:tcPr>
          <w:p>
            <w:r>
              <w:rPr>
                <w:sz w:val="20"/>
              </w:rPr>
              <w:t>Breakfast / Lunch count</w:t>
            </w:r>
          </w:p>
        </w:tc>
        <w:tc>
          <w:tcPr>
            <w:tcW w:type="dxa" w:w="4464"/>
          </w:tcPr>
          <w:p>
            <w:r>
              <w:rPr>
                <w:sz w:val="20"/>
              </w:rPr>
              <w:t>Shows the session count for the current time of day (switches automatically based on the clock).</w:t>
            </w:r>
          </w:p>
        </w:tc>
      </w:tr>
      <w:tr>
        <w:tc>
          <w:tcPr>
            <w:tcW w:type="dxa" w:w="4464"/>
            <w:shd w:val="clear" w:color="auto" w:fill="F3F4F6"/>
          </w:tcPr>
          <w:p>
            <w:r>
              <w:rPr>
                <w:sz w:val="20"/>
              </w:rPr>
              <w:t>Fraud Flags</w:t>
            </w:r>
          </w:p>
        </w:tc>
        <w:tc>
          <w:tcPr>
            <w:tcW w:type="dxa" w:w="4464"/>
            <w:shd w:val="clear" w:color="auto" w:fill="F3F4F6"/>
          </w:tcPr>
          <w:p>
            <w:r>
              <w:rPr>
                <w:sz w:val="20"/>
              </w:rPr>
              <w:t>Number of suspicious events detected today. This card is clickable — it takes you straight to the Fraud Alerts page.</w:t>
            </w:r>
          </w:p>
        </w:tc>
      </w:tr>
    </w:tbl>
    <w:p/>
    <w:p>
      <w:pPr>
        <w:spacing w:after="100"/>
      </w:pPr>
      <w:r>
        <w:rPr>
          <w:color w:val="222222"/>
          <w:sz w:val="22"/>
        </w:rPr>
        <w:t>Below the stat cards is the Live Dining Hall Feed — a real-time table of every scan event today. You can filter it by status: All Logs, Served, Duplicate, Flagged, Invalid Card, or Inactive Student. There is also a search box. Clicking any row opens that student's profile.</w:t>
      </w:r>
    </w:p>
    <w:p>
      <w:pPr>
        <w:spacing w:before="320" w:after="80"/>
      </w:pPr>
      <w:r>
        <w:rPr>
          <w:b/>
          <w:color w:val="1A1A2E"/>
          <w:sz w:val="28"/>
        </w:rPr>
        <w:t>4.2  Student Registry — Managing Every Student</w:t>
      </w:r>
    </w:p>
    <w:p>
      <w:pPr>
        <w:spacing w:after="100"/>
      </w:pPr>
      <w:r>
        <w:rPr>
          <w:color w:val="222222"/>
          <w:sz w:val="22"/>
        </w:rPr>
        <w:t>This page lists every student in the school. At a glance you can see each student's ID, name, form, programme, house, dining eligibility, card status, and student status.</w:t>
      </w:r>
    </w:p>
    <w:p>
      <w:pPr>
        <w:spacing w:before="200" w:after="60"/>
      </w:pPr>
      <w:r>
        <w:rPr>
          <w:b/>
          <w:color w:val="445566"/>
          <w:sz w:val="23"/>
        </w:rPr>
        <w:t>Filters</w:t>
      </w:r>
    </w:p>
    <w:p>
      <w:pPr>
        <w:pStyle w:val="ListBullet"/>
        <w:spacing w:after="60"/>
      </w:pPr>
      <w:r>
        <w:rPr>
          <w:sz w:val="22"/>
        </w:rPr>
        <w:t>Status filter: All, Active, Pending, Suspended, Inactive</w:t>
      </w:r>
    </w:p>
    <w:p>
      <w:pPr>
        <w:pStyle w:val="ListBullet"/>
        <w:spacing w:after="60"/>
      </w:pPr>
      <w:r>
        <w:rPr>
          <w:sz w:val="22"/>
        </w:rPr>
        <w:t>Form filter: All Forms, Form 1, Form 2, Form 3</w:t>
      </w:r>
    </w:p>
    <w:p>
      <w:pPr>
        <w:spacing w:before="200" w:after="60"/>
      </w:pPr>
      <w:r>
        <w:rPr>
          <w:b/>
          <w:color w:val="445566"/>
          <w:sz w:val="23"/>
        </w:rPr>
        <w:t>Student Profile (click any row)</w:t>
      </w:r>
    </w:p>
    <w:p>
      <w:pPr>
        <w:spacing w:after="100"/>
      </w:pPr>
      <w:r>
        <w:rPr>
          <w:color w:val="222222"/>
          <w:sz w:val="22"/>
        </w:rPr>
        <w:t>Clicking a student opens a full detail panel showing:</w:t>
      </w:r>
    </w:p>
    <w:p>
      <w:pPr>
        <w:pStyle w:val="ListBullet"/>
        <w:spacing w:after="60"/>
      </w:pPr>
      <w:r>
        <w:rPr>
          <w:sz w:val="22"/>
        </w:rPr>
        <w:t>Personal info: BECE number, admission number, house, programme, academic year, reporting date.</w:t>
      </w:r>
    </w:p>
    <w:p>
      <w:pPr>
        <w:pStyle w:val="ListBullet"/>
        <w:spacing w:after="60"/>
      </w:pPr>
      <w:r>
        <w:rPr>
          <w:sz w:val="22"/>
        </w:rPr>
        <w:t>Dining info: eligibility toggle, card status, meals this week, last meal time, fraud flags, duplicate attempts, missed validations.</w:t>
      </w:r>
    </w:p>
    <w:p>
      <w:pPr>
        <w:pStyle w:val="ListBullet"/>
        <w:spacing w:after="60"/>
      </w:pPr>
      <w:r>
        <w:rPr>
          <w:sz w:val="22"/>
        </w:rPr>
        <w:t>Enrollment source: GES import or Manual entry. Manual entries are automatically flagged for compliance.</w:t>
      </w:r>
    </w:p>
    <w:p>
      <w:pPr>
        <w:pStyle w:val="ListBullet"/>
        <w:spacing w:after="60"/>
      </w:pPr>
      <w:r>
        <w:rPr>
          <w:sz w:val="22"/>
        </w:rPr>
        <w:t>Audit log: a timestamped list of every event on this student's account (enrollment, card issuance, suspension, etc.).</w:t>
      </w:r>
    </w:p>
    <w:p>
      <w:pPr>
        <w:spacing w:before="200" w:after="60"/>
      </w:pPr>
      <w:r>
        <w:rPr>
          <w:b/>
          <w:color w:val="445566"/>
          <w:sz w:val="23"/>
        </w:rPr>
        <w:t>Actions Available</w:t>
      </w:r>
    </w:p>
    <w:p>
      <w:pPr>
        <w:pStyle w:val="ListBullet"/>
        <w:spacing w:after="60"/>
      </w:pPr>
      <w:r>
        <w:rPr>
          <w:sz w:val="22"/>
        </w:rPr>
        <w:t>Activate / Suspend a student</w:t>
      </w:r>
    </w:p>
    <w:p>
      <w:pPr>
        <w:pStyle w:val="ListBullet"/>
        <w:spacing w:after="60"/>
      </w:pPr>
      <w:r>
        <w:rPr>
          <w:sz w:val="22"/>
        </w:rPr>
        <w:t>Enable or disable dining eligibility</w:t>
      </w:r>
    </w:p>
    <w:p>
      <w:pPr>
        <w:pStyle w:val="ListBullet"/>
        <w:spacing w:after="60"/>
      </w:pPr>
      <w:r>
        <w:rPr>
          <w:sz w:val="22"/>
        </w:rPr>
        <w:t>Issue a new dining card</w:t>
      </w:r>
    </w:p>
    <w:p>
      <w:pPr>
        <w:pStyle w:val="ListBullet"/>
        <w:spacing w:after="60"/>
      </w:pPr>
      <w:r>
        <w:rPr>
          <w:sz w:val="22"/>
        </w:rPr>
        <w:t>View the student's linked card</w:t>
      </w:r>
    </w:p>
    <w:p>
      <w:pPr>
        <w:spacing w:before="320" w:after="80"/>
      </w:pPr>
      <w:r>
        <w:rPr>
          <w:b/>
          <w:color w:val="1A1A2E"/>
          <w:sz w:val="28"/>
        </w:rPr>
        <w:t>4.3  Card Management — Dining Cards</w:t>
      </w:r>
    </w:p>
    <w:p>
      <w:pPr>
        <w:spacing w:after="100"/>
      </w:pPr>
      <w:r>
        <w:rPr>
          <w:color w:val="222222"/>
          <w:sz w:val="22"/>
        </w:rPr>
        <w:t>Every student who is dining-eligible needs a physical QR card. This page manages all cards.</w:t>
      </w:r>
    </w:p>
    <w:p>
      <w:pPr>
        <w:spacing w:before="200" w:after="60"/>
      </w:pPr>
      <w:r>
        <w:rPr>
          <w:b/>
          <w:color w:val="445566"/>
          <w:sz w:val="23"/>
        </w:rPr>
        <w:t>Card Statuses</w:t>
      </w:r>
    </w:p>
    <w:tbl>
      <w:tblPr>
        <w:tblStyle w:val="TableGrid"/>
        <w:tblW w:type="auto" w:w="0"/>
        <w:tblLook w:firstColumn="1" w:firstRow="1" w:lastColumn="0" w:lastRow="0" w:noHBand="0" w:noVBand="1" w:val="04A0"/>
      </w:tblPr>
      <w:tblGrid>
        <w:gridCol w:w="4464"/>
        <w:gridCol w:w="4464"/>
      </w:tblGrid>
      <w:tr>
        <w:tc>
          <w:tcPr>
            <w:tcW w:type="dxa" w:w="4464"/>
            <w:shd w:val="clear" w:color="auto" w:fill="F3F4F6"/>
          </w:tcPr>
          <w:p>
            <w:r>
              <w:rPr>
                <w:sz w:val="20"/>
              </w:rPr>
              <w:t>Issued</w:t>
            </w:r>
          </w:p>
        </w:tc>
        <w:tc>
          <w:tcPr>
            <w:tcW w:type="dxa" w:w="4464"/>
            <w:shd w:val="clear" w:color="auto" w:fill="F3F4F6"/>
          </w:tcPr>
          <w:p>
            <w:r>
              <w:rPr>
                <w:sz w:val="20"/>
              </w:rPr>
              <w:t>Card is active and working. Scans at the kiosk will be accepted.</w:t>
            </w:r>
          </w:p>
        </w:tc>
      </w:tr>
      <w:tr>
        <w:tc>
          <w:tcPr>
            <w:tcW w:type="dxa" w:w="4464"/>
          </w:tcPr>
          <w:p>
            <w:r>
              <w:rPr>
                <w:sz w:val="20"/>
              </w:rPr>
              <w:t>Pending</w:t>
            </w:r>
          </w:p>
        </w:tc>
        <w:tc>
          <w:tcPr>
            <w:tcW w:type="dxa" w:w="4464"/>
          </w:tcPr>
          <w:p>
            <w:r>
              <w:rPr>
                <w:sz w:val="20"/>
              </w:rPr>
              <w:t>Student needs a card but it hasn't been generated yet. Admin sees an "Issue Card" button.</w:t>
            </w:r>
          </w:p>
        </w:tc>
      </w:tr>
      <w:tr>
        <w:tc>
          <w:tcPr>
            <w:tcW w:type="dxa" w:w="4464"/>
            <w:shd w:val="clear" w:color="auto" w:fill="F3F4F6"/>
          </w:tcPr>
          <w:p>
            <w:r>
              <w:rPr>
                <w:sz w:val="20"/>
              </w:rPr>
              <w:t>Suspended</w:t>
            </w:r>
          </w:p>
        </w:tc>
        <w:tc>
          <w:tcPr>
            <w:tcW w:type="dxa" w:w="4464"/>
            <w:shd w:val="clear" w:color="auto" w:fill="F3F4F6"/>
          </w:tcPr>
          <w:p>
            <w:r>
              <w:rPr>
                <w:sz w:val="20"/>
              </w:rPr>
              <w:t>Card is temporarily blocked — student is under investigation or lost their card.</w:t>
            </w:r>
          </w:p>
        </w:tc>
      </w:tr>
      <w:tr>
        <w:tc>
          <w:tcPr>
            <w:tcW w:type="dxa" w:w="4464"/>
          </w:tcPr>
          <w:p>
            <w:r>
              <w:rPr>
                <w:sz w:val="20"/>
              </w:rPr>
              <w:t>Deactivated</w:t>
            </w:r>
          </w:p>
        </w:tc>
        <w:tc>
          <w:tcPr>
            <w:tcW w:type="dxa" w:w="4464"/>
          </w:tcPr>
          <w:p>
            <w:r>
              <w:rPr>
                <w:sz w:val="20"/>
              </w:rPr>
              <w:t>Card permanently disabled. Student has graduated or left the school.</w:t>
            </w:r>
          </w:p>
        </w:tc>
      </w:tr>
    </w:tbl>
    <w:p/>
    <w:p>
      <w:pPr>
        <w:spacing w:before="200" w:after="60"/>
      </w:pPr>
      <w:r>
        <w:rPr>
          <w:b/>
          <w:color w:val="445566"/>
          <w:sz w:val="23"/>
        </w:rPr>
        <w:t>Card Detail Panel (click any row)</w:t>
      </w:r>
    </w:p>
    <w:p>
      <w:pPr>
        <w:spacing w:after="100"/>
      </w:pPr>
      <w:r>
        <w:rPr>
          <w:color w:val="222222"/>
          <w:sz w:val="22"/>
        </w:rPr>
        <w:t>Shows the card UID, issue date, last used time, today's validation count, and two tabs:</w:t>
      </w:r>
    </w:p>
    <w:p>
      <w:pPr>
        <w:pStyle w:val="ListBullet"/>
        <w:spacing w:after="60"/>
      </w:pPr>
      <w:r>
        <w:rPr>
          <w:sz w:val="22"/>
        </w:rPr>
        <w:t>Scan History — every time and location this card was scanned.</w:t>
      </w:r>
    </w:p>
    <w:p>
      <w:pPr>
        <w:pStyle w:val="ListBullet"/>
        <w:spacing w:after="60"/>
      </w:pPr>
      <w:r>
        <w:rPr>
          <w:sz w:val="22"/>
        </w:rPr>
        <w:t>Card Logs — events like "Card generated", "Card activated", "Duplicate scan rejected", "Card suspended".</w:t>
      </w:r>
    </w:p>
    <w:p>
      <w:pPr>
        <w:spacing w:before="320" w:after="80"/>
      </w:pPr>
      <w:r>
        <w:rPr>
          <w:b/>
          <w:color w:val="1A1A2E"/>
          <w:sz w:val="28"/>
        </w:rPr>
        <w:t>4.4  Dining Hall Feed — Real-Time View</w:t>
      </w:r>
    </w:p>
    <w:p>
      <w:pPr>
        <w:spacing w:after="100"/>
      </w:pPr>
      <w:r>
        <w:rPr>
          <w:color w:val="222222"/>
          <w:sz w:val="22"/>
        </w:rPr>
        <w:t>The full dedicated feed page. Same filterable table as on the dashboard, but with more space. Useful for the dining hall supervisor to monitor activity as it happens — they can spot a surge of duplicates or an unknown card incident in real time.</w:t>
      </w:r>
    </w:p>
    <w:p>
      <w:pPr>
        <w:spacing w:before="320" w:after="80"/>
      </w:pPr>
      <w:r>
        <w:rPr>
          <w:b/>
          <w:color w:val="1A1A2E"/>
          <w:sz w:val="28"/>
        </w:rPr>
        <w:t>4.5  Supply Logger — Tracking Inventory</w:t>
      </w:r>
    </w:p>
    <w:p>
      <w:pPr>
        <w:spacing w:after="100"/>
      </w:pPr>
      <w:r>
        <w:rPr>
          <w:color w:val="222222"/>
          <w:sz w:val="22"/>
        </w:rPr>
        <w:t>The school tracks five supply items: Rice, Cooking Oil, Beans, Tomato Paste, and Gas Cylinders. Each item shows its current stock, reorder level, and a status badge:</w:t>
      </w:r>
    </w:p>
    <w:tbl>
      <w:tblPr>
        <w:tblStyle w:val="TableGrid"/>
        <w:tblW w:type="auto" w:w="0"/>
        <w:tblLook w:firstColumn="1" w:firstRow="1" w:lastColumn="0" w:lastRow="0" w:noHBand="0" w:noVBand="1" w:val="04A0"/>
      </w:tblPr>
      <w:tblGrid>
        <w:gridCol w:w="4464"/>
        <w:gridCol w:w="4464"/>
      </w:tblGrid>
      <w:tr>
        <w:tc>
          <w:tcPr>
            <w:tcW w:type="dxa" w:w="4464"/>
            <w:shd w:val="clear" w:color="auto" w:fill="F3F4F6"/>
          </w:tcPr>
          <w:p>
            <w:r>
              <w:rPr>
                <w:sz w:val="20"/>
              </w:rPr>
              <w:t>Normal</w:t>
            </w:r>
          </w:p>
        </w:tc>
        <w:tc>
          <w:tcPr>
            <w:tcW w:type="dxa" w:w="4464"/>
            <w:shd w:val="clear" w:color="auto" w:fill="F3F4F6"/>
          </w:tcPr>
          <w:p>
            <w:r>
              <w:rPr>
                <w:sz w:val="20"/>
              </w:rPr>
              <w:t>Stock is above the reorder threshold. No action needed.</w:t>
            </w:r>
          </w:p>
        </w:tc>
      </w:tr>
      <w:tr>
        <w:tc>
          <w:tcPr>
            <w:tcW w:type="dxa" w:w="4464"/>
          </w:tcPr>
          <w:p>
            <w:r>
              <w:rPr>
                <w:sz w:val="20"/>
              </w:rPr>
              <w:t>Low Stock</w:t>
            </w:r>
          </w:p>
        </w:tc>
        <w:tc>
          <w:tcPr>
            <w:tcW w:type="dxa" w:w="4464"/>
          </w:tcPr>
          <w:p>
            <w:r>
              <w:rPr>
                <w:sz w:val="20"/>
              </w:rPr>
              <w:t>Stock has dropped below the reorder level. A new delivery should be expected soon.</w:t>
            </w:r>
          </w:p>
        </w:tc>
      </w:tr>
      <w:tr>
        <w:tc>
          <w:tcPr>
            <w:tcW w:type="dxa" w:w="4464"/>
            <w:shd w:val="clear" w:color="auto" w:fill="F3F4F6"/>
          </w:tcPr>
          <w:p>
            <w:r>
              <w:rPr>
                <w:sz w:val="20"/>
              </w:rPr>
              <w:t>Critical</w:t>
            </w:r>
          </w:p>
        </w:tc>
        <w:tc>
          <w:tcPr>
            <w:tcW w:type="dxa" w:w="4464"/>
            <w:shd w:val="clear" w:color="auto" w:fill="F3F4F6"/>
          </w:tcPr>
          <w:p>
            <w:r>
              <w:rPr>
                <w:sz w:val="20"/>
              </w:rPr>
              <w:t>Stock is dangerously low. Urgent reorder required.</w:t>
            </w:r>
          </w:p>
        </w:tc>
      </w:tr>
    </w:tbl>
    <w:p/>
    <w:p>
      <w:pPr>
        <w:spacing w:before="200" w:after="60"/>
      </w:pPr>
      <w:r>
        <w:rPr>
          <w:b/>
          <w:color w:val="445566"/>
          <w:sz w:val="23"/>
        </w:rPr>
        <w:t>Expanding a Supply Item</w:t>
      </w:r>
    </w:p>
    <w:p>
      <w:pPr>
        <w:spacing w:after="100"/>
      </w:pPr>
      <w:r>
        <w:rPr>
          <w:color w:val="222222"/>
          <w:sz w:val="22"/>
        </w:rPr>
        <w:t>Click any item to open its detail panel with three tabs:</w:t>
      </w:r>
    </w:p>
    <w:p>
      <w:pPr>
        <w:pStyle w:val="ListBullet"/>
        <w:spacing w:after="60"/>
      </w:pPr>
      <w:r>
        <w:rPr>
          <w:sz w:val="22"/>
        </w:rPr>
        <w:t>Deliveries — a list of every delivery received, who received it, and which government token it was linked to.</w:t>
      </w:r>
    </w:p>
    <w:p>
      <w:pPr>
        <w:pStyle w:val="ListBullet"/>
        <w:spacing w:after="60"/>
      </w:pPr>
      <w:r>
        <w:rPr>
          <w:sz w:val="22"/>
        </w:rPr>
        <w:t>Consumptions — how much of this item was used per meal session (Breakfast, Lunch, Dinner) and how many students were served.</w:t>
      </w:r>
    </w:p>
    <w:p>
      <w:pPr>
        <w:pStyle w:val="ListBullet"/>
        <w:spacing w:after="60"/>
      </w:pPr>
      <w:r>
        <w:rPr>
          <w:sz w:val="22"/>
        </w:rPr>
        <w:t>Supply Logs — a full audit trail: delivery confirmed, preparation started, inventory adjustment, reorder triggered, reconciliation completed.</w:t>
      </w:r>
    </w:p>
    <w:p>
      <w:pPr>
        <w:spacing w:before="320" w:after="80"/>
      </w:pPr>
      <w:r>
        <w:rPr>
          <w:b/>
          <w:color w:val="1A1A2E"/>
          <w:sz w:val="28"/>
        </w:rPr>
        <w:t>4.6  Fraud Alerts — Suspicious Activity</w:t>
      </w:r>
    </w:p>
    <w:p>
      <w:pPr>
        <w:spacing w:after="100"/>
      </w:pPr>
      <w:r>
        <w:rPr>
          <w:color w:val="222222"/>
          <w:sz w:val="22"/>
        </w:rPr>
        <w:t>IARTS automatically detects and logs seven types of suspicious activity. The Fraud Alerts page is the admin's compliance dashboard. Each alert shows the type, which student or scanner was involved, the time, and the session.</w:t>
      </w:r>
    </w:p>
    <w:tbl>
      <w:tblPr>
        <w:tblStyle w:val="TableGrid"/>
        <w:tblW w:type="auto" w:w="0"/>
        <w:tblLook w:firstColumn="1" w:firstRow="1" w:lastColumn="0" w:lastRow="0" w:noHBand="0" w:noVBand="1" w:val="04A0"/>
      </w:tblPr>
      <w:tblGrid>
        <w:gridCol w:w="4464"/>
        <w:gridCol w:w="4464"/>
      </w:tblGrid>
      <w:tr>
        <w:tc>
          <w:tcPr>
            <w:tcW w:type="dxa" w:w="4464"/>
            <w:shd w:val="clear" w:color="auto" w:fill="D6E8FB"/>
          </w:tcPr>
          <w:p>
            <w:r>
              <w:rPr>
                <w:b/>
                <w:sz w:val="20"/>
              </w:rPr>
              <w:t>Alert Type</w:t>
            </w:r>
          </w:p>
        </w:tc>
        <w:tc>
          <w:tcPr>
            <w:tcW w:type="dxa" w:w="4464"/>
            <w:shd w:val="clear" w:color="auto" w:fill="D6E8FB"/>
          </w:tcPr>
          <w:p>
            <w:r>
              <w:rPr>
                <w:b/>
                <w:sz w:val="20"/>
              </w:rPr>
              <w:t>What It Means</w:t>
            </w:r>
          </w:p>
        </w:tc>
      </w:tr>
      <w:tr>
        <w:tc>
          <w:tcPr>
            <w:tcW w:type="dxa" w:w="4464"/>
            <w:shd w:val="clear" w:color="auto" w:fill="F3F4F6"/>
          </w:tcPr>
          <w:p>
            <w:r>
              <w:rPr>
                <w:sz w:val="20"/>
              </w:rPr>
              <w:t>Duplicate Scan</w:t>
            </w:r>
          </w:p>
        </w:tc>
        <w:tc>
          <w:tcPr>
            <w:tcW w:type="dxa" w:w="4464"/>
            <w:shd w:val="clear" w:color="auto" w:fill="F3F4F6"/>
          </w:tcPr>
          <w:p>
            <w:r>
              <w:rPr>
                <w:sz w:val="20"/>
              </w:rPr>
              <w:t>Same card used more than once in the same meal session.</w:t>
            </w:r>
          </w:p>
        </w:tc>
      </w:tr>
      <w:tr>
        <w:tc>
          <w:tcPr>
            <w:tcW w:type="dxa" w:w="4464"/>
          </w:tcPr>
          <w:p>
            <w:r>
              <w:rPr>
                <w:sz w:val="20"/>
              </w:rPr>
              <w:t>Unknown Card</w:t>
            </w:r>
          </w:p>
        </w:tc>
        <w:tc>
          <w:tcPr>
            <w:tcW w:type="dxa" w:w="4464"/>
          </w:tcPr>
          <w:p>
            <w:r>
              <w:rPr>
                <w:sz w:val="20"/>
              </w:rPr>
              <w:t>QR code not recognised — possible forgery.</w:t>
            </w:r>
          </w:p>
        </w:tc>
      </w:tr>
      <w:tr>
        <w:tc>
          <w:tcPr>
            <w:tcW w:type="dxa" w:w="4464"/>
            <w:shd w:val="clear" w:color="auto" w:fill="F3F4F6"/>
          </w:tcPr>
          <w:p>
            <w:r>
              <w:rPr>
                <w:sz w:val="20"/>
              </w:rPr>
              <w:t>Inactive Student Scan</w:t>
            </w:r>
          </w:p>
        </w:tc>
        <w:tc>
          <w:tcPr>
            <w:tcW w:type="dxa" w:w="4464"/>
            <w:shd w:val="clear" w:color="auto" w:fill="F3F4F6"/>
          </w:tcPr>
          <w:p>
            <w:r>
              <w:rPr>
                <w:sz w:val="20"/>
              </w:rPr>
              <w:t>A suspended or inactive student's card was scanned.</w:t>
            </w:r>
          </w:p>
        </w:tc>
      </w:tr>
      <w:tr>
        <w:tc>
          <w:tcPr>
            <w:tcW w:type="dxa" w:w="4464"/>
          </w:tcPr>
          <w:p>
            <w:r>
              <w:rPr>
                <w:sz w:val="20"/>
              </w:rPr>
              <w:t>Duplicate Threshold Exceeded</w:t>
            </w:r>
          </w:p>
        </w:tc>
        <w:tc>
          <w:tcPr>
            <w:tcW w:type="dxa" w:w="4464"/>
          </w:tcPr>
          <w:p>
            <w:r>
              <w:rPr>
                <w:sz w:val="20"/>
              </w:rPr>
              <w:t>More than 20 duplicate attempts at one scanner in a session — indicates organised fraud.</w:t>
            </w:r>
          </w:p>
        </w:tc>
      </w:tr>
      <w:tr>
        <w:tc>
          <w:tcPr>
            <w:tcW w:type="dxa" w:w="4464"/>
            <w:shd w:val="clear" w:color="auto" w:fill="F3F4F6"/>
          </w:tcPr>
          <w:p>
            <w:r>
              <w:rPr>
                <w:sz w:val="20"/>
              </w:rPr>
              <w:t>Suspended Student Received Meal</w:t>
            </w:r>
          </w:p>
        </w:tc>
        <w:tc>
          <w:tcPr>
            <w:tcW w:type="dxa" w:w="4464"/>
            <w:shd w:val="clear" w:color="auto" w:fill="F3F4F6"/>
          </w:tcPr>
          <w:p>
            <w:r>
              <w:rPr>
                <w:sz w:val="20"/>
              </w:rPr>
              <w:t>A suspended student somehow got a meal — escalated to compliance review.</w:t>
            </w:r>
          </w:p>
        </w:tc>
      </w:tr>
      <w:tr>
        <w:tc>
          <w:tcPr>
            <w:tcW w:type="dxa" w:w="4464"/>
          </w:tcPr>
          <w:p>
            <w:r>
              <w:rPr>
                <w:sz w:val="20"/>
              </w:rPr>
              <w:t>Missing Supply Logs</w:t>
            </w:r>
          </w:p>
        </w:tc>
        <w:tc>
          <w:tcPr>
            <w:tcW w:type="dxa" w:w="4464"/>
          </w:tcPr>
          <w:p>
            <w:r>
              <w:rPr>
                <w:sz w:val="20"/>
              </w:rPr>
              <w:t>Storekeeper only submitted records for some sessions.</w:t>
            </w:r>
          </w:p>
        </w:tc>
      </w:tr>
      <w:tr>
        <w:tc>
          <w:tcPr>
            <w:tcW w:type="dxa" w:w="4464"/>
            <w:shd w:val="clear" w:color="auto" w:fill="F3F4F6"/>
          </w:tcPr>
          <w:p>
            <w:r>
              <w:rPr>
                <w:sz w:val="20"/>
              </w:rPr>
              <w:t>Session Never Closed</w:t>
            </w:r>
          </w:p>
        </w:tc>
        <w:tc>
          <w:tcPr>
            <w:tcW w:type="dxa" w:w="4464"/>
            <w:shd w:val="clear" w:color="auto" w:fill="F3F4F6"/>
          </w:tcPr>
          <w:p>
            <w:r>
              <w:rPr>
                <w:sz w:val="20"/>
              </w:rPr>
              <w:t>A meal session was left open overnight, blocking financial reconciliation.</w:t>
            </w:r>
          </w:p>
        </w:tc>
      </w:tr>
    </w:tbl>
    <w:p/>
    <w:p>
      <w:pPr>
        <w:spacing w:before="320" w:after="80"/>
      </w:pPr>
      <w:r>
        <w:rPr>
          <w:b/>
          <w:color w:val="1A1A2E"/>
          <w:sz w:val="28"/>
        </w:rPr>
        <w:t>4.7  Meal Reports — The Full Reporting Pipeline</w:t>
      </w:r>
    </w:p>
    <w:p>
      <w:pPr>
        <w:spacing w:after="100"/>
      </w:pPr>
      <w:r>
        <w:rPr>
          <w:color w:val="222222"/>
          <w:sz w:val="22"/>
        </w:rPr>
        <w:t>This is the most complex page in the school admin portal. It shows every daily report moving through a four-stage pipeline. Think of it as a kanban board where each card is one day's meal report.</w:t>
      </w:r>
    </w:p>
    <w:p>
      <w:pPr>
        <w:spacing w:before="200" w:after="60"/>
      </w:pPr>
      <w:r>
        <w:rPr>
          <w:b/>
          <w:color w:val="445566"/>
          <w:sz w:val="23"/>
        </w:rPr>
        <w:t>The Four Pipeline Stages</w:t>
      </w:r>
    </w:p>
    <w:tbl>
      <w:tblPr>
        <w:tblStyle w:val="TableGrid"/>
        <w:tblW w:type="auto" w:w="0"/>
        <w:tblLook w:firstColumn="1" w:firstRow="1" w:lastColumn="0" w:lastRow="0" w:noHBand="0" w:noVBand="1" w:val="04A0"/>
      </w:tblPr>
      <w:tblGrid>
        <w:gridCol w:w="4464"/>
        <w:gridCol w:w="4464"/>
      </w:tblGrid>
      <w:tr>
        <w:tc>
          <w:tcPr>
            <w:tcW w:type="dxa" w:w="4464"/>
            <w:shd w:val="clear" w:color="auto" w:fill="D6E8FB"/>
          </w:tcPr>
          <w:p>
            <w:r>
              <w:rPr>
                <w:b/>
                <w:sz w:val="20"/>
              </w:rPr>
              <w:t>Stage</w:t>
            </w:r>
          </w:p>
        </w:tc>
        <w:tc>
          <w:tcPr>
            <w:tcW w:type="dxa" w:w="4464"/>
            <w:shd w:val="clear" w:color="auto" w:fill="D6E8FB"/>
          </w:tcPr>
          <w:p>
            <w:r>
              <w:rPr>
                <w:b/>
                <w:sz w:val="20"/>
              </w:rPr>
              <w:t>What It Means</w:t>
            </w:r>
          </w:p>
        </w:tc>
      </w:tr>
      <w:tr>
        <w:tc>
          <w:tcPr>
            <w:tcW w:type="dxa" w:w="4464"/>
            <w:shd w:val="clear" w:color="auto" w:fill="F3F4F6"/>
          </w:tcPr>
          <w:p>
            <w:r>
              <w:rPr>
                <w:sz w:val="20"/>
              </w:rPr>
              <w:t>Generated</w:t>
            </w:r>
          </w:p>
        </w:tc>
        <w:tc>
          <w:tcPr>
            <w:tcW w:type="dxa" w:w="4464"/>
            <w:shd w:val="clear" w:color="auto" w:fill="F3F4F6"/>
          </w:tcPr>
          <w:p>
            <w:r>
              <w:rPr>
                <w:sz w:val="20"/>
              </w:rPr>
              <w:t>Report was auto-created at end of day. Fraud engine and financial engine have run. Awaiting review.</w:t>
            </w:r>
          </w:p>
        </w:tc>
      </w:tr>
      <w:tr>
        <w:tc>
          <w:tcPr>
            <w:tcW w:type="dxa" w:w="4464"/>
          </w:tcPr>
          <w:p>
            <w:r>
              <w:rPr>
                <w:sz w:val="20"/>
              </w:rPr>
              <w:t>Operational Review</w:t>
            </w:r>
          </w:p>
        </w:tc>
        <w:tc>
          <w:tcPr>
            <w:tcW w:type="dxa" w:w="4464"/>
          </w:tcPr>
          <w:p>
            <w:r>
              <w:rPr>
                <w:sz w:val="20"/>
              </w:rPr>
              <w:t>A flag requires attention before the report can advance — e.g. a meal session was left open, or supply logs are incomplete. The storekeeper or admin must resolve it.</w:t>
            </w:r>
          </w:p>
        </w:tc>
      </w:tr>
      <w:tr>
        <w:tc>
          <w:tcPr>
            <w:tcW w:type="dxa" w:w="4464"/>
            <w:shd w:val="clear" w:color="auto" w:fill="F3F4F6"/>
          </w:tcPr>
          <w:p>
            <w:r>
              <w:rPr>
                <w:sz w:val="20"/>
              </w:rPr>
              <w:t>Compliance Review</w:t>
            </w:r>
          </w:p>
        </w:tc>
        <w:tc>
          <w:tcPr>
            <w:tcW w:type="dxa" w:w="4464"/>
            <w:shd w:val="clear" w:color="auto" w:fill="F3F4F6"/>
          </w:tcPr>
          <w:p>
            <w:r>
              <w:rPr>
                <w:sz w:val="20"/>
              </w:rPr>
              <w:t>A more serious flag was found — e.g. a suspended student received a meal, or duplicate scans exceeded the threshold. A compliance officer must review before advancing.</w:t>
            </w:r>
          </w:p>
        </w:tc>
      </w:tr>
      <w:tr>
        <w:tc>
          <w:tcPr>
            <w:tcW w:type="dxa" w:w="4464"/>
          </w:tcPr>
          <w:p>
            <w:r>
              <w:rPr>
                <w:sz w:val="20"/>
              </w:rPr>
              <w:t>Claim Eligible</w:t>
            </w:r>
          </w:p>
        </w:tc>
        <w:tc>
          <w:tcPr>
            <w:tcW w:type="dxa" w:w="4464"/>
          </w:tcPr>
          <w:p>
            <w:r>
              <w:rPr>
                <w:sz w:val="20"/>
              </w:rPr>
              <w:t>Report is clean and locked. It has been added to the pool of days eligible for government reimbursement.</w:t>
            </w:r>
          </w:p>
        </w:tc>
      </w:tr>
    </w:tbl>
    <w:p/>
    <w:p>
      <w:pPr>
        <w:spacing w:before="200" w:after="60"/>
      </w:pPr>
      <w:r>
        <w:rPr>
          <w:b/>
          <w:color w:val="445566"/>
          <w:sz w:val="23"/>
        </w:rPr>
        <w:t>Clicking a Report Card</w:t>
      </w:r>
    </w:p>
    <w:p>
      <w:pPr>
        <w:spacing w:after="100"/>
      </w:pPr>
      <w:r>
        <w:rPr>
          <w:color w:val="222222"/>
          <w:sz w:val="22"/>
        </w:rPr>
        <w:t>Opens a detail modal showing:</w:t>
      </w:r>
    </w:p>
    <w:p>
      <w:pPr>
        <w:pStyle w:val="ListBullet"/>
        <w:spacing w:after="60"/>
      </w:pPr>
      <w:r>
        <w:rPr>
          <w:sz w:val="22"/>
        </w:rPr>
        <w:t>Attendance breakdown: Breakfast / Lunch / Dinner — meals served vs. students enrolled, utilisation %.</w:t>
      </w:r>
    </w:p>
    <w:p>
      <w:pPr>
        <w:pStyle w:val="ListBullet"/>
        <w:spacing w:after="60"/>
      </w:pPr>
      <w:r>
        <w:rPr>
          <w:sz w:val="22"/>
        </w:rPr>
        <w:t>Supply consumed: bags of rice, litres of oil, bags of beans, etc.</w:t>
      </w:r>
    </w:p>
    <w:p>
      <w:pPr>
        <w:pStyle w:val="ListBullet"/>
        <w:spacing w:after="60"/>
      </w:pPr>
      <w:r>
        <w:rPr>
          <w:sz w:val="22"/>
        </w:rPr>
        <w:t>Financial summary: meal revenue + supply cost = gross estimate, minus policy adjustments = net claimable.</w:t>
      </w:r>
    </w:p>
    <w:p>
      <w:pPr>
        <w:pStyle w:val="ListBullet"/>
        <w:spacing w:after="60"/>
      </w:pPr>
      <w:r>
        <w:rPr>
          <w:sz w:val="22"/>
        </w:rPr>
        <w:t>Risk score (0–100) — 0 means clean, higher means more flags detected.</w:t>
      </w:r>
    </w:p>
    <w:p>
      <w:pPr>
        <w:pStyle w:val="ListBullet"/>
        <w:spacing w:after="60"/>
      </w:pPr>
      <w:r>
        <w:rPr>
          <w:sz w:val="22"/>
        </w:rPr>
        <w:t>Review flag detail (if any) — exact description of what triggered the flag.</w:t>
      </w:r>
    </w:p>
    <w:p>
      <w:pPr>
        <w:pStyle w:val="ListBullet"/>
        <w:spacing w:after="60"/>
      </w:pPr>
      <w:r>
        <w:rPr>
          <w:sz w:val="22"/>
        </w:rPr>
        <w:t>Report log — timestamped trail of every automated event (session opened, fraud engine ran, report created, locked, etc.).</w:t>
      </w:r>
    </w:p>
    <w:p>
      <w:pPr>
        <w:spacing w:before="200" w:after="60"/>
      </w:pPr>
      <w:r>
        <w:rPr>
          <w:b/>
          <w:color w:val="445566"/>
          <w:sz w:val="23"/>
        </w:rPr>
        <w:t>Aggregation Views</w:t>
      </w:r>
    </w:p>
    <w:p>
      <w:pPr>
        <w:spacing w:after="100"/>
      </w:pPr>
      <w:r>
        <w:rPr>
          <w:color w:val="222222"/>
          <w:sz w:val="22"/>
        </w:rPr>
        <w:t>Toggle between Daily, Weekly, Monthly, and Semester views to see reports rolled up:</w:t>
      </w:r>
    </w:p>
    <w:p>
      <w:pPr>
        <w:pStyle w:val="ListBullet"/>
        <w:spacing w:after="60"/>
      </w:pPr>
      <w:r>
        <w:rPr>
          <w:sz w:val="22"/>
        </w:rPr>
        <w:t>Weekly — 7 daily reports bundled, showing total meals, fraud cases, net eligible amount for the week.</w:t>
      </w:r>
    </w:p>
    <w:p>
      <w:pPr>
        <w:pStyle w:val="ListBullet"/>
        <w:spacing w:after="60"/>
      </w:pPr>
      <w:r>
        <w:rPr>
          <w:sz w:val="22"/>
        </w:rPr>
        <w:t>Monthly — weeks bundled by month (January 2026, February 2026, etc.).</w:t>
      </w:r>
    </w:p>
    <w:p>
      <w:pPr>
        <w:pStyle w:val="ListBullet"/>
        <w:spacing w:after="60"/>
      </w:pPr>
      <w:r>
        <w:rPr>
          <w:sz w:val="22"/>
        </w:rPr>
        <w:t>Semester — the full semester pool: cumulative meals, total supply consumed, gross financial estimate, policy deductions, and final net claimable amount. This is what the school submits for reimbursement.</w:t>
      </w:r>
    </w:p>
    <w:p>
      <w:r>
        <w:br w:type="page"/>
      </w:r>
    </w:p>
    <w:p>
      <w:pPr>
        <w:spacing w:before="440" w:after="120"/>
        <w:pBdr>
          <w:bottom w:val="single" w:sz="6" w:space="4" w:color="144FAF"/>
        </w:pBdr>
      </w:pPr>
      <w:r>
        <w:rPr>
          <w:b/>
          <w:color w:val="144FAF"/>
          <w:sz w:val="40"/>
        </w:rPr>
        <w:t>5. Government Portal</w:t>
      </w:r>
    </w:p>
    <w:p>
      <w:pPr>
        <w:spacing w:after="100"/>
      </w:pPr>
      <w:r>
        <w:rPr>
          <w:color w:val="222222"/>
          <w:sz w:val="22"/>
        </w:rPr>
        <w:t>The government officer sees IARTS from a macro level. Their main jobs are to issue financial tokens to suppliers before food can be delivered, to review what schools are reporting, and to approve or reject reimbursement claims from schools.</w:t>
      </w:r>
    </w:p>
    <w:p>
      <w:pPr>
        <w:spacing w:before="320" w:after="80"/>
      </w:pPr>
      <w:r>
        <w:rPr>
          <w:b/>
          <w:color w:val="1A1A2E"/>
          <w:sz w:val="28"/>
        </w:rPr>
        <w:t>5.1  Overview Dashboard</w:t>
      </w:r>
    </w:p>
    <w:p>
      <w:pPr>
        <w:spacing w:after="100"/>
      </w:pPr>
      <w:r>
        <w:rPr>
          <w:color w:val="222222"/>
          <w:sz w:val="22"/>
        </w:rPr>
        <w:t>A summary of the current semester: how many institutions are active, how many tokens have been issued, the total value committed, and how many reimbursement claims are pending review.</w:t>
      </w:r>
    </w:p>
    <w:p>
      <w:pPr>
        <w:spacing w:before="320" w:after="80"/>
      </w:pPr>
      <w:r>
        <w:rPr>
          <w:b/>
          <w:color w:val="1A1A2E"/>
          <w:sz w:val="28"/>
        </w:rPr>
        <w:t>5.2  Issue Tokens — The Starting Point of Every Delivery</w:t>
      </w:r>
    </w:p>
    <w:p>
      <w:pPr>
        <w:spacing w:after="100"/>
      </w:pPr>
      <w:r>
        <w:rPr>
          <w:color w:val="222222"/>
          <w:sz w:val="22"/>
        </w:rPr>
        <w:t>Before a supplier can deliver food to a school, the government must issue a token. The Issue Tokens page has an issuance form at the top and a ledger of all issued tokens below.</w:t>
      </w:r>
    </w:p>
    <w:p>
      <w:pPr>
        <w:spacing w:before="200" w:after="60"/>
      </w:pPr>
      <w:r>
        <w:rPr>
          <w:b/>
          <w:color w:val="445566"/>
          <w:sz w:val="23"/>
        </w:rPr>
        <w:t>Creating a Token</w:t>
      </w:r>
    </w:p>
    <w:p>
      <w:pPr>
        <w:pStyle w:val="ListBullet"/>
        <w:spacing w:after="60"/>
      </w:pPr>
      <w:r>
        <w:rPr>
          <w:sz w:val="22"/>
        </w:rPr>
        <w:t>Select the target institution (e.g. St. Augustine College).</w:t>
      </w:r>
    </w:p>
    <w:p>
      <w:pPr>
        <w:pStyle w:val="ListBullet"/>
        <w:spacing w:after="60"/>
      </w:pPr>
      <w:r>
        <w:rPr>
          <w:sz w:val="22"/>
        </w:rPr>
        <w:t>Select the supplier (e.g. Golden Harvest Foods).</w:t>
      </w:r>
    </w:p>
    <w:p>
      <w:pPr>
        <w:pStyle w:val="ListBullet"/>
        <w:spacing w:after="60"/>
      </w:pPr>
      <w:r>
        <w:rPr>
          <w:sz w:val="22"/>
        </w:rPr>
        <w:t>Enter the token value in GHS and set an expiry date.</w:t>
      </w:r>
    </w:p>
    <w:p>
      <w:pPr>
        <w:pStyle w:val="ListBullet"/>
        <w:spacing w:after="60"/>
      </w:pPr>
      <w:r>
        <w:rPr>
          <w:sz w:val="22"/>
        </w:rPr>
        <w:t>Click Issue Token. A unique token code is generated (e.g. GOV-SAC-SEM1-005).</w:t>
      </w:r>
    </w:p>
    <w:p>
      <w:pPr>
        <w:spacing w:after="100"/>
      </w:pPr>
      <w:r>
        <w:rPr>
          <w:color w:val="222222"/>
          <w:sz w:val="22"/>
        </w:rPr>
        <w:t>The token appears in the ledger immediately and becomes visible to the supplier in their Token Inbox. The supplier cannot claim cash for a delivery until they have a valid token.</w:t>
      </w:r>
    </w:p>
    <w:p>
      <w:pPr>
        <w:spacing w:before="320" w:after="80"/>
      </w:pPr>
      <w:r>
        <w:rPr>
          <w:b/>
          <w:color w:val="1A1A2E"/>
          <w:sz w:val="28"/>
        </w:rPr>
        <w:t>5.3  Token Ledger — Full Audit Trail</w:t>
      </w:r>
    </w:p>
    <w:p>
      <w:pPr>
        <w:spacing w:after="100"/>
      </w:pPr>
      <w:r>
        <w:rPr>
          <w:color w:val="222222"/>
          <w:sz w:val="22"/>
        </w:rPr>
        <w:t>A read-only table of every token ever issued. Filterable by status: Active, Redeemed, Expired, Rejected, Pending. The government can see at a glance which tokens have been redeemed by the bank and which are still outstanding.</w:t>
      </w:r>
    </w:p>
    <w:p>
      <w:pPr>
        <w:spacing w:before="320" w:after="80"/>
      </w:pPr>
      <w:r>
        <w:rPr>
          <w:b/>
          <w:color w:val="1A1A2E"/>
          <w:sz w:val="28"/>
        </w:rPr>
        <w:t>5.4  Attendance Review</w:t>
      </w:r>
    </w:p>
    <w:p>
      <w:pPr>
        <w:spacing w:after="100"/>
      </w:pPr>
      <w:r>
        <w:rPr>
          <w:color w:val="222222"/>
          <w:sz w:val="22"/>
        </w:rPr>
        <w:t>The government reviews attendance and meal data submitted by schools. They can cross-check enrolment numbers vs. meals claimed and flag anomalies before approving a reimbursement. This acts as a second layer of validation above the school's own fraud engine.</w:t>
      </w:r>
    </w:p>
    <w:p>
      <w:pPr>
        <w:spacing w:before="320" w:after="80"/>
      </w:pPr>
      <w:r>
        <w:rPr>
          <w:b/>
          <w:color w:val="1A1A2E"/>
          <w:sz w:val="28"/>
        </w:rPr>
        <w:t>5.5  Budget Calculator</w:t>
      </w:r>
    </w:p>
    <w:p>
      <w:pPr>
        <w:spacing w:after="100"/>
      </w:pPr>
      <w:r>
        <w:rPr>
          <w:color w:val="222222"/>
          <w:sz w:val="22"/>
        </w:rPr>
        <w:t>An interactive tool that calculates per-student funding allocations. Enter the number of enrolled students and the policy rate (GHS per student per day) to get the total budget exposure for a given period. Useful for planning how many tokens to issue.</w:t>
      </w:r>
    </w:p>
    <w:p>
      <w:pPr>
        <w:spacing w:before="320" w:after="80"/>
      </w:pPr>
      <w:r>
        <w:rPr>
          <w:b/>
          <w:color w:val="1A1A2E"/>
          <w:sz w:val="28"/>
        </w:rPr>
        <w:t>5.6  Reimbursements</w:t>
      </w:r>
    </w:p>
    <w:p>
      <w:pPr>
        <w:spacing w:after="100"/>
      </w:pPr>
      <w:r>
        <w:rPr>
          <w:color w:val="222222"/>
          <w:sz w:val="22"/>
        </w:rPr>
        <w:t>Schools submit reimbursement claims from their semester pool. This page lists all claims with their submitted amount, institution name, and current status.</w:t>
      </w:r>
    </w:p>
    <w:tbl>
      <w:tblPr>
        <w:tblStyle w:val="TableGrid"/>
        <w:tblW w:type="auto" w:w="0"/>
        <w:tblLook w:firstColumn="1" w:firstRow="1" w:lastColumn="0" w:lastRow="0" w:noHBand="0" w:noVBand="1" w:val="04A0"/>
      </w:tblPr>
      <w:tblGrid>
        <w:gridCol w:w="4464"/>
        <w:gridCol w:w="4464"/>
      </w:tblGrid>
      <w:tr>
        <w:tc>
          <w:tcPr>
            <w:tcW w:type="dxa" w:w="4464"/>
            <w:shd w:val="clear" w:color="auto" w:fill="F3F4F6"/>
          </w:tcPr>
          <w:p>
            <w:r>
              <w:rPr>
                <w:sz w:val="20"/>
              </w:rPr>
              <w:t>Pending</w:t>
            </w:r>
          </w:p>
        </w:tc>
        <w:tc>
          <w:tcPr>
            <w:tcW w:type="dxa" w:w="4464"/>
            <w:shd w:val="clear" w:color="auto" w:fill="F3F4F6"/>
          </w:tcPr>
          <w:p>
            <w:r>
              <w:rPr>
                <w:sz w:val="20"/>
              </w:rPr>
              <w:t>Claim has been submitted and is awaiting review.</w:t>
            </w:r>
          </w:p>
        </w:tc>
      </w:tr>
      <w:tr>
        <w:tc>
          <w:tcPr>
            <w:tcW w:type="dxa" w:w="4464"/>
          </w:tcPr>
          <w:p>
            <w:r>
              <w:rPr>
                <w:sz w:val="20"/>
              </w:rPr>
              <w:t>Approved</w:t>
            </w:r>
          </w:p>
        </w:tc>
        <w:tc>
          <w:tcPr>
            <w:tcW w:type="dxa" w:w="4464"/>
          </w:tcPr>
          <w:p>
            <w:r>
              <w:rPr>
                <w:sz w:val="20"/>
              </w:rPr>
              <w:t>Claim approved in full. Payment will be processed.</w:t>
            </w:r>
          </w:p>
        </w:tc>
      </w:tr>
      <w:tr>
        <w:tc>
          <w:tcPr>
            <w:tcW w:type="dxa" w:w="4464"/>
            <w:shd w:val="clear" w:color="auto" w:fill="F3F4F6"/>
          </w:tcPr>
          <w:p>
            <w:r>
              <w:rPr>
                <w:sz w:val="20"/>
              </w:rPr>
              <w:t>Partial</w:t>
            </w:r>
          </w:p>
        </w:tc>
        <w:tc>
          <w:tcPr>
            <w:tcW w:type="dxa" w:w="4464"/>
            <w:shd w:val="clear" w:color="auto" w:fill="F3F4F6"/>
          </w:tcPr>
          <w:p>
            <w:r>
              <w:rPr>
                <w:sz w:val="20"/>
              </w:rPr>
              <w:t>Claim partially approved — some days were deducted due to fraud adjustments.</w:t>
            </w:r>
          </w:p>
        </w:tc>
      </w:tr>
      <w:tr>
        <w:tc>
          <w:tcPr>
            <w:tcW w:type="dxa" w:w="4464"/>
          </w:tcPr>
          <w:p>
            <w:r>
              <w:rPr>
                <w:sz w:val="20"/>
              </w:rPr>
              <w:t>Rejected</w:t>
            </w:r>
          </w:p>
        </w:tc>
        <w:tc>
          <w:tcPr>
            <w:tcW w:type="dxa" w:w="4464"/>
          </w:tcPr>
          <w:p>
            <w:r>
              <w:rPr>
                <w:sz w:val="20"/>
              </w:rPr>
              <w:t>Claim rejected — serious compliance issue found.</w:t>
            </w:r>
          </w:p>
        </w:tc>
      </w:tr>
    </w:tbl>
    <w:p/>
    <w:p>
      <w:pPr>
        <w:spacing w:before="320" w:after="80"/>
      </w:pPr>
      <w:r>
        <w:rPr>
          <w:b/>
          <w:color w:val="1A1A2E"/>
          <w:sz w:val="28"/>
        </w:rPr>
        <w:t>5.7  Fraud Reports</w:t>
      </w:r>
    </w:p>
    <w:p>
      <w:pPr>
        <w:spacing w:after="100"/>
      </w:pPr>
      <w:r>
        <w:rPr>
          <w:color w:val="222222"/>
          <w:sz w:val="22"/>
        </w:rPr>
        <w:t>A government-level view of fraud incidents across all institutions. Unlike the school's fraud alert page (which shows one school's data), this view lets officers spot patterns across multiple schools — e.g. the same supplier appearing in fraud incidents at different institutions.</w:t>
      </w:r>
    </w:p>
    <w:p>
      <w:r>
        <w:br w:type="page"/>
      </w:r>
    </w:p>
    <w:p>
      <w:pPr>
        <w:spacing w:before="440" w:after="120"/>
        <w:pBdr>
          <w:bottom w:val="single" w:sz="6" w:space="4" w:color="144FAF"/>
        </w:pBdr>
      </w:pPr>
      <w:r>
        <w:rPr>
          <w:b/>
          <w:color w:val="144FAF"/>
          <w:sz w:val="40"/>
        </w:rPr>
        <w:t>6. Supplier Portal</w:t>
      </w:r>
    </w:p>
    <w:p>
      <w:pPr>
        <w:spacing w:after="100"/>
      </w:pPr>
      <w:r>
        <w:rPr>
          <w:color w:val="222222"/>
          <w:sz w:val="22"/>
        </w:rPr>
        <w:t>The supplier is a food company (e.g. Golden Harvest Foods, SunGold Oils) contracted by the government to supply food to the school. Their portal lets them receive tokens, log deliveries, and get paid.</w:t>
      </w:r>
    </w:p>
    <w:p>
      <w:pPr>
        <w:spacing w:before="320" w:after="80"/>
      </w:pPr>
      <w:r>
        <w:rPr>
          <w:b/>
          <w:color w:val="1A1A2E"/>
          <w:sz w:val="28"/>
        </w:rPr>
        <w:t>6.1  Overview Dashboard</w:t>
      </w:r>
    </w:p>
    <w:p>
      <w:pPr>
        <w:spacing w:after="100"/>
      </w:pPr>
      <w:r>
        <w:rPr>
          <w:color w:val="222222"/>
          <w:sz w:val="22"/>
        </w:rPr>
        <w:t>Summary cards: total tokens received this semester, total value redeemed, number of tokens pending submission to the bank, and active deliveries in progress.</w:t>
      </w:r>
    </w:p>
    <w:p>
      <w:pPr>
        <w:spacing w:before="320" w:after="80"/>
      </w:pPr>
      <w:r>
        <w:rPr>
          <w:b/>
          <w:color w:val="1A1A2E"/>
          <w:sz w:val="28"/>
        </w:rPr>
        <w:t>6.2  Token Inbox — Tokens From the Government</w:t>
      </w:r>
    </w:p>
    <w:p>
      <w:pPr>
        <w:spacing w:after="100"/>
      </w:pPr>
      <w:r>
        <w:rPr>
          <w:color w:val="222222"/>
          <w:sz w:val="22"/>
        </w:rPr>
        <w:t>Every token the government has issued to this supplier appears here. Each token shows its code, the institution it's for, the value in GHS, the issue date, the expiry date, and the current status. New tokens are tagged with a green "NEW" pill.</w:t>
      </w:r>
    </w:p>
    <w:tbl>
      <w:tblPr>
        <w:tblStyle w:val="TableGrid"/>
        <w:tblW w:type="auto" w:w="0"/>
        <w:tblLook w:firstColumn="1" w:firstRow="1" w:lastColumn="0" w:lastRow="0" w:noHBand="0" w:noVBand="1" w:val="04A0"/>
      </w:tblPr>
      <w:tblGrid>
        <w:gridCol w:w="4464"/>
        <w:gridCol w:w="4464"/>
      </w:tblGrid>
      <w:tr>
        <w:tc>
          <w:tcPr>
            <w:tcW w:type="dxa" w:w="4464"/>
            <w:shd w:val="clear" w:color="auto" w:fill="D6E8FB"/>
          </w:tcPr>
          <w:p>
            <w:r>
              <w:rPr>
                <w:b/>
                <w:sz w:val="20"/>
              </w:rPr>
              <w:t>Token Status</w:t>
            </w:r>
          </w:p>
        </w:tc>
        <w:tc>
          <w:tcPr>
            <w:tcW w:type="dxa" w:w="4464"/>
            <w:shd w:val="clear" w:color="auto" w:fill="D6E8FB"/>
          </w:tcPr>
          <w:p>
            <w:r>
              <w:rPr>
                <w:b/>
                <w:sz w:val="20"/>
              </w:rPr>
              <w:t>Meaning</w:t>
            </w:r>
          </w:p>
        </w:tc>
      </w:tr>
      <w:tr>
        <w:tc>
          <w:tcPr>
            <w:tcW w:type="dxa" w:w="4464"/>
            <w:shd w:val="clear" w:color="auto" w:fill="F3F4F6"/>
          </w:tcPr>
          <w:p>
            <w:r>
              <w:rPr>
                <w:sz w:val="20"/>
              </w:rPr>
              <w:t>Active</w:t>
            </w:r>
          </w:p>
        </w:tc>
        <w:tc>
          <w:tcPr>
            <w:tcW w:type="dxa" w:w="4464"/>
            <w:shd w:val="clear" w:color="auto" w:fill="F3F4F6"/>
          </w:tcPr>
          <w:p>
            <w:r>
              <w:rPr>
                <w:sz w:val="20"/>
              </w:rPr>
              <w:t>Token received, delivery not yet started or in progress.</w:t>
            </w:r>
          </w:p>
        </w:tc>
      </w:tr>
      <w:tr>
        <w:tc>
          <w:tcPr>
            <w:tcW w:type="dxa" w:w="4464"/>
          </w:tcPr>
          <w:p>
            <w:r>
              <w:rPr>
                <w:sz w:val="20"/>
              </w:rPr>
              <w:t>Unsubmitted</w:t>
            </w:r>
          </w:p>
        </w:tc>
        <w:tc>
          <w:tcPr>
            <w:tcW w:type="dxa" w:w="4464"/>
          </w:tcPr>
          <w:p>
            <w:r>
              <w:rPr>
                <w:sz w:val="20"/>
              </w:rPr>
              <w:t>Delivery is complete but the token has not yet been sent to the bank for payment.</w:t>
            </w:r>
          </w:p>
        </w:tc>
      </w:tr>
      <w:tr>
        <w:tc>
          <w:tcPr>
            <w:tcW w:type="dxa" w:w="4464"/>
            <w:shd w:val="clear" w:color="auto" w:fill="F3F4F6"/>
          </w:tcPr>
          <w:p>
            <w:r>
              <w:rPr>
                <w:sz w:val="20"/>
              </w:rPr>
              <w:t>Redeemed</w:t>
            </w:r>
          </w:p>
        </w:tc>
        <w:tc>
          <w:tcPr>
            <w:tcW w:type="dxa" w:w="4464"/>
            <w:shd w:val="clear" w:color="auto" w:fill="F3F4F6"/>
          </w:tcPr>
          <w:p>
            <w:r>
              <w:rPr>
                <w:sz w:val="20"/>
              </w:rPr>
              <w:t>Bank has released the cash. Fully settled.</w:t>
            </w:r>
          </w:p>
        </w:tc>
      </w:tr>
      <w:tr>
        <w:tc>
          <w:tcPr>
            <w:tcW w:type="dxa" w:w="4464"/>
          </w:tcPr>
          <w:p>
            <w:r>
              <w:rPr>
                <w:sz w:val="20"/>
              </w:rPr>
              <w:t>Flagged</w:t>
            </w:r>
          </w:p>
        </w:tc>
        <w:tc>
          <w:tcPr>
            <w:tcW w:type="dxa" w:w="4464"/>
          </w:tcPr>
          <w:p>
            <w:r>
              <w:rPr>
                <w:sz w:val="20"/>
              </w:rPr>
              <w:t>Token has been flagged — possibly due to a discrepancy between delivery records and school logs.</w:t>
            </w:r>
          </w:p>
        </w:tc>
      </w:tr>
    </w:tbl>
    <w:p/>
    <w:p>
      <w:pPr>
        <w:spacing w:before="320" w:after="80"/>
      </w:pPr>
      <w:r>
        <w:rPr>
          <w:b/>
          <w:color w:val="1A1A2E"/>
          <w:sz w:val="28"/>
        </w:rPr>
        <w:t>6.3  Delivery Logger — Recording What Was Delivered</w:t>
      </w:r>
    </w:p>
    <w:p>
      <w:pPr>
        <w:spacing w:after="100"/>
      </w:pPr>
      <w:r>
        <w:rPr>
          <w:color w:val="222222"/>
          <w:sz w:val="22"/>
        </w:rPr>
        <w:t>After delivering food to the school, the supplier logs the delivery here. They enter the item type, quantity, delivery date, and reference the government token that covers this delivery. The school admin sees this delivery in the Supply Logger under the matching item.</w:t>
      </w:r>
    </w:p>
    <w:p>
      <w:pPr>
        <w:spacing w:after="100"/>
      </w:pPr>
      <w:r>
        <w:rPr>
          <w:color w:val="222222"/>
          <w:sz w:val="22"/>
        </w:rPr>
        <w:t>Below the form is a history of all past deliveries: what was delivered, to which school, when, and whether the storekeeper confirmed receipt.</w:t>
      </w:r>
    </w:p>
    <w:p>
      <w:pPr>
        <w:spacing w:before="320" w:after="80"/>
      </w:pPr>
      <w:r>
        <w:rPr>
          <w:b/>
          <w:color w:val="1A1A2E"/>
          <w:sz w:val="28"/>
        </w:rPr>
        <w:t>6.4  Reorder Monitor</w:t>
      </w:r>
    </w:p>
    <w:p>
      <w:pPr>
        <w:spacing w:after="100"/>
      </w:pPr>
      <w:r>
        <w:rPr>
          <w:color w:val="222222"/>
          <w:sz w:val="22"/>
        </w:rPr>
        <w:t>The system shows the current stock levels at the school for all supply items the supplier covers. If an item is Low Stock or Critical, the supplier knows to prepare the next delivery proactively — they don't have to wait for a phone call from the school.</w:t>
      </w:r>
    </w:p>
    <w:p>
      <w:pPr>
        <w:spacing w:before="320" w:after="80"/>
      </w:pPr>
      <w:r>
        <w:rPr>
          <w:b/>
          <w:color w:val="1A1A2E"/>
          <w:sz w:val="28"/>
        </w:rPr>
        <w:t>6.5  Submit to Bank — Getting Paid</w:t>
      </w:r>
    </w:p>
    <w:p>
      <w:pPr>
        <w:spacing w:after="100"/>
      </w:pPr>
      <w:r>
        <w:rPr>
          <w:color w:val="222222"/>
          <w:sz w:val="22"/>
        </w:rPr>
        <w:t>Once a delivery is complete and the school has confirmed receipt, the supplier submits the linked token to the bank. This is a multi-step form:</w:t>
      </w:r>
    </w:p>
    <w:p>
      <w:pPr>
        <w:pStyle w:val="ListBullet"/>
        <w:spacing w:after="60"/>
      </w:pPr>
      <w:r>
        <w:rPr>
          <w:sz w:val="22"/>
        </w:rPr>
        <w:t>Step 1: Select an unsubmitted token from the dropdown.</w:t>
      </w:r>
    </w:p>
    <w:p>
      <w:pPr>
        <w:pStyle w:val="ListBullet"/>
        <w:spacing w:after="60"/>
      </w:pPr>
      <w:r>
        <w:rPr>
          <w:sz w:val="22"/>
        </w:rPr>
        <w:t>Step 2: Review the delivery summary — item, quantity, institution, token value.</w:t>
      </w:r>
    </w:p>
    <w:p>
      <w:pPr>
        <w:pStyle w:val="ListBullet"/>
        <w:spacing w:after="60"/>
      </w:pPr>
      <w:r>
        <w:rPr>
          <w:sz w:val="22"/>
        </w:rPr>
        <w:t>Step 3: Confirm and submit. Token status changes from Unsubmitted to Pending.</w:t>
      </w:r>
    </w:p>
    <w:p>
      <w:pPr>
        <w:spacing w:after="100"/>
      </w:pPr>
      <w:r>
        <w:rPr>
          <w:color w:val="222222"/>
          <w:sz w:val="22"/>
        </w:rPr>
        <w:t>The bank can now see this token in their Pending Tokens queue and begin the cash release process.</w:t>
      </w:r>
    </w:p>
    <w:p>
      <w:pPr>
        <w:spacing w:before="320" w:after="80"/>
      </w:pPr>
      <w:r>
        <w:rPr>
          <w:b/>
          <w:color w:val="1A1A2E"/>
          <w:sz w:val="28"/>
        </w:rPr>
        <w:t>6.6  Transaction History</w:t>
      </w:r>
    </w:p>
    <w:p>
      <w:pPr>
        <w:spacing w:after="100"/>
      </w:pPr>
      <w:r>
        <w:rPr>
          <w:color w:val="222222"/>
          <w:sz w:val="22"/>
        </w:rPr>
        <w:t>A read-only log of all completed transactions — tokens that have been fully redeemed by the bank. Shows token code, institution, amount, and the date cash was released.</w:t>
      </w:r>
    </w:p>
    <w:p>
      <w:r>
        <w:br w:type="page"/>
      </w:r>
    </w:p>
    <w:p>
      <w:pPr>
        <w:spacing w:before="440" w:after="120"/>
        <w:pBdr>
          <w:bottom w:val="single" w:sz="6" w:space="4" w:color="144FAF"/>
        </w:pBdr>
      </w:pPr>
      <w:r>
        <w:rPr>
          <w:b/>
          <w:color w:val="144FAF"/>
          <w:sz w:val="40"/>
        </w:rPr>
        <w:t>7. Bank Portal</w:t>
      </w:r>
    </w:p>
    <w:p>
      <w:pPr>
        <w:spacing w:after="100"/>
      </w:pPr>
      <w:r>
        <w:rPr>
          <w:color w:val="222222"/>
          <w:sz w:val="22"/>
        </w:rPr>
        <w:t>The bank is the final step in the payment chain. Bank officers see tokens submitted by suppliers, verify they are authentic government-issued instruments, and release cash. The bank portal is designed to be a clean, audit-friendly interface.</w:t>
      </w:r>
    </w:p>
    <w:p>
      <w:pPr>
        <w:spacing w:before="320" w:after="80"/>
      </w:pPr>
      <w:r>
        <w:rPr>
          <w:b/>
          <w:color w:val="1A1A2E"/>
          <w:sz w:val="28"/>
        </w:rPr>
        <w:t>7.1  Overview Dashboard</w:t>
      </w:r>
    </w:p>
    <w:p>
      <w:pPr>
        <w:spacing w:after="100"/>
      </w:pPr>
      <w:r>
        <w:rPr>
          <w:color w:val="222222"/>
          <w:sz w:val="22"/>
        </w:rPr>
        <w:t>At a glance: tokens currently pending review, total cash released this week, total value processed this semester, number of rejected tokens.</w:t>
      </w:r>
    </w:p>
    <w:p>
      <w:pPr>
        <w:spacing w:before="320" w:after="80"/>
      </w:pPr>
      <w:r>
        <w:rPr>
          <w:b/>
          <w:color w:val="1A1A2E"/>
          <w:sz w:val="28"/>
        </w:rPr>
        <w:t>7.2  Pending Tokens — The Queue</w:t>
      </w:r>
    </w:p>
    <w:p>
      <w:pPr>
        <w:spacing w:after="100"/>
      </w:pPr>
      <w:r>
        <w:rPr>
          <w:color w:val="222222"/>
          <w:sz w:val="22"/>
        </w:rPr>
        <w:t>A table of every token submitted by suppliers that is waiting for the bank's attention. Each row shows the token code, supplier name, institution, amount, and submission date. Officers work through this queue from top to bottom.</w:t>
      </w:r>
    </w:p>
    <w:p>
      <w:pPr>
        <w:spacing w:before="320" w:after="80"/>
      </w:pPr>
      <w:r>
        <w:rPr>
          <w:b/>
          <w:color w:val="1A1A2E"/>
          <w:sz w:val="28"/>
        </w:rPr>
        <w:t>7.3  Validate Token — Checking Authenticity</w:t>
      </w:r>
    </w:p>
    <w:p>
      <w:pPr>
        <w:spacing w:after="100"/>
      </w:pPr>
      <w:r>
        <w:rPr>
          <w:color w:val="222222"/>
          <w:sz w:val="22"/>
        </w:rPr>
        <w:t>The bank officer can look up any token by its code. They type the code (e.g. GOV-SAC-SEM1-005) into the search box and click Validate. The system looks the token up and shows one of two results:</w:t>
      </w:r>
    </w:p>
    <w:p>
      <w:pPr>
        <w:spacing w:before="120" w:after="120"/>
        <w:ind w:left="360" w:right="360"/>
        <w:shd w:val="clear" w:color="auto" w:fill="D6F5E5"/>
      </w:pPr>
      <w:r>
        <w:rPr>
          <w:b/>
          <w:sz w:val="22"/>
        </w:rPr>
        <w:t xml:space="preserve">Valid token:  </w:t>
      </w:r>
      <w:r>
        <w:rPr>
          <w:sz w:val="22"/>
        </w:rPr>
        <w:t>Token details confirmed: supplier name, institution, token value in GHS, issue date, expiry date, and issuing authority (Ministry of Education). The officer can now proceed to release cash.</w:t>
      </w:r>
    </w:p>
    <w:p>
      <w:pPr>
        <w:spacing w:before="120" w:after="120"/>
        <w:ind w:left="360" w:right="360"/>
        <w:shd w:val="clear" w:color="auto" w:fill="FCE4E4"/>
      </w:pPr>
      <w:r>
        <w:rPr>
          <w:b/>
          <w:sz w:val="22"/>
        </w:rPr>
        <w:t xml:space="preserve">Invalid token:  </w:t>
      </w:r>
      <w:r>
        <w:rPr>
          <w:sz w:val="22"/>
        </w:rPr>
        <w:t>The token code was not found or has already been redeemed / rejected. No cash is released.</w:t>
      </w:r>
    </w:p>
    <w:p>
      <w:pPr>
        <w:spacing w:before="320" w:after="80"/>
      </w:pPr>
      <w:r>
        <w:rPr>
          <w:b/>
          <w:color w:val="1A1A2E"/>
          <w:sz w:val="28"/>
        </w:rPr>
        <w:t>7.4  Cash Release — Releasing the Payment</w:t>
      </w:r>
    </w:p>
    <w:p>
      <w:pPr>
        <w:spacing w:after="100"/>
      </w:pPr>
      <w:r>
        <w:rPr>
          <w:color w:val="222222"/>
          <w:sz w:val="22"/>
        </w:rPr>
        <w:t>Once a token is validated, the officer goes to Cash Release. They select the token, confirm the supplier and amount, and click Release. This creates a BankTransaction record and marks the token as redeemed across the entire system — the government's Token Ledger updates, the supplier's Token Inbox updates, and the transaction appears in the log.</w:t>
      </w:r>
    </w:p>
    <w:p>
      <w:pPr>
        <w:spacing w:before="320" w:after="80"/>
      </w:pPr>
      <w:r>
        <w:rPr>
          <w:b/>
          <w:color w:val="1A1A2E"/>
          <w:sz w:val="28"/>
        </w:rPr>
        <w:t>7.5  Transaction Log</w:t>
      </w:r>
    </w:p>
    <w:p>
      <w:pPr>
        <w:spacing w:after="100"/>
      </w:pPr>
      <w:r>
        <w:rPr>
          <w:color w:val="222222"/>
          <w:sz w:val="22"/>
        </w:rPr>
        <w:t>A complete, immutable record of every bank transaction. Shows token code, supplier, institution, amount, processing date, and status (Released, Rejected, Pending). Used for daily balancing and external audits.</w:t>
      </w:r>
    </w:p>
    <w:p>
      <w:pPr>
        <w:spacing w:before="320" w:after="80"/>
      </w:pPr>
      <w:r>
        <w:rPr>
          <w:b/>
          <w:color w:val="1A1A2E"/>
          <w:sz w:val="28"/>
        </w:rPr>
        <w:t>7.6  Audit Report</w:t>
      </w:r>
    </w:p>
    <w:p>
      <w:pPr>
        <w:spacing w:after="100"/>
      </w:pPr>
      <w:r>
        <w:rPr>
          <w:color w:val="222222"/>
          <w:sz w:val="22"/>
        </w:rPr>
        <w:t>A financial summary report for the bank's compliance team. Totals released per week and month, breakdowns by institution and supplier, and a count of rejected tokens with reasons.</w:t>
      </w:r>
    </w:p>
    <w:p>
      <w:pPr>
        <w:spacing w:before="320" w:after="80"/>
      </w:pPr>
      <w:r>
        <w:rPr>
          <w:b/>
          <w:color w:val="1A1A2E"/>
          <w:sz w:val="28"/>
        </w:rPr>
        <w:t>7.7  Rejected Tokens</w:t>
      </w:r>
    </w:p>
    <w:p>
      <w:pPr>
        <w:spacing w:after="100"/>
      </w:pPr>
      <w:r>
        <w:rPr>
          <w:color w:val="222222"/>
          <w:sz w:val="22"/>
        </w:rPr>
        <w:t>Tokens that did not pass validation — either because the code was invalid, the token had expired, or the bank officer manually rejected it after investigation. Each entry shows the rejection reason and timestamp.</w:t>
      </w:r>
    </w:p>
    <w:p>
      <w:r>
        <w:br w:type="page"/>
      </w:r>
    </w:p>
    <w:p>
      <w:pPr>
        <w:spacing w:before="440" w:after="120"/>
        <w:pBdr>
          <w:bottom w:val="single" w:sz="6" w:space="4" w:color="144FAF"/>
        </w:pBdr>
      </w:pPr>
      <w:r>
        <w:rPr>
          <w:b/>
          <w:color w:val="144FAF"/>
          <w:sz w:val="40"/>
        </w:rPr>
        <w:t>8. The End-to-End Flow  —  Start to Finish</w:t>
      </w:r>
    </w:p>
    <w:p>
      <w:pPr>
        <w:spacing w:after="100"/>
      </w:pPr>
      <w:r>
        <w:rPr>
          <w:color w:val="222222"/>
          <w:sz w:val="22"/>
        </w:rPr>
        <w:t>Here is the full journey of one meal cycle, from the government's decision to feed students through to the supplier receiving payment.</w:t>
      </w:r>
    </w:p>
    <w:tbl>
      <w:tblPr>
        <w:tblStyle w:val="TableGrid"/>
        <w:tblW w:type="auto" w:w="0"/>
        <w:tblLook w:firstColumn="1" w:firstRow="1" w:lastColumn="0" w:lastRow="0" w:noHBand="0" w:noVBand="1" w:val="04A0"/>
      </w:tblPr>
      <w:tblGrid>
        <w:gridCol w:w="2232"/>
        <w:gridCol w:w="2232"/>
        <w:gridCol w:w="2232"/>
        <w:gridCol w:w="2232"/>
      </w:tblGrid>
      <w:tr>
        <w:tc>
          <w:tcPr>
            <w:tcW w:type="dxa" w:w="2232"/>
            <w:shd w:val="clear" w:color="auto" w:fill="D6E8FB"/>
          </w:tcPr>
          <w:p>
            <w:r>
              <w:rPr>
                <w:b/>
                <w:sz w:val="20"/>
              </w:rPr>
              <w:t>Step</w:t>
            </w:r>
          </w:p>
        </w:tc>
        <w:tc>
          <w:tcPr>
            <w:tcW w:type="dxa" w:w="2232"/>
            <w:shd w:val="clear" w:color="auto" w:fill="D6E8FB"/>
          </w:tcPr>
          <w:p>
            <w:r>
              <w:rPr>
                <w:b/>
                <w:sz w:val="20"/>
              </w:rPr>
              <w:t>Who</w:t>
            </w:r>
          </w:p>
        </w:tc>
        <w:tc>
          <w:tcPr>
            <w:tcW w:type="dxa" w:w="2232"/>
            <w:shd w:val="clear" w:color="auto" w:fill="D6E8FB"/>
          </w:tcPr>
          <w:p>
            <w:r>
              <w:rPr>
                <w:b/>
                <w:sz w:val="20"/>
              </w:rPr>
              <w:t>Action</w:t>
            </w:r>
          </w:p>
        </w:tc>
        <w:tc>
          <w:tcPr>
            <w:tcW w:type="dxa" w:w="2232"/>
            <w:shd w:val="clear" w:color="auto" w:fill="D6E8FB"/>
          </w:tcPr>
          <w:p>
            <w:r>
              <w:rPr>
                <w:b/>
                <w:sz w:val="20"/>
              </w:rPr>
              <w:t>What Happens</w:t>
            </w:r>
          </w:p>
        </w:tc>
      </w:tr>
      <w:tr>
        <w:tc>
          <w:tcPr>
            <w:tcW w:type="dxa" w:w="2232"/>
            <w:shd w:val="clear" w:color="auto" w:fill="F3F4F6"/>
          </w:tcPr>
          <w:p>
            <w:r>
              <w:rPr>
                <w:b/>
                <w:sz w:val="19"/>
              </w:rPr>
              <w:t>1</w:t>
            </w:r>
          </w:p>
        </w:tc>
        <w:tc>
          <w:tcPr>
            <w:tcW w:type="dxa" w:w="2232"/>
            <w:shd w:val="clear" w:color="auto" w:fill="F3F4F6"/>
          </w:tcPr>
          <w:p>
            <w:r>
              <w:rPr>
                <w:b/>
                <w:sz w:val="19"/>
              </w:rPr>
              <w:t>Government</w:t>
            </w:r>
          </w:p>
        </w:tc>
        <w:tc>
          <w:tcPr>
            <w:tcW w:type="dxa" w:w="2232"/>
            <w:shd w:val="clear" w:color="auto" w:fill="F3F4F6"/>
          </w:tcPr>
          <w:p>
            <w:r>
              <w:rPr>
                <w:b/>
                <w:sz w:val="19"/>
              </w:rPr>
              <w:t>Issues a Token</w:t>
            </w:r>
          </w:p>
        </w:tc>
        <w:tc>
          <w:tcPr>
            <w:tcW w:type="dxa" w:w="2232"/>
            <w:shd w:val="clear" w:color="auto" w:fill="F3F4F6"/>
          </w:tcPr>
          <w:p>
            <w:r>
              <w:rPr>
                <w:sz w:val="19"/>
              </w:rPr>
              <w:t>The government officer opens Issue Tokens, selects a supplier and school, sets a value (e.g. GH₵ 420,000 for Golden Harvest Foods → St. Augustine College), and clicks Issue. Token code: GOV-SAC-SEM1-001.</w:t>
            </w:r>
          </w:p>
        </w:tc>
      </w:tr>
      <w:tr>
        <w:tc>
          <w:tcPr>
            <w:tcW w:type="dxa" w:w="2232"/>
          </w:tcPr>
          <w:p>
            <w:r>
              <w:rPr>
                <w:b/>
                <w:sz w:val="19"/>
              </w:rPr>
              <w:t>2</w:t>
            </w:r>
          </w:p>
        </w:tc>
        <w:tc>
          <w:tcPr>
            <w:tcW w:type="dxa" w:w="2232"/>
          </w:tcPr>
          <w:p>
            <w:r>
              <w:rPr>
                <w:b/>
                <w:sz w:val="19"/>
              </w:rPr>
              <w:t>Supplier</w:t>
            </w:r>
          </w:p>
        </w:tc>
        <w:tc>
          <w:tcPr>
            <w:tcW w:type="dxa" w:w="2232"/>
          </w:tcPr>
          <w:p>
            <w:r>
              <w:rPr>
                <w:b/>
                <w:sz w:val="19"/>
              </w:rPr>
              <w:t>Receives the Token</w:t>
            </w:r>
          </w:p>
        </w:tc>
        <w:tc>
          <w:tcPr>
            <w:tcW w:type="dxa" w:w="2232"/>
          </w:tcPr>
          <w:p>
            <w:r>
              <w:rPr>
                <w:sz w:val="19"/>
              </w:rPr>
              <w:t>Golden Harvest Foods logs in and sees the new token in their Token Inbox, tagged NEW. Status: Active. They now know they are authorised to deliver food worth GH₵ 420,000.</w:t>
            </w:r>
          </w:p>
        </w:tc>
      </w:tr>
      <w:tr>
        <w:tc>
          <w:tcPr>
            <w:tcW w:type="dxa" w:w="2232"/>
            <w:shd w:val="clear" w:color="auto" w:fill="F3F4F6"/>
          </w:tcPr>
          <w:p>
            <w:r>
              <w:rPr>
                <w:b/>
                <w:sz w:val="19"/>
              </w:rPr>
              <w:t>3</w:t>
            </w:r>
          </w:p>
        </w:tc>
        <w:tc>
          <w:tcPr>
            <w:tcW w:type="dxa" w:w="2232"/>
            <w:shd w:val="clear" w:color="auto" w:fill="F3F4F6"/>
          </w:tcPr>
          <w:p>
            <w:r>
              <w:rPr>
                <w:b/>
                <w:sz w:val="19"/>
              </w:rPr>
              <w:t>Supplier</w:t>
            </w:r>
          </w:p>
        </w:tc>
        <w:tc>
          <w:tcPr>
            <w:tcW w:type="dxa" w:w="2232"/>
            <w:shd w:val="clear" w:color="auto" w:fill="F3F4F6"/>
          </w:tcPr>
          <w:p>
            <w:r>
              <w:rPr>
                <w:b/>
                <w:sz w:val="19"/>
              </w:rPr>
              <w:t>Delivers Food &amp; Logs It</w:t>
            </w:r>
          </w:p>
        </w:tc>
        <w:tc>
          <w:tcPr>
            <w:tcW w:type="dxa" w:w="2232"/>
            <w:shd w:val="clear" w:color="auto" w:fill="F3F4F6"/>
          </w:tcPr>
          <w:p>
            <w:r>
              <w:rPr>
                <w:sz w:val="19"/>
              </w:rPr>
              <w:t>The supplier delivers 500 bags of rice to the school. The storekeeper confirms receipt. The supplier logs the delivery in Delivery Logger, referencing GOV-SAC-SEM1-001.</w:t>
            </w:r>
          </w:p>
        </w:tc>
      </w:tr>
      <w:tr>
        <w:tc>
          <w:tcPr>
            <w:tcW w:type="dxa" w:w="2232"/>
          </w:tcPr>
          <w:p>
            <w:r>
              <w:rPr>
                <w:b/>
                <w:sz w:val="19"/>
              </w:rPr>
              <w:t>4</w:t>
            </w:r>
          </w:p>
        </w:tc>
        <w:tc>
          <w:tcPr>
            <w:tcW w:type="dxa" w:w="2232"/>
          </w:tcPr>
          <w:p>
            <w:r>
              <w:rPr>
                <w:b/>
                <w:sz w:val="19"/>
              </w:rPr>
              <w:t>School Admin</w:t>
            </w:r>
          </w:p>
        </w:tc>
        <w:tc>
          <w:tcPr>
            <w:tcW w:type="dxa" w:w="2232"/>
          </w:tcPr>
          <w:p>
            <w:r>
              <w:rPr>
                <w:b/>
                <w:sz w:val="19"/>
              </w:rPr>
              <w:t>Supply is Visible</w:t>
            </w:r>
          </w:p>
        </w:tc>
        <w:tc>
          <w:tcPr>
            <w:tcW w:type="dxa" w:w="2232"/>
          </w:tcPr>
          <w:p>
            <w:r>
              <w:rPr>
                <w:sz w:val="19"/>
              </w:rPr>
              <w:t>The school admin opens Supply Logger and sees Rice: 500 bags delivered, stock updated. The delivery is linked to the government token for traceability.</w:t>
            </w:r>
          </w:p>
        </w:tc>
      </w:tr>
      <w:tr>
        <w:tc>
          <w:tcPr>
            <w:tcW w:type="dxa" w:w="2232"/>
            <w:shd w:val="clear" w:color="auto" w:fill="F3F4F6"/>
          </w:tcPr>
          <w:p>
            <w:r>
              <w:rPr>
                <w:b/>
                <w:sz w:val="19"/>
              </w:rPr>
              <w:t>5</w:t>
            </w:r>
          </w:p>
        </w:tc>
        <w:tc>
          <w:tcPr>
            <w:tcW w:type="dxa" w:w="2232"/>
            <w:shd w:val="clear" w:color="auto" w:fill="F3F4F6"/>
          </w:tcPr>
          <w:p>
            <w:r>
              <w:rPr>
                <w:b/>
                <w:sz w:val="19"/>
              </w:rPr>
              <w:t>Scanner</w:t>
            </w:r>
          </w:p>
        </w:tc>
        <w:tc>
          <w:tcPr>
            <w:tcW w:type="dxa" w:w="2232"/>
            <w:shd w:val="clear" w:color="auto" w:fill="F3F4F6"/>
          </w:tcPr>
          <w:p>
            <w:r>
              <w:rPr>
                <w:b/>
                <w:sz w:val="19"/>
              </w:rPr>
              <w:t>Students Eat</w:t>
            </w:r>
          </w:p>
        </w:tc>
        <w:tc>
          <w:tcPr>
            <w:tcW w:type="dxa" w:w="2232"/>
            <w:shd w:val="clear" w:color="auto" w:fill="F3F4F6"/>
          </w:tcPr>
          <w:p>
            <w:r>
              <w:rPr>
                <w:sz w:val="19"/>
              </w:rPr>
              <w:t>Every morning, lunch, and evening, students scan their QR cards at the kiosk. The live counter climbs. Duplicates and flagged scans are caught in real time.</w:t>
            </w:r>
          </w:p>
        </w:tc>
      </w:tr>
      <w:tr>
        <w:tc>
          <w:tcPr>
            <w:tcW w:type="dxa" w:w="2232"/>
          </w:tcPr>
          <w:p>
            <w:r>
              <w:rPr>
                <w:b/>
                <w:sz w:val="19"/>
              </w:rPr>
              <w:t>6</w:t>
            </w:r>
          </w:p>
        </w:tc>
        <w:tc>
          <w:tcPr>
            <w:tcW w:type="dxa" w:w="2232"/>
          </w:tcPr>
          <w:p>
            <w:r>
              <w:rPr>
                <w:b/>
                <w:sz w:val="19"/>
              </w:rPr>
              <w:t>School Admin</w:t>
            </w:r>
          </w:p>
        </w:tc>
        <w:tc>
          <w:tcPr>
            <w:tcW w:type="dxa" w:w="2232"/>
          </w:tcPr>
          <w:p>
            <w:r>
              <w:rPr>
                <w:b/>
                <w:sz w:val="19"/>
              </w:rPr>
              <w:t>Daily Report Generated</w:t>
            </w:r>
          </w:p>
        </w:tc>
        <w:tc>
          <w:tcPr>
            <w:tcW w:type="dxa" w:w="2232"/>
          </w:tcPr>
          <w:p>
            <w:r>
              <w:rPr>
                <w:sz w:val="19"/>
              </w:rPr>
              <w:t>At end of day, IARTS auto-generates a Daily Report: 2,413 meals served, 3 fraud alerts, gross estimate GH₵ 41,820. The report enters the kanban at "Generated".</w:t>
            </w:r>
          </w:p>
        </w:tc>
      </w:tr>
      <w:tr>
        <w:tc>
          <w:tcPr>
            <w:tcW w:type="dxa" w:w="2232"/>
            <w:shd w:val="clear" w:color="auto" w:fill="F3F4F6"/>
          </w:tcPr>
          <w:p>
            <w:r>
              <w:rPr>
                <w:b/>
                <w:sz w:val="19"/>
              </w:rPr>
              <w:t>7</w:t>
            </w:r>
          </w:p>
        </w:tc>
        <w:tc>
          <w:tcPr>
            <w:tcW w:type="dxa" w:w="2232"/>
            <w:shd w:val="clear" w:color="auto" w:fill="F3F4F6"/>
          </w:tcPr>
          <w:p>
            <w:r>
              <w:rPr>
                <w:b/>
                <w:sz w:val="19"/>
              </w:rPr>
              <w:t>School Admin</w:t>
            </w:r>
          </w:p>
        </w:tc>
        <w:tc>
          <w:tcPr>
            <w:tcW w:type="dxa" w:w="2232"/>
            <w:shd w:val="clear" w:color="auto" w:fill="F3F4F6"/>
          </w:tcPr>
          <w:p>
            <w:r>
              <w:rPr>
                <w:b/>
                <w:sz w:val="19"/>
              </w:rPr>
              <w:t>Report Moves Through Pipeline</w:t>
            </w:r>
          </w:p>
        </w:tc>
        <w:tc>
          <w:tcPr>
            <w:tcW w:type="dxa" w:w="2232"/>
            <w:shd w:val="clear" w:color="auto" w:fill="F3F4F6"/>
          </w:tcPr>
          <w:p>
            <w:r>
              <w:rPr>
                <w:sz w:val="19"/>
              </w:rPr>
              <w:t>If clean, the report auto-advances to Claim Eligible. If flagged, an admin or compliance officer reviews and resolves the flag before it can advance.</w:t>
            </w:r>
          </w:p>
        </w:tc>
      </w:tr>
      <w:tr>
        <w:tc>
          <w:tcPr>
            <w:tcW w:type="dxa" w:w="2232"/>
          </w:tcPr>
          <w:p>
            <w:r>
              <w:rPr>
                <w:b/>
                <w:sz w:val="19"/>
              </w:rPr>
              <w:t>8</w:t>
            </w:r>
          </w:p>
        </w:tc>
        <w:tc>
          <w:tcPr>
            <w:tcW w:type="dxa" w:w="2232"/>
          </w:tcPr>
          <w:p>
            <w:r>
              <w:rPr>
                <w:b/>
                <w:sz w:val="19"/>
              </w:rPr>
              <w:t>Supplier</w:t>
            </w:r>
          </w:p>
        </w:tc>
        <w:tc>
          <w:tcPr>
            <w:tcW w:type="dxa" w:w="2232"/>
          </w:tcPr>
          <w:p>
            <w:r>
              <w:rPr>
                <w:b/>
                <w:sz w:val="19"/>
              </w:rPr>
              <w:t>Submits Token to Bank</w:t>
            </w:r>
          </w:p>
        </w:tc>
        <w:tc>
          <w:tcPr>
            <w:tcW w:type="dxa" w:w="2232"/>
          </w:tcPr>
          <w:p>
            <w:r>
              <w:rPr>
                <w:sz w:val="19"/>
              </w:rPr>
              <w:t>Once delivery is confirmed and records are reconciled, the supplier goes to Submit to Bank, selects GOV-SAC-SEM1-001, and submits. Token status → Pending.</w:t>
            </w:r>
          </w:p>
        </w:tc>
      </w:tr>
      <w:tr>
        <w:tc>
          <w:tcPr>
            <w:tcW w:type="dxa" w:w="2232"/>
            <w:shd w:val="clear" w:color="auto" w:fill="F3F4F6"/>
          </w:tcPr>
          <w:p>
            <w:r>
              <w:rPr>
                <w:b/>
                <w:sz w:val="19"/>
              </w:rPr>
              <w:t>9</w:t>
            </w:r>
          </w:p>
        </w:tc>
        <w:tc>
          <w:tcPr>
            <w:tcW w:type="dxa" w:w="2232"/>
            <w:shd w:val="clear" w:color="auto" w:fill="F3F4F6"/>
          </w:tcPr>
          <w:p>
            <w:r>
              <w:rPr>
                <w:b/>
                <w:sz w:val="19"/>
              </w:rPr>
              <w:t>Bank</w:t>
            </w:r>
          </w:p>
        </w:tc>
        <w:tc>
          <w:tcPr>
            <w:tcW w:type="dxa" w:w="2232"/>
            <w:shd w:val="clear" w:color="auto" w:fill="F3F4F6"/>
          </w:tcPr>
          <w:p>
            <w:r>
              <w:rPr>
                <w:b/>
                <w:sz w:val="19"/>
              </w:rPr>
              <w:t>Validates &amp; Releases Cash</w:t>
            </w:r>
          </w:p>
        </w:tc>
        <w:tc>
          <w:tcPr>
            <w:tcW w:type="dxa" w:w="2232"/>
            <w:shd w:val="clear" w:color="auto" w:fill="F3F4F6"/>
          </w:tcPr>
          <w:p>
            <w:r>
              <w:rPr>
                <w:sz w:val="19"/>
              </w:rPr>
              <w:t>The bank officer finds the token in Pending Tokens, clicks Validate, confirms the details, then clicks Release. GH₵ 420,000 is released to Golden Harvest Foods. Token → Redeemed.</w:t>
            </w:r>
          </w:p>
        </w:tc>
      </w:tr>
      <w:tr>
        <w:tc>
          <w:tcPr>
            <w:tcW w:type="dxa" w:w="2232"/>
          </w:tcPr>
          <w:p>
            <w:r>
              <w:rPr>
                <w:b/>
                <w:sz w:val="19"/>
              </w:rPr>
              <w:t>10</w:t>
            </w:r>
          </w:p>
        </w:tc>
        <w:tc>
          <w:tcPr>
            <w:tcW w:type="dxa" w:w="2232"/>
          </w:tcPr>
          <w:p>
            <w:r>
              <w:rPr>
                <w:b/>
                <w:sz w:val="19"/>
              </w:rPr>
              <w:t>Government</w:t>
            </w:r>
          </w:p>
        </w:tc>
        <w:tc>
          <w:tcPr>
            <w:tcW w:type="dxa" w:w="2232"/>
          </w:tcPr>
          <w:p>
            <w:r>
              <w:rPr>
                <w:b/>
                <w:sz w:val="19"/>
              </w:rPr>
              <w:t>Reimburses the School</w:t>
            </w:r>
          </w:p>
        </w:tc>
        <w:tc>
          <w:tcPr>
            <w:tcW w:type="dxa" w:w="2232"/>
          </w:tcPr>
          <w:p>
            <w:r>
              <w:rPr>
                <w:sz w:val="19"/>
              </w:rPr>
              <w:t>The school admin views the semester pool in Meal Reports and submits a reimbursement claim to the government. The government officer reviews attendance and fraud data, then approves the claim. The school is reimbursed for the meals it funded.</w:t>
            </w:r>
          </w:p>
        </w:tc>
      </w:tr>
    </w:tbl>
    <w:p/>
    <w:p>
      <w:r>
        <w:br w:type="page"/>
      </w:r>
    </w:p>
    <w:p>
      <w:pPr>
        <w:spacing w:before="440" w:after="120"/>
        <w:pBdr>
          <w:bottom w:val="single" w:sz="6" w:space="4" w:color="144FAF"/>
        </w:pBdr>
      </w:pPr>
      <w:r>
        <w:rPr>
          <w:b/>
          <w:color w:val="144FAF"/>
          <w:sz w:val="40"/>
        </w:rPr>
        <w:t>9. How IARTS Catches Fraud</w:t>
      </w:r>
    </w:p>
    <w:p>
      <w:pPr>
        <w:spacing w:after="100"/>
      </w:pPr>
      <w:r>
        <w:rPr>
          <w:color w:val="222222"/>
          <w:sz w:val="22"/>
        </w:rPr>
        <w:t>A dedicated fraud engine runs automatically at the end of every day and also in real time at the kiosk. It looks for patterns that suggest students, staff, or suppliers are manipulating the system.</w:t>
      </w:r>
    </w:p>
    <w:p>
      <w:pPr>
        <w:spacing w:before="320" w:after="80"/>
      </w:pPr>
      <w:r>
        <w:rPr>
          <w:b/>
          <w:color w:val="1A1A2E"/>
          <w:sz w:val="28"/>
        </w:rPr>
        <w:t>At the Kiosk — Real Time</w:t>
      </w:r>
    </w:p>
    <w:p>
      <w:pPr>
        <w:pStyle w:val="ListBullet"/>
        <w:spacing w:after="60"/>
      </w:pPr>
      <w:r>
        <w:rPr>
          <w:sz w:val="22"/>
        </w:rPr>
        <w:t>A card scanned twice in the same meal session is immediately rejected as a duplicate.</w:t>
      </w:r>
    </w:p>
    <w:p>
      <w:pPr>
        <w:pStyle w:val="ListBullet"/>
        <w:spacing w:after="60"/>
      </w:pPr>
      <w:r>
        <w:rPr>
          <w:sz w:val="22"/>
        </w:rPr>
        <w:t>A card not in the system is flagged as unknown and the scan is rejected.</w:t>
      </w:r>
    </w:p>
    <w:p>
      <w:pPr>
        <w:pStyle w:val="ListBullet"/>
        <w:spacing w:after="60"/>
      </w:pPr>
      <w:r>
        <w:rPr>
          <w:sz w:val="22"/>
        </w:rPr>
        <w:t>A card belonging to a suspended or inactive student is blocked and flagged.</w:t>
      </w:r>
    </w:p>
    <w:p>
      <w:pPr>
        <w:spacing w:before="320" w:after="80"/>
      </w:pPr>
      <w:r>
        <w:rPr>
          <w:b/>
          <w:color w:val="1A1A2E"/>
          <w:sz w:val="28"/>
        </w:rPr>
        <w:t>In the Daily Report — End of Day</w:t>
      </w:r>
    </w:p>
    <w:p>
      <w:pPr>
        <w:pStyle w:val="ListBullet"/>
        <w:spacing w:after="60"/>
      </w:pPr>
      <w:r>
        <w:rPr>
          <w:sz w:val="22"/>
        </w:rPr>
        <w:t>The fraud engine counts all duplicate attempts per scanner. If a scanner shows more than 20 duplicates in one session, the report is escalated to Compliance Review automatically.</w:t>
      </w:r>
    </w:p>
    <w:p>
      <w:pPr>
        <w:pStyle w:val="ListBullet"/>
        <w:spacing w:after="60"/>
      </w:pPr>
      <w:r>
        <w:rPr>
          <w:sz w:val="22"/>
        </w:rPr>
        <w:t>Supply logs are checked for completeness. Missing logs for any session block the report from advancing.</w:t>
      </w:r>
    </w:p>
    <w:p>
      <w:pPr>
        <w:pStyle w:val="ListBullet"/>
        <w:spacing w:after="60"/>
      </w:pPr>
      <w:r>
        <w:rPr>
          <w:sz w:val="22"/>
        </w:rPr>
        <w:t>Session closure is verified. A session left open overnight means the financial engine cannot calculate an accurate total.</w:t>
      </w:r>
    </w:p>
    <w:p>
      <w:pPr>
        <w:spacing w:before="320" w:after="80"/>
      </w:pPr>
      <w:r>
        <w:rPr>
          <w:b/>
          <w:color w:val="1A1A2E"/>
          <w:sz w:val="28"/>
        </w:rPr>
        <w:t>The Effect on Reports</w:t>
      </w:r>
    </w:p>
    <w:p>
      <w:pPr>
        <w:spacing w:after="100"/>
      </w:pPr>
      <w:r>
        <w:rPr>
          <w:color w:val="222222"/>
          <w:sz w:val="22"/>
        </w:rPr>
        <w:t>Every fraud flag deducts from the claimable amount. If 3 fraud flags are detected, a policy adjustment (e.g. -GH₵ 3,500) is applied to the gross estimate before the net claimable figure is calculated. This means the school has a financial incentive to prevent and report fraud promptly.</w:t>
      </w:r>
    </w:p>
    <w:p>
      <w:pPr>
        <w:spacing w:before="120" w:after="120"/>
        <w:ind w:left="360" w:right="360"/>
        <w:shd w:val="clear" w:color="auto" w:fill="FFF3CD"/>
      </w:pPr>
      <w:r>
        <w:rPr>
          <w:b/>
          <w:sz w:val="22"/>
        </w:rPr>
        <w:t xml:space="preserve">Risk Score:  </w:t>
      </w:r>
      <w:r>
        <w:rPr>
          <w:sz w:val="22"/>
        </w:rPr>
        <w:t>Each daily report carries a Risk Score from 0 to 100. A score of 0 means a perfectly clean day. High scores (above 50) mean the compliance officer will look closely before approving the report.</w:t>
      </w:r>
    </w:p>
    <w:p>
      <w:r>
        <w:br w:type="page"/>
      </w:r>
    </w:p>
    <w:p>
      <w:pPr>
        <w:spacing w:before="440" w:after="120"/>
        <w:pBdr>
          <w:bottom w:val="single" w:sz="6" w:space="4" w:color="144FAF"/>
        </w:pBdr>
      </w:pPr>
      <w:r>
        <w:rPr>
          <w:b/>
          <w:color w:val="144FAF"/>
          <w:sz w:val="40"/>
        </w:rPr>
        <w:t>10. Key Screens at a Glance</w:t>
      </w:r>
    </w:p>
    <w:tbl>
      <w:tblPr>
        <w:tblStyle w:val="TableGrid"/>
        <w:tblW w:type="auto" w:w="0"/>
        <w:tblLook w:firstColumn="1" w:firstRow="1" w:lastColumn="0" w:lastRow="0" w:noHBand="0" w:noVBand="1" w:val="04A0"/>
      </w:tblPr>
      <w:tblGrid>
        <w:gridCol w:w="4464"/>
        <w:gridCol w:w="4464"/>
      </w:tblGrid>
      <w:tr>
        <w:tc>
          <w:tcPr>
            <w:tcW w:type="dxa" w:w="4464"/>
            <w:shd w:val="clear" w:color="auto" w:fill="D6E8FB"/>
          </w:tcPr>
          <w:p>
            <w:r>
              <w:rPr>
                <w:b/>
                <w:sz w:val="20"/>
              </w:rPr>
              <w:t>Screen</w:t>
            </w:r>
          </w:p>
        </w:tc>
        <w:tc>
          <w:tcPr>
            <w:tcW w:type="dxa" w:w="4464"/>
            <w:shd w:val="clear" w:color="auto" w:fill="D6E8FB"/>
          </w:tcPr>
          <w:p>
            <w:r>
              <w:rPr>
                <w:b/>
                <w:sz w:val="20"/>
              </w:rPr>
              <w:t>What It Does</w:t>
            </w:r>
          </w:p>
        </w:tc>
      </w:tr>
      <w:tr>
        <w:tc>
          <w:tcPr>
            <w:tcW w:type="dxa" w:w="4464"/>
            <w:shd w:val="clear" w:color="auto" w:fill="F3F4F6"/>
          </w:tcPr>
          <w:p>
            <w:r>
              <w:rPr>
                <w:sz w:val="20"/>
              </w:rPr>
              <w:t>Login</w:t>
            </w:r>
          </w:p>
        </w:tc>
        <w:tc>
          <w:tcPr>
            <w:tcW w:type="dxa" w:w="4464"/>
            <w:shd w:val="clear" w:color="auto" w:fill="F3F4F6"/>
          </w:tcPr>
          <w:p>
            <w:r>
              <w:rPr>
                <w:sz w:val="20"/>
              </w:rPr>
              <w:t>Role-based entry point. One login → correct portal automatically.</w:t>
            </w:r>
          </w:p>
        </w:tc>
      </w:tr>
      <w:tr>
        <w:tc>
          <w:tcPr>
            <w:tcW w:type="dxa" w:w="4464"/>
          </w:tcPr>
          <w:p>
            <w:r>
              <w:rPr>
                <w:sz w:val="20"/>
              </w:rPr>
              <w:t>Scanner Kiosk</w:t>
            </w:r>
          </w:p>
        </w:tc>
        <w:tc>
          <w:tcPr>
            <w:tcW w:type="dxa" w:w="4464"/>
          </w:tcPr>
          <w:p>
            <w:r>
              <w:rPr>
                <w:sz w:val="20"/>
              </w:rPr>
              <w:t>Mobile-friendly QR scanner. Public — no login. Real-time served/duplicate/flagged counters.</w:t>
            </w:r>
          </w:p>
        </w:tc>
      </w:tr>
      <w:tr>
        <w:tc>
          <w:tcPr>
            <w:tcW w:type="dxa" w:w="4464"/>
            <w:shd w:val="clear" w:color="auto" w:fill="F3F4F6"/>
          </w:tcPr>
          <w:p>
            <w:r>
              <w:rPr>
                <w:sz w:val="20"/>
              </w:rPr>
              <w:t>Admin Dashboard</w:t>
            </w:r>
          </w:p>
        </w:tc>
        <w:tc>
          <w:tcPr>
            <w:tcW w:type="dxa" w:w="4464"/>
            <w:shd w:val="clear" w:color="auto" w:fill="F3F4F6"/>
          </w:tcPr>
          <w:p>
            <w:r>
              <w:rPr>
                <w:sz w:val="20"/>
              </w:rPr>
              <w:t>Live meal stats + real-time dining hall scan feed, all in one view.</w:t>
            </w:r>
          </w:p>
        </w:tc>
      </w:tr>
      <w:tr>
        <w:tc>
          <w:tcPr>
            <w:tcW w:type="dxa" w:w="4464"/>
          </w:tcPr>
          <w:p>
            <w:r>
              <w:rPr>
                <w:sz w:val="20"/>
              </w:rPr>
              <w:t>Student Registry</w:t>
            </w:r>
          </w:p>
        </w:tc>
        <w:tc>
          <w:tcPr>
            <w:tcW w:type="dxa" w:w="4464"/>
          </w:tcPr>
          <w:p>
            <w:r>
              <w:rPr>
                <w:sz w:val="20"/>
              </w:rPr>
              <w:t>Full student list with status filters. Expand any row for the full profile + audit log.</w:t>
            </w:r>
          </w:p>
        </w:tc>
      </w:tr>
      <w:tr>
        <w:tc>
          <w:tcPr>
            <w:tcW w:type="dxa" w:w="4464"/>
            <w:shd w:val="clear" w:color="auto" w:fill="F3F4F6"/>
          </w:tcPr>
          <w:p>
            <w:r>
              <w:rPr>
                <w:sz w:val="20"/>
              </w:rPr>
              <w:t>Card Management</w:t>
            </w:r>
          </w:p>
        </w:tc>
        <w:tc>
          <w:tcPr>
            <w:tcW w:type="dxa" w:w="4464"/>
            <w:shd w:val="clear" w:color="auto" w:fill="F3F4F6"/>
          </w:tcPr>
          <w:p>
            <w:r>
              <w:rPr>
                <w:sz w:val="20"/>
              </w:rPr>
              <w:t>All dining cards. Issue, suspend, replace, or deactivate cards.</w:t>
            </w:r>
          </w:p>
        </w:tc>
      </w:tr>
      <w:tr>
        <w:tc>
          <w:tcPr>
            <w:tcW w:type="dxa" w:w="4464"/>
          </w:tcPr>
          <w:p>
            <w:r>
              <w:rPr>
                <w:sz w:val="20"/>
              </w:rPr>
              <w:t>Supply Logger</w:t>
            </w:r>
          </w:p>
        </w:tc>
        <w:tc>
          <w:tcPr>
            <w:tcW w:type="dxa" w:w="4464"/>
          </w:tcPr>
          <w:p>
            <w:r>
              <w:rPr>
                <w:sz w:val="20"/>
              </w:rPr>
              <w:t>Stock levels for all food items. Deliveries, consumption, token references, supply logs.</w:t>
            </w:r>
          </w:p>
        </w:tc>
      </w:tr>
      <w:tr>
        <w:tc>
          <w:tcPr>
            <w:tcW w:type="dxa" w:w="4464"/>
            <w:shd w:val="clear" w:color="auto" w:fill="F3F4F6"/>
          </w:tcPr>
          <w:p>
            <w:r>
              <w:rPr>
                <w:sz w:val="20"/>
              </w:rPr>
              <w:t>Fraud Alerts</w:t>
            </w:r>
          </w:p>
        </w:tc>
        <w:tc>
          <w:tcPr>
            <w:tcW w:type="dxa" w:w="4464"/>
            <w:shd w:val="clear" w:color="auto" w:fill="F3F4F6"/>
          </w:tcPr>
          <w:p>
            <w:r>
              <w:rPr>
                <w:sz w:val="20"/>
              </w:rPr>
              <w:t>All flagged events in one place. Filterable by type.</w:t>
            </w:r>
          </w:p>
        </w:tc>
      </w:tr>
      <w:tr>
        <w:tc>
          <w:tcPr>
            <w:tcW w:type="dxa" w:w="4464"/>
          </w:tcPr>
          <w:p>
            <w:r>
              <w:rPr>
                <w:sz w:val="20"/>
              </w:rPr>
              <w:t>Meal Reports</w:t>
            </w:r>
          </w:p>
        </w:tc>
        <w:tc>
          <w:tcPr>
            <w:tcW w:type="dxa" w:w="4464"/>
          </w:tcPr>
          <w:p>
            <w:r>
              <w:rPr>
                <w:sz w:val="20"/>
              </w:rPr>
              <w:t>Kanban pipeline: Generated → Operational Review → Compliance Review → Claim Eligible.</w:t>
            </w:r>
          </w:p>
        </w:tc>
      </w:tr>
      <w:tr>
        <w:tc>
          <w:tcPr>
            <w:tcW w:type="dxa" w:w="4464"/>
            <w:shd w:val="clear" w:color="auto" w:fill="F3F4F6"/>
          </w:tcPr>
          <w:p>
            <w:r>
              <w:rPr>
                <w:sz w:val="20"/>
              </w:rPr>
              <w:t>Gov: Issue Tokens</w:t>
            </w:r>
          </w:p>
        </w:tc>
        <w:tc>
          <w:tcPr>
            <w:tcW w:type="dxa" w:w="4464"/>
            <w:shd w:val="clear" w:color="auto" w:fill="F3F4F6"/>
          </w:tcPr>
          <w:p>
            <w:r>
              <w:rPr>
                <w:sz w:val="20"/>
              </w:rPr>
              <w:t>Form + ledger. Create financial tokens linking a supplier to a school.</w:t>
            </w:r>
          </w:p>
        </w:tc>
      </w:tr>
      <w:tr>
        <w:tc>
          <w:tcPr>
            <w:tcW w:type="dxa" w:w="4464"/>
          </w:tcPr>
          <w:p>
            <w:r>
              <w:rPr>
                <w:sz w:val="20"/>
              </w:rPr>
              <w:t>Gov: Reimbursements</w:t>
            </w:r>
          </w:p>
        </w:tc>
        <w:tc>
          <w:tcPr>
            <w:tcW w:type="dxa" w:w="4464"/>
          </w:tcPr>
          <w:p>
            <w:r>
              <w:rPr>
                <w:sz w:val="20"/>
              </w:rPr>
              <w:t>Review and approve school reimbursement claims.</w:t>
            </w:r>
          </w:p>
        </w:tc>
      </w:tr>
      <w:tr>
        <w:tc>
          <w:tcPr>
            <w:tcW w:type="dxa" w:w="4464"/>
            <w:shd w:val="clear" w:color="auto" w:fill="F3F4F6"/>
          </w:tcPr>
          <w:p>
            <w:r>
              <w:rPr>
                <w:sz w:val="20"/>
              </w:rPr>
              <w:t>Supplier: Token Inbox</w:t>
            </w:r>
          </w:p>
        </w:tc>
        <w:tc>
          <w:tcPr>
            <w:tcW w:type="dxa" w:w="4464"/>
            <w:shd w:val="clear" w:color="auto" w:fill="F3F4F6"/>
          </w:tcPr>
          <w:p>
            <w:r>
              <w:rPr>
                <w:sz w:val="20"/>
              </w:rPr>
              <w:t>All government tokens assigned to this supplier. NEW badge on fresh tokens.</w:t>
            </w:r>
          </w:p>
        </w:tc>
      </w:tr>
      <w:tr>
        <w:tc>
          <w:tcPr>
            <w:tcW w:type="dxa" w:w="4464"/>
          </w:tcPr>
          <w:p>
            <w:r>
              <w:rPr>
                <w:sz w:val="20"/>
              </w:rPr>
              <w:t>Supplier: Submit to Bank</w:t>
            </w:r>
          </w:p>
        </w:tc>
        <w:tc>
          <w:tcPr>
            <w:tcW w:type="dxa" w:w="4464"/>
          </w:tcPr>
          <w:p>
            <w:r>
              <w:rPr>
                <w:sz w:val="20"/>
              </w:rPr>
              <w:t>Multi-step form to submit a completed delivery token for cash.</w:t>
            </w:r>
          </w:p>
        </w:tc>
      </w:tr>
      <w:tr>
        <w:tc>
          <w:tcPr>
            <w:tcW w:type="dxa" w:w="4464"/>
            <w:shd w:val="clear" w:color="auto" w:fill="F3F4F6"/>
          </w:tcPr>
          <w:p>
            <w:r>
              <w:rPr>
                <w:sz w:val="20"/>
              </w:rPr>
              <w:t>Bank: Validate Token</w:t>
            </w:r>
          </w:p>
        </w:tc>
        <w:tc>
          <w:tcPr>
            <w:tcW w:type="dxa" w:w="4464"/>
            <w:shd w:val="clear" w:color="auto" w:fill="F3F4F6"/>
          </w:tcPr>
          <w:p>
            <w:r>
              <w:rPr>
                <w:sz w:val="20"/>
              </w:rPr>
              <w:t>Type a token code → instant validity check with full token details.</w:t>
            </w:r>
          </w:p>
        </w:tc>
      </w:tr>
      <w:tr>
        <w:tc>
          <w:tcPr>
            <w:tcW w:type="dxa" w:w="4464"/>
          </w:tcPr>
          <w:p>
            <w:r>
              <w:rPr>
                <w:sz w:val="20"/>
              </w:rPr>
              <w:t>Bank: Cash Release</w:t>
            </w:r>
          </w:p>
        </w:tc>
        <w:tc>
          <w:tcPr>
            <w:tcW w:type="dxa" w:w="4464"/>
          </w:tcPr>
          <w:p>
            <w:r>
              <w:rPr>
                <w:sz w:val="20"/>
              </w:rPr>
              <w:t>Final step. Confirm and release payment. Updates the entire system.</w:t>
            </w:r>
          </w:p>
        </w:tc>
      </w:tr>
      <w:tr>
        <w:tc>
          <w:tcPr>
            <w:tcW w:type="dxa" w:w="4464"/>
            <w:shd w:val="clear" w:color="auto" w:fill="F3F4F6"/>
          </w:tcPr>
          <w:p>
            <w:r>
              <w:rPr>
                <w:sz w:val="20"/>
              </w:rPr>
              <w:t>Bank: Transaction Log</w:t>
            </w:r>
          </w:p>
        </w:tc>
        <w:tc>
          <w:tcPr>
            <w:tcW w:type="dxa" w:w="4464"/>
            <w:shd w:val="clear" w:color="auto" w:fill="F3F4F6"/>
          </w:tcPr>
          <w:p>
            <w:r>
              <w:rPr>
                <w:sz w:val="20"/>
              </w:rPr>
              <w:t>Immutable audit trail of every cash release and rejection.</w:t>
            </w:r>
          </w:p>
        </w:tc>
      </w:tr>
    </w:tbl>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