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8"/>
          <w:sz w:val="44"/>
        </w:rPr>
        <w:t>CHAPTER TWO</w:t>
        <w:br/>
      </w:r>
      <w:r>
        <w:rPr>
          <w:rFonts w:ascii="Arial" w:hAnsi="Arial"/>
          <w:b/>
          <w:color w:val="1F4E78"/>
          <w:sz w:val="44"/>
        </w:rPr>
        <w:t>REVIEW OF RELATED WORKS / REVIEW OF SIMILAR SYSTEMS</w:t>
      </w:r>
    </w:p>
    <w:p/>
    <w:p>
      <w:pPr>
        <w:pStyle w:val="Heading2"/>
      </w:pPr>
      <w:r>
        <w:t>2.0 Introduction</w:t>
      </w:r>
    </w:p>
    <w:p>
      <w:pPr/>
      <w:r>
        <w:t>This chapter reviews the categories of systems currently used to manage school feeding attendance and to disburse public funds tied to that attendance, identifies the gaps in these approaches, and presents the design of the proposed system — the Institutional Accountability and Resource Tracking System (IARTS). The chapter covers the conceptual design, system architecture, component descriptions, proposed features, development tools and environment, and the expected benefits of the system.</w:t>
      </w:r>
    </w:p>
    <w:p>
      <w:pPr>
        <w:pStyle w:val="Heading2"/>
      </w:pPr>
      <w:r>
        <w:t>2.1 Processes of Existing Systems</w:t>
      </w:r>
    </w:p>
    <w:p>
      <w:pPr/>
      <w:r>
        <w:t>School feeding and dining hall funding programmes — such as government-subsidised school feeding initiatives — typically rely on one or a combination of the following approaches to determine how many meals were served and how much a supplier or institution should be paid. Each approach is reviewed below in terms of its features and its strengths and weaknesses.</w:t>
      </w:r>
    </w:p>
    <w:p>
      <w:pPr>
        <w:pStyle w:val="Heading3"/>
      </w:pPr>
      <w:r>
        <w:t>2.1.1 Manual / Paper-Based Headcount and Reimbursement Systems</w:t>
      </w:r>
    </w:p>
    <w:p>
      <w:pPr>
        <w:spacing w:before="120" w:after="40"/>
      </w:pPr>
      <w:r>
        <w:rPr>
          <w:rFonts w:ascii="Arial" w:hAnsi="Arial"/>
          <w:b/>
          <w:i/>
          <w:sz w:val="22"/>
        </w:rPr>
        <w:t>How it works:</w:t>
      </w:r>
    </w:p>
    <w:p>
      <w:pPr/>
      <w:r>
        <w:t>Dining hall staff or class prefects record the number of students served at each meal in a logbook or attendance sheet. At the end of a reporting period (daily, weekly, or termly), the school administration compiles these figures into a report and submits it to the funding body (e.g. a government education office), which reviews the figures and authorises payment to the supplier.</w:t>
      </w:r>
    </w:p>
    <w:p>
      <w:pPr>
        <w:spacing w:before="120" w:after="40"/>
      </w:pPr>
      <w:r>
        <w:rPr>
          <w:rFonts w:ascii="Arial" w:hAnsi="Arial"/>
          <w:b/>
          <w:i/>
          <w:sz w:val="22"/>
        </w:rPr>
        <w:t>Features:</w:t>
      </w:r>
    </w:p>
    <w:p>
      <w:pPr>
        <w:pStyle w:val="ListBullet"/>
      </w:pPr>
      <w:r>
        <w:rPr>
          <w:sz w:val="22"/>
        </w:rPr>
        <w:t>Paper registers or spreadsheet-based headcount logs</w:t>
      </w:r>
    </w:p>
    <w:p>
      <w:pPr>
        <w:pStyle w:val="ListBullet"/>
      </w:pPr>
      <w:r>
        <w:rPr>
          <w:sz w:val="22"/>
        </w:rPr>
        <w:t>Manual reconciliation by an administrator or accountant</w:t>
      </w:r>
    </w:p>
    <w:p>
      <w:pPr>
        <w:pStyle w:val="ListBullet"/>
      </w:pPr>
      <w:r>
        <w:rPr>
          <w:sz w:val="22"/>
        </w:rPr>
        <w:t>Periodic (not real-time) reporting to the funding authority</w:t>
      </w:r>
    </w:p>
    <w:p>
      <w:pPr>
        <w:spacing w:before="120" w:after="40"/>
      </w:pPr>
      <w:r>
        <w:rPr>
          <w:rFonts w:ascii="Arial" w:hAnsi="Arial"/>
          <w:b/>
          <w:i/>
          <w:sz w:val="22"/>
        </w:rPr>
        <w:t>Pros:</w:t>
      </w:r>
    </w:p>
    <w:p>
      <w:pPr>
        <w:pStyle w:val="ListBullet"/>
      </w:pPr>
      <w:r>
        <w:rPr>
          <w:sz w:val="22"/>
        </w:rPr>
        <w:t>Requires no special hardware or technical skill to operate</w:t>
      </w:r>
    </w:p>
    <w:p>
      <w:pPr>
        <w:pStyle w:val="ListBullet"/>
      </w:pPr>
      <w:r>
        <w:rPr>
          <w:sz w:val="22"/>
        </w:rPr>
        <w:t>Very low setup cost</w:t>
      </w:r>
    </w:p>
    <w:p>
      <w:pPr>
        <w:pStyle w:val="ListBullet"/>
      </w:pPr>
      <w:r>
        <w:rPr>
          <w:sz w:val="22"/>
        </w:rPr>
        <w:t>Familiar to school staff and easy to adopt</w:t>
      </w:r>
    </w:p>
    <w:p>
      <w:pPr>
        <w:spacing w:before="120" w:after="40"/>
      </w:pPr>
      <w:r>
        <w:rPr>
          <w:rFonts w:ascii="Arial" w:hAnsi="Arial"/>
          <w:b/>
          <w:i/>
          <w:sz w:val="22"/>
        </w:rPr>
        <w:t>Cons:</w:t>
      </w:r>
    </w:p>
    <w:p>
      <w:pPr>
        <w:pStyle w:val="ListBullet"/>
      </w:pPr>
      <w:r>
        <w:rPr>
          <w:sz w:val="22"/>
        </w:rPr>
        <w:t>Headcounts are self-reported and cannot be independently verified — a school can inflate numbers to receive more funding</w:t>
      </w:r>
    </w:p>
    <w:p>
      <w:pPr>
        <w:pStyle w:val="ListBullet"/>
      </w:pPr>
      <w:r>
        <w:rPr>
          <w:sz w:val="22"/>
        </w:rPr>
        <w:t>No audit trail beyond a signature; records can be altered or lost</w:t>
      </w:r>
    </w:p>
    <w:p>
      <w:pPr>
        <w:pStyle w:val="ListBullet"/>
      </w:pPr>
      <w:r>
        <w:rPr>
          <w:sz w:val="22"/>
        </w:rPr>
        <w:t>Slow reconciliation cycle, so fraud is only discovered (if at all) long after payment has been made</w:t>
      </w:r>
    </w:p>
    <w:p>
      <w:pPr>
        <w:pStyle w:val="ListBullet"/>
      </w:pPr>
      <w:r>
        <w:rPr>
          <w:sz w:val="22"/>
        </w:rPr>
        <w:t>No linkage between "meals served" and "cash released" — the two are approved as separate, disconnected steps</w:t>
      </w:r>
    </w:p>
    <w:p>
      <w:pPr>
        <w:pStyle w:val="Heading3"/>
      </w:pPr>
      <w:r>
        <w:t>2.1.2 RFID / Barcode-Based Cafeteria Management Systems</w:t>
      </w:r>
    </w:p>
    <w:p>
      <w:pPr>
        <w:spacing w:before="120" w:after="40"/>
      </w:pPr>
      <w:r>
        <w:rPr>
          <w:rFonts w:ascii="Arial" w:hAnsi="Arial"/>
          <w:b/>
          <w:i/>
          <w:sz w:val="22"/>
        </w:rPr>
        <w:t>How it works:</w:t>
      </w:r>
    </w:p>
    <w:p>
      <w:pPr/>
      <w:r>
        <w:t>Common in universities and some boarding schools, these systems issue a card or barcode to each student, which is swiped or scanned at the dining hall entrance. The system logs the tap and, in some implementations, deducts a meal credit from the student's account.</w:t>
      </w:r>
    </w:p>
    <w:p>
      <w:pPr>
        <w:spacing w:before="120" w:after="40"/>
      </w:pPr>
      <w:r>
        <w:rPr>
          <w:rFonts w:ascii="Arial" w:hAnsi="Arial"/>
          <w:b/>
          <w:i/>
          <w:sz w:val="22"/>
        </w:rPr>
        <w:t>Features:</w:t>
      </w:r>
    </w:p>
    <w:p>
      <w:pPr>
        <w:pStyle w:val="ListBullet"/>
      </w:pPr>
      <w:r>
        <w:rPr>
          <w:sz w:val="22"/>
        </w:rPr>
        <w:t>Card- or barcode-based identity check at the point of service</w:t>
      </w:r>
    </w:p>
    <w:p>
      <w:pPr>
        <w:pStyle w:val="ListBullet"/>
      </w:pPr>
      <w:r>
        <w:rPr>
          <w:sz w:val="22"/>
        </w:rPr>
        <w:t>Digital log of scans, usually exportable to a spreadsheet</w:t>
      </w:r>
    </w:p>
    <w:p>
      <w:pPr>
        <w:pStyle w:val="ListBullet"/>
      </w:pPr>
      <w:r>
        <w:rPr>
          <w:sz w:val="22"/>
        </w:rPr>
        <w:t>Sometimes integrated with a prepaid meal-credit wallet</w:t>
      </w:r>
    </w:p>
    <w:p>
      <w:pPr>
        <w:spacing w:before="120" w:after="40"/>
      </w:pPr>
      <w:r>
        <w:rPr>
          <w:rFonts w:ascii="Arial" w:hAnsi="Arial"/>
          <w:b/>
          <w:i/>
          <w:sz w:val="22"/>
        </w:rPr>
        <w:t>Pros:</w:t>
      </w:r>
    </w:p>
    <w:p>
      <w:pPr>
        <w:pStyle w:val="ListBullet"/>
      </w:pPr>
      <w:r>
        <w:rPr>
          <w:sz w:val="22"/>
        </w:rPr>
        <w:t>Faster and more reliable than a paper headcount</w:t>
      </w:r>
    </w:p>
    <w:p>
      <w:pPr>
        <w:pStyle w:val="ListBullet"/>
      </w:pPr>
      <w:r>
        <w:rPr>
          <w:sz w:val="22"/>
        </w:rPr>
        <w:t>Produces a timestamped digital record of attendance</w:t>
      </w:r>
    </w:p>
    <w:p>
      <w:pPr>
        <w:pStyle w:val="ListBullet"/>
      </w:pPr>
      <w:r>
        <w:rPr>
          <w:sz w:val="22"/>
        </w:rPr>
        <w:t>Reduces queue time and manual counting errors</w:t>
      </w:r>
    </w:p>
    <w:p>
      <w:pPr>
        <w:spacing w:before="120" w:after="40"/>
      </w:pPr>
      <w:r>
        <w:rPr>
          <w:rFonts w:ascii="Arial" w:hAnsi="Arial"/>
          <w:b/>
          <w:i/>
          <w:sz w:val="22"/>
        </w:rPr>
        <w:t>Cons:</w:t>
      </w:r>
    </w:p>
    <w:p>
      <w:pPr>
        <w:pStyle w:val="ListBullet"/>
      </w:pPr>
      <w:r>
        <w:rPr>
          <w:sz w:val="22"/>
        </w:rPr>
        <w:t>Built for operational attendance tracking — not for financial accountability. The scan data rarely feeds into a funding or payment decision</w:t>
      </w:r>
    </w:p>
    <w:p>
      <w:pPr>
        <w:pStyle w:val="ListBullet"/>
      </w:pPr>
      <w:r>
        <w:rPr>
          <w:sz w:val="22"/>
        </w:rPr>
        <w:t>No mechanism to prevent a school or administrator from reporting a different (inflated) number to the funding body than what the scan log shows</w:t>
      </w:r>
    </w:p>
    <w:p>
      <w:pPr>
        <w:pStyle w:val="ListBullet"/>
      </w:pPr>
      <w:r>
        <w:rPr>
          <w:sz w:val="22"/>
        </w:rPr>
        <w:t>Typically siloed within a single school; no government, bank, or supplier visibility into the same data</w:t>
      </w:r>
    </w:p>
    <w:p>
      <w:pPr>
        <w:pStyle w:val="ListBullet"/>
      </w:pPr>
      <w:r>
        <w:rPr>
          <w:sz w:val="22"/>
        </w:rPr>
        <w:t>Duplicate or proxy scans (one student tapping a card twice, or on behalf of an absent student) are often not flagged</w:t>
      </w:r>
    </w:p>
    <w:p>
      <w:pPr>
        <w:pStyle w:val="Heading3"/>
      </w:pPr>
      <w:r>
        <w:t>2.1.3 Biometric Attendance Systems</w:t>
      </w:r>
    </w:p>
    <w:p>
      <w:pPr>
        <w:spacing w:before="120" w:after="40"/>
      </w:pPr>
      <w:r>
        <w:rPr>
          <w:rFonts w:ascii="Arial" w:hAnsi="Arial"/>
          <w:b/>
          <w:i/>
          <w:sz w:val="22"/>
        </w:rPr>
        <w:t>How it works:</w:t>
      </w:r>
    </w:p>
    <w:p>
      <w:pPr/>
      <w:r>
        <w:t>Fingerprint or facial-recognition devices verify a student's identity before granting dining hall access, primarily to curb the "one student, one card, shared among many" abuse possible with card-only systems.</w:t>
      </w:r>
    </w:p>
    <w:p>
      <w:pPr>
        <w:spacing w:before="120" w:after="40"/>
      </w:pPr>
      <w:r>
        <w:rPr>
          <w:rFonts w:ascii="Arial" w:hAnsi="Arial"/>
          <w:b/>
          <w:i/>
          <w:sz w:val="22"/>
        </w:rPr>
        <w:t>Features:</w:t>
      </w:r>
    </w:p>
    <w:p>
      <w:pPr>
        <w:pStyle w:val="ListBullet"/>
      </w:pPr>
      <w:r>
        <w:rPr>
          <w:sz w:val="22"/>
        </w:rPr>
        <w:t>Biometric identity verification at the point of service</w:t>
      </w:r>
    </w:p>
    <w:p>
      <w:pPr>
        <w:pStyle w:val="ListBullet"/>
      </w:pPr>
      <w:r>
        <w:rPr>
          <w:sz w:val="22"/>
        </w:rPr>
        <w:t>Digital attendance log per student, per meal session</w:t>
      </w:r>
    </w:p>
    <w:p>
      <w:pPr>
        <w:spacing w:before="120" w:after="40"/>
      </w:pPr>
      <w:r>
        <w:rPr>
          <w:rFonts w:ascii="Arial" w:hAnsi="Arial"/>
          <w:b/>
          <w:i/>
          <w:sz w:val="22"/>
        </w:rPr>
        <w:t>Pros:</w:t>
      </w:r>
    </w:p>
    <w:p>
      <w:pPr>
        <w:pStyle w:val="ListBullet"/>
      </w:pPr>
      <w:r>
        <w:rPr>
          <w:sz w:val="22"/>
        </w:rPr>
        <w:t>Strong identity assurance — much harder to defraud than a card swipe</w:t>
      </w:r>
    </w:p>
    <w:p>
      <w:pPr>
        <w:pStyle w:val="ListBullet"/>
      </w:pPr>
      <w:r>
        <w:rPr>
          <w:sz w:val="22"/>
        </w:rPr>
        <w:t>Produces reliable, individualised attendance data</w:t>
      </w:r>
    </w:p>
    <w:p>
      <w:pPr>
        <w:spacing w:before="120" w:after="40"/>
      </w:pPr>
      <w:r>
        <w:rPr>
          <w:rFonts w:ascii="Arial" w:hAnsi="Arial"/>
          <w:b/>
          <w:i/>
          <w:sz w:val="22"/>
        </w:rPr>
        <w:t>Cons:</w:t>
      </w:r>
    </w:p>
    <w:p>
      <w:pPr>
        <w:pStyle w:val="ListBullet"/>
      </w:pPr>
      <w:r>
        <w:rPr>
          <w:sz w:val="22"/>
        </w:rPr>
        <w:t>Expensive hardware and higher maintenance overhead; difficult to scale across many schools with limited budgets</w:t>
      </w:r>
    </w:p>
    <w:p>
      <w:pPr>
        <w:pStyle w:val="ListBullet"/>
      </w:pPr>
      <w:r>
        <w:rPr>
          <w:sz w:val="22"/>
        </w:rPr>
        <w:t>The attendance data is typically consumed only by the school itself — it does not automatically drive fund disbursement to a supplier</w:t>
      </w:r>
    </w:p>
    <w:p>
      <w:pPr>
        <w:pStyle w:val="ListBullet"/>
      </w:pPr>
      <w:r>
        <w:rPr>
          <w:sz w:val="22"/>
        </w:rPr>
        <w:t>No end-to-end chain connecting "verified attendance" to "government token issued" to "bank releases cash," so the financial fraud risk at the reporting and reimbursement stage remains even though attendance is verified</w:t>
      </w:r>
    </w:p>
    <w:p>
      <w:pPr>
        <w:pStyle w:val="Heading3"/>
      </w:pPr>
      <w:r>
        <w:t>2.1.4 Mobile Money / Direct E-Payment Disbursement Systems</w:t>
      </w:r>
    </w:p>
    <w:p>
      <w:pPr>
        <w:spacing w:before="120" w:after="40"/>
      </w:pPr>
      <w:r>
        <w:rPr>
          <w:rFonts w:ascii="Arial" w:hAnsi="Arial"/>
          <w:b/>
          <w:i/>
          <w:sz w:val="22"/>
        </w:rPr>
        <w:t>How it works:</w:t>
      </w:r>
    </w:p>
    <w:p>
      <w:pPr/>
      <w:r>
        <w:t>Funding bodies disburse money electronically — via mobile money or bank transfer — directly to suppliers or schools based on submitted headcount reports, replacing cash or cheque payments.</w:t>
      </w:r>
    </w:p>
    <w:p>
      <w:pPr>
        <w:spacing w:before="120" w:after="40"/>
      </w:pPr>
      <w:r>
        <w:rPr>
          <w:rFonts w:ascii="Arial" w:hAnsi="Arial"/>
          <w:b/>
          <w:i/>
          <w:sz w:val="22"/>
        </w:rPr>
        <w:t>Features:</w:t>
      </w:r>
    </w:p>
    <w:p>
      <w:pPr>
        <w:pStyle w:val="ListBullet"/>
      </w:pPr>
      <w:r>
        <w:rPr>
          <w:sz w:val="22"/>
        </w:rPr>
        <w:t>Digital, traceable payment rails</w:t>
      </w:r>
    </w:p>
    <w:p>
      <w:pPr>
        <w:pStyle w:val="ListBullet"/>
      </w:pPr>
      <w:r>
        <w:rPr>
          <w:sz w:val="22"/>
        </w:rPr>
        <w:t>Faster disbursement than manual cheque processing</w:t>
      </w:r>
    </w:p>
    <w:p>
      <w:pPr>
        <w:spacing w:before="120" w:after="40"/>
      </w:pPr>
      <w:r>
        <w:rPr>
          <w:rFonts w:ascii="Arial" w:hAnsi="Arial"/>
          <w:b/>
          <w:i/>
          <w:sz w:val="22"/>
        </w:rPr>
        <w:t>Pros:</w:t>
      </w:r>
    </w:p>
    <w:p>
      <w:pPr>
        <w:pStyle w:val="ListBullet"/>
      </w:pPr>
      <w:r>
        <w:rPr>
          <w:sz w:val="22"/>
        </w:rPr>
        <w:t>Removes cash-handling risk and speeds up payment</w:t>
      </w:r>
    </w:p>
    <w:p>
      <w:pPr>
        <w:pStyle w:val="ListBullet"/>
      </w:pPr>
      <w:r>
        <w:rPr>
          <w:sz w:val="22"/>
        </w:rPr>
        <w:t>Creates a payment audit trail (who was paid, how much, when)</w:t>
      </w:r>
    </w:p>
    <w:p>
      <w:pPr>
        <w:spacing w:before="120" w:after="40"/>
      </w:pPr>
      <w:r>
        <w:rPr>
          <w:rFonts w:ascii="Arial" w:hAnsi="Arial"/>
          <w:b/>
          <w:i/>
          <w:sz w:val="22"/>
        </w:rPr>
        <w:t>Cons:</w:t>
      </w:r>
    </w:p>
    <w:p>
      <w:pPr>
        <w:pStyle w:val="ListBullet"/>
      </w:pPr>
      <w:r>
        <w:rPr>
          <w:sz w:val="22"/>
        </w:rPr>
        <w:t>Solves the payment problem but not the verification problem — the amount paid is still based on a self-reported or loosely audited headcount</w:t>
      </w:r>
    </w:p>
    <w:p>
      <w:pPr>
        <w:pStyle w:val="ListBullet"/>
      </w:pPr>
      <w:r>
        <w:rPr>
          <w:sz w:val="22"/>
        </w:rPr>
        <w:t>No real-time linkage between actual student attendance and the amount released</w:t>
      </w:r>
    </w:p>
    <w:p>
      <w:pPr>
        <w:pStyle w:val="ListBullet"/>
      </w:pPr>
      <w:r>
        <w:rPr>
          <w:sz w:val="22"/>
        </w:rPr>
        <w:t>Fraud simply shifts earlier in the pipeline: inflate the report, and the digital payment rail will faithfully disburse against the inflated figure</w:t>
      </w:r>
    </w:p>
    <w:p>
      <w:pPr>
        <w:pStyle w:val="Heading3"/>
      </w:pPr>
      <w:r>
        <w:t>2.1.5 Summary of Gaps in Existing Systems</w:t>
      </w:r>
    </w:p>
    <w:p>
      <w:pPr/>
      <w:r>
        <w:t>Across all four categories, the common gap is the same: attendance verification and fund disbursement are treated as two separate, loosely-coupled processes. The table below summarises each system type against four key accountability criteria.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448"/>
            <w:shd w:val="clear" w:color="auto" w:fill="1F4E78"/>
          </w:tcPr>
          <w:p>
            <w:r>
              <w:rPr>
                <w:rFonts w:ascii="Arial" w:hAnsi="Arial"/>
                <w:b/>
                <w:color w:val="FFFFFF"/>
                <w:sz w:val="20"/>
              </w:rPr>
              <w:t>System Type</w:t>
            </w:r>
          </w:p>
        </w:tc>
        <w:tc>
          <w:tcPr>
            <w:tcW w:type="dxa" w:w="1584"/>
            <w:shd w:val="clear" w:color="auto" w:fill="1F4E78"/>
          </w:tcPr>
          <w:p>
            <w:r>
              <w:rPr>
                <w:rFonts w:ascii="Arial" w:hAnsi="Arial"/>
                <w:b/>
                <w:color w:val="FFFFFF"/>
                <w:sz w:val="20"/>
              </w:rPr>
              <w:t>Verifies Identity?</w:t>
            </w:r>
          </w:p>
        </w:tc>
        <w:tc>
          <w:tcPr>
            <w:tcW w:type="dxa" w:w="1296"/>
            <w:shd w:val="clear" w:color="auto" w:fill="1F4E78"/>
          </w:tcPr>
          <w:p>
            <w:r>
              <w:rPr>
                <w:rFonts w:ascii="Arial" w:hAnsi="Arial"/>
                <w:b/>
                <w:color w:val="FFFFFF"/>
                <w:sz w:val="20"/>
              </w:rPr>
              <w:t>Real-Time?</w:t>
            </w:r>
          </w:p>
        </w:tc>
        <w:tc>
          <w:tcPr>
            <w:tcW w:type="dxa" w:w="2232"/>
            <w:shd w:val="clear" w:color="auto" w:fill="1F4E78"/>
          </w:tcPr>
          <w:p>
            <w:r>
              <w:rPr>
                <w:rFonts w:ascii="Arial" w:hAnsi="Arial"/>
                <w:b/>
                <w:color w:val="FFFFFF"/>
                <w:sz w:val="20"/>
              </w:rPr>
              <w:t>Tied to Fund Release?</w:t>
            </w:r>
          </w:p>
        </w:tc>
        <w:tc>
          <w:tcPr>
            <w:tcW w:type="dxa" w:w="2520"/>
            <w:shd w:val="clear" w:color="auto" w:fill="1F4E78"/>
          </w:tcPr>
          <w:p>
            <w:r>
              <w:rPr>
                <w:rFonts w:ascii="Arial" w:hAnsi="Arial"/>
                <w:b/>
                <w:color w:val="FFFFFF"/>
                <w:sz w:val="20"/>
              </w:rPr>
              <w:t>Multi-Stakeholder Visibility?</w:t>
            </w:r>
          </w:p>
        </w:tc>
      </w:tr>
      <w:tr>
        <w:tc>
          <w:tcPr>
            <w:tcW w:type="dxa" w:w="2448"/>
            <w:shd w:val="clear" w:color="auto" w:fill="EBF3FB"/>
          </w:tcPr>
          <w:p>
            <w:r>
              <w:rPr>
                <w:rFonts w:ascii="Arial" w:hAnsi="Arial"/>
                <w:sz w:val="20"/>
              </w:rPr>
              <w:t>Manual / paper headcount</w:t>
            </w:r>
          </w:p>
        </w:tc>
        <w:tc>
          <w:tcPr>
            <w:tcW w:type="dxa" w:w="1584"/>
            <w:shd w:val="clear" w:color="auto" w:fill="EBF3FB"/>
          </w:tcPr>
          <w:p>
            <w:r>
              <w:rPr>
                <w:rFonts w:ascii="Arial" w:hAnsi="Arial"/>
                <w:sz w:val="20"/>
              </w:rPr>
              <w:t>No</w:t>
            </w:r>
          </w:p>
        </w:tc>
        <w:tc>
          <w:tcPr>
            <w:tcW w:type="dxa" w:w="1296"/>
            <w:shd w:val="clear" w:color="auto" w:fill="EBF3FB"/>
          </w:tcPr>
          <w:p>
            <w:r>
              <w:rPr>
                <w:rFonts w:ascii="Arial" w:hAnsi="Arial"/>
                <w:sz w:val="20"/>
              </w:rPr>
              <w:t>No</w:t>
            </w:r>
          </w:p>
        </w:tc>
        <w:tc>
          <w:tcPr>
            <w:tcW w:type="dxa" w:w="2232"/>
            <w:shd w:val="clear" w:color="auto" w:fill="EBF3FB"/>
          </w:tcPr>
          <w:p>
            <w:r>
              <w:rPr>
                <w:rFonts w:ascii="Arial" w:hAnsi="Arial"/>
                <w:sz w:val="20"/>
              </w:rPr>
              <w:t>Loosely (manual approval)</w:t>
            </w:r>
          </w:p>
        </w:tc>
        <w:tc>
          <w:tcPr>
            <w:tcW w:type="dxa" w:w="2520"/>
            <w:shd w:val="clear" w:color="auto" w:fill="EBF3FB"/>
          </w:tcPr>
          <w:p>
            <w:r>
              <w:rPr>
                <w:rFonts w:ascii="Arial" w:hAnsi="Arial"/>
                <w:sz w:val="20"/>
              </w:rPr>
              <w:t>No</w:t>
            </w:r>
          </w:p>
        </w:tc>
      </w:tr>
      <w:tr>
        <w:tc>
          <w:tcPr>
            <w:tcW w:type="dxa" w:w="2448"/>
            <w:shd w:val="clear" w:color="auto" w:fill="FFFFFF"/>
          </w:tcPr>
          <w:p>
            <w:r>
              <w:rPr>
                <w:rFonts w:ascii="Arial" w:hAnsi="Arial"/>
                <w:sz w:val="20"/>
              </w:rPr>
              <w:t>RFID / barcode cafeteria</w:t>
            </w:r>
          </w:p>
        </w:tc>
        <w:tc>
          <w:tcPr>
            <w:tcW w:type="dxa" w:w="1584"/>
            <w:shd w:val="clear" w:color="auto" w:fill="FFFFFF"/>
          </w:tcPr>
          <w:p>
            <w:r>
              <w:rPr>
                <w:rFonts w:ascii="Arial" w:hAnsi="Arial"/>
                <w:sz w:val="20"/>
              </w:rPr>
              <w:t>Card-level</w:t>
            </w:r>
          </w:p>
        </w:tc>
        <w:tc>
          <w:tcPr>
            <w:tcW w:type="dxa" w:w="1296"/>
            <w:shd w:val="clear" w:color="auto" w:fill="FFFFFF"/>
          </w:tcPr>
          <w:p>
            <w:r>
              <w:rPr>
                <w:rFonts w:ascii="Arial" w:hAnsi="Arial"/>
                <w:sz w:val="20"/>
              </w:rPr>
              <w:t>Partial</w:t>
            </w:r>
          </w:p>
        </w:tc>
        <w:tc>
          <w:tcPr>
            <w:tcW w:type="dxa" w:w="2232"/>
            <w:shd w:val="clear" w:color="auto" w:fill="FFFFFF"/>
          </w:tcPr>
          <w:p>
            <w:r>
              <w:rPr>
                <w:rFonts w:ascii="Arial" w:hAnsi="Arial"/>
                <w:sz w:val="20"/>
              </w:rPr>
              <w:t>No</w:t>
            </w:r>
          </w:p>
        </w:tc>
        <w:tc>
          <w:tcPr>
            <w:tcW w:type="dxa" w:w="2520"/>
            <w:shd w:val="clear" w:color="auto" w:fill="FFFFFF"/>
          </w:tcPr>
          <w:p>
            <w:r>
              <w:rPr>
                <w:rFonts w:ascii="Arial" w:hAnsi="Arial"/>
                <w:sz w:val="20"/>
              </w:rPr>
              <w:t>No</w:t>
            </w:r>
          </w:p>
        </w:tc>
      </w:tr>
      <w:tr>
        <w:tc>
          <w:tcPr>
            <w:tcW w:type="dxa" w:w="2448"/>
            <w:shd w:val="clear" w:color="auto" w:fill="EBF3FB"/>
          </w:tcPr>
          <w:p>
            <w:r>
              <w:rPr>
                <w:rFonts w:ascii="Arial" w:hAnsi="Arial"/>
                <w:sz w:val="20"/>
              </w:rPr>
              <w:t>Biometric attendance</w:t>
            </w:r>
          </w:p>
        </w:tc>
        <w:tc>
          <w:tcPr>
            <w:tcW w:type="dxa" w:w="1584"/>
            <w:shd w:val="clear" w:color="auto" w:fill="EBF3FB"/>
          </w:tcPr>
          <w:p>
            <w:r>
              <w:rPr>
                <w:rFonts w:ascii="Arial" w:hAnsi="Arial"/>
                <w:sz w:val="20"/>
              </w:rPr>
              <w:t>Strong</w:t>
            </w:r>
          </w:p>
        </w:tc>
        <w:tc>
          <w:tcPr>
            <w:tcW w:type="dxa" w:w="1296"/>
            <w:shd w:val="clear" w:color="auto" w:fill="EBF3FB"/>
          </w:tcPr>
          <w:p>
            <w:r>
              <w:rPr>
                <w:rFonts w:ascii="Arial" w:hAnsi="Arial"/>
                <w:sz w:val="20"/>
              </w:rPr>
              <w:t>Partial</w:t>
            </w:r>
          </w:p>
        </w:tc>
        <w:tc>
          <w:tcPr>
            <w:tcW w:type="dxa" w:w="2232"/>
            <w:shd w:val="clear" w:color="auto" w:fill="EBF3FB"/>
          </w:tcPr>
          <w:p>
            <w:r>
              <w:rPr>
                <w:rFonts w:ascii="Arial" w:hAnsi="Arial"/>
                <w:sz w:val="20"/>
              </w:rPr>
              <w:t>No</w:t>
            </w:r>
          </w:p>
        </w:tc>
        <w:tc>
          <w:tcPr>
            <w:tcW w:type="dxa" w:w="2520"/>
            <w:shd w:val="clear" w:color="auto" w:fill="EBF3FB"/>
          </w:tcPr>
          <w:p>
            <w:r>
              <w:rPr>
                <w:rFonts w:ascii="Arial" w:hAnsi="Arial"/>
                <w:sz w:val="20"/>
              </w:rPr>
              <w:t>No</w:t>
            </w:r>
          </w:p>
        </w:tc>
      </w:tr>
      <w:tr>
        <w:tc>
          <w:tcPr>
            <w:tcW w:type="dxa" w:w="2448"/>
            <w:shd w:val="clear" w:color="auto" w:fill="FFFFFF"/>
          </w:tcPr>
          <w:p>
            <w:r>
              <w:rPr>
                <w:rFonts w:ascii="Arial" w:hAnsi="Arial"/>
                <w:sz w:val="20"/>
              </w:rPr>
              <w:t>Mobile money disbursement</w:t>
            </w:r>
          </w:p>
        </w:tc>
        <w:tc>
          <w:tcPr>
            <w:tcW w:type="dxa" w:w="1584"/>
            <w:shd w:val="clear" w:color="auto" w:fill="FFFFFF"/>
          </w:tcPr>
          <w:p>
            <w:r>
              <w:rPr>
                <w:rFonts w:ascii="Arial" w:hAnsi="Arial"/>
                <w:sz w:val="20"/>
              </w:rPr>
              <w:t>No</w:t>
            </w:r>
          </w:p>
        </w:tc>
        <w:tc>
          <w:tcPr>
            <w:tcW w:type="dxa" w:w="1296"/>
            <w:shd w:val="clear" w:color="auto" w:fill="FFFFFF"/>
          </w:tcPr>
          <w:p>
            <w:r>
              <w:rPr>
                <w:rFonts w:ascii="Arial" w:hAnsi="Arial"/>
                <w:sz w:val="20"/>
              </w:rPr>
              <w:t>No</w:t>
            </w:r>
          </w:p>
        </w:tc>
        <w:tc>
          <w:tcPr>
            <w:tcW w:type="dxa" w:w="2232"/>
            <w:shd w:val="clear" w:color="auto" w:fill="FFFFFF"/>
          </w:tcPr>
          <w:p>
            <w:r>
              <w:rPr>
                <w:rFonts w:ascii="Arial" w:hAnsi="Arial"/>
                <w:sz w:val="20"/>
              </w:rPr>
              <w:t>N/A (pays on report)</w:t>
            </w:r>
          </w:p>
        </w:tc>
        <w:tc>
          <w:tcPr>
            <w:tcW w:type="dxa" w:w="2520"/>
            <w:shd w:val="clear" w:color="auto" w:fill="FFFFFF"/>
          </w:tcPr>
          <w:p>
            <w:r>
              <w:rPr>
                <w:rFonts w:ascii="Arial" w:hAnsi="Arial"/>
                <w:sz w:val="20"/>
              </w:rPr>
              <w:t>Payment only</w:t>
            </w:r>
          </w:p>
        </w:tc>
      </w:tr>
    </w:tbl>
    <w:p/>
    <w:p>
      <w:pPr/>
      <w:r>
        <w:t>Whoever compiles the attendance report has the opportunity — and, in the case of government feeding subsidies, the financial incentive — to inflate it, because nothing downstream cross-checks the claim against the actual number of verified scans before money moves. This is the specific gap IARTS is designed to close.</w:t>
      </w:r>
    </w:p>
    <w:p>
      <w:pPr>
        <w:pStyle w:val="Heading2"/>
      </w:pPr>
      <w:r>
        <w:t>2.2 The Proposed System</w:t>
      </w:r>
    </w:p>
    <w:p>
      <w:pPr/>
      <w:r>
        <w:t>The Institutional Accountability and Resource Tracking System (IARTS) is proposed as a government-grade platform that eliminates financial fraud in school dining hall funding by tying supplier payments directly to verified student attendance data, rather than to a self-reported figure.</w:t>
      </w:r>
    </w:p>
    <w:p>
      <w:pPr/>
      <w:r>
        <w:t>The system enforces one governing rule throughout the entire fund-release pipeline:</w:t>
      </w:r>
    </w:p>
    <w:p>
      <w:pPr>
        <w:spacing w:before="120" w:after="120"/>
        <w:ind w:left="576" w:right="576"/>
        <w:shd w:val="clear" w:color="auto" w:fill="EBF3FB"/>
      </w:pPr>
      <w:r>
        <w:rPr>
          <w:rFonts w:ascii="Arial" w:hAnsi="Arial"/>
          <w:b/>
          <w:i/>
          <w:sz w:val="22"/>
        </w:rPr>
        <w:t>No verified attendance = no token = no cash released to the supplier.</w:t>
      </w:r>
    </w:p>
    <w:p>
      <w:pPr/>
      <w:r>
        <w:t>Instead of a school submitting a headcount that a funding body simply trusts, IARTS requires every meal to be backed by a physical card tap at the dining hall. These taps generate an attendance report that only the government can convert into a redeemable token, which the supplier must submit to a bank before any cash is released. Every step is visible to the party responsible for the next step, closing the reporting/verification gap identified in Section 2.1.</w:t>
      </w:r>
    </w:p>
    <w:p>
      <w:pPr>
        <w:pStyle w:val="Heading2"/>
      </w:pPr>
      <w:r>
        <w:t>2.3 Conceptual Design</w:t>
      </w:r>
    </w:p>
    <w:p>
      <w:pPr/>
      <w:r>
        <w:t>IARTS is built around five actors, each with a distinct, non-overlapping responsibility. No single actor can both generate and approve their own funding claim — a separation of duties that is the core fraud-prevention mechanism of the system.</w:t>
      </w:r>
    </w:p>
    <w:tbl>
      <w:tblPr>
        <w:tblStyle w:val="TableGrid"/>
        <w:tblW w:type="auto" w:w="0"/>
        <w:tblLook w:firstColumn="1" w:firstRow="1" w:lastColumn="0" w:lastRow="0" w:noHBand="0" w:noVBand="1" w:val="04A0"/>
      </w:tblPr>
      <w:tblGrid>
        <w:gridCol w:w="4680"/>
        <w:gridCol w:w="4680"/>
      </w:tblGrid>
      <w:tr>
        <w:tc>
          <w:tcPr>
            <w:tcW w:type="dxa" w:w="1872"/>
            <w:shd w:val="clear" w:color="auto" w:fill="1F4E78"/>
          </w:tcPr>
          <w:p>
            <w:r>
              <w:rPr>
                <w:rFonts w:ascii="Arial" w:hAnsi="Arial"/>
                <w:b/>
                <w:color w:val="FFFFFF"/>
                <w:sz w:val="20"/>
              </w:rPr>
              <w:t>Actor</w:t>
            </w:r>
          </w:p>
        </w:tc>
        <w:tc>
          <w:tcPr>
            <w:tcW w:type="dxa" w:w="7488"/>
            <w:shd w:val="clear" w:color="auto" w:fill="1F4E78"/>
          </w:tcPr>
          <w:p>
            <w:r>
              <w:rPr>
                <w:rFonts w:ascii="Arial" w:hAnsi="Arial"/>
                <w:b/>
                <w:color w:val="FFFFFF"/>
                <w:sz w:val="20"/>
              </w:rPr>
              <w:t>Role in the System</w:t>
            </w:r>
          </w:p>
        </w:tc>
      </w:tr>
      <w:tr>
        <w:tc>
          <w:tcPr>
            <w:tcW w:type="dxa" w:w="1872"/>
            <w:shd w:val="clear" w:color="auto" w:fill="EBF3FB"/>
          </w:tcPr>
          <w:p>
            <w:r>
              <w:rPr>
                <w:rFonts w:ascii="Arial" w:hAnsi="Arial"/>
                <w:sz w:val="20"/>
              </w:rPr>
              <w:t>Student</w:t>
            </w:r>
          </w:p>
        </w:tc>
        <w:tc>
          <w:tcPr>
            <w:tcW w:type="dxa" w:w="7488"/>
            <w:shd w:val="clear" w:color="auto" w:fill="EBF3FB"/>
          </w:tcPr>
          <w:p>
            <w:r>
              <w:rPr>
                <w:rFonts w:ascii="Arial" w:hAnsi="Arial"/>
                <w:sz w:val="20"/>
              </w:rPr>
              <w:t>Has no portal or login. Participates only via a physical card tap at the dining hall scanner. This removes any incentive or opportunity for a student to falsify their own attendance.</w:t>
            </w:r>
          </w:p>
        </w:tc>
      </w:tr>
      <w:tr>
        <w:tc>
          <w:tcPr>
            <w:tcW w:type="dxa" w:w="1872"/>
            <w:shd w:val="clear" w:color="auto" w:fill="FFFFFF"/>
          </w:tcPr>
          <w:p>
            <w:r>
              <w:rPr>
                <w:rFonts w:ascii="Arial" w:hAnsi="Arial"/>
                <w:sz w:val="20"/>
              </w:rPr>
              <w:t>School Admin</w:t>
            </w:r>
          </w:p>
        </w:tc>
        <w:tc>
          <w:tcPr>
            <w:tcW w:type="dxa" w:w="7488"/>
            <w:shd w:val="clear" w:color="auto" w:fill="FFFFFF"/>
          </w:tcPr>
          <w:p>
            <w:r>
              <w:rPr>
                <w:rFonts w:ascii="Arial" w:hAnsi="Arial"/>
                <w:sz w:val="20"/>
              </w:rPr>
              <w:t>Manages student and card records, monitors the dining hall feed in real time, reviews fraud alerts, and compiles the daily meal report from actual scans — not an estimate.</w:t>
            </w:r>
          </w:p>
        </w:tc>
      </w:tr>
      <w:tr>
        <w:tc>
          <w:tcPr>
            <w:tcW w:type="dxa" w:w="1872"/>
            <w:shd w:val="clear" w:color="auto" w:fill="EBF3FB"/>
          </w:tcPr>
          <w:p>
            <w:r>
              <w:rPr>
                <w:rFonts w:ascii="Arial" w:hAnsi="Arial"/>
                <w:sz w:val="20"/>
              </w:rPr>
              <w:t>Government</w:t>
            </w:r>
          </w:p>
        </w:tc>
        <w:tc>
          <w:tcPr>
            <w:tcW w:type="dxa" w:w="7488"/>
            <w:shd w:val="clear" w:color="auto" w:fill="EBF3FB"/>
          </w:tcPr>
          <w:p>
            <w:r>
              <w:rPr>
                <w:rFonts w:ascii="Arial" w:hAnsi="Arial"/>
                <w:sz w:val="20"/>
              </w:rPr>
              <w:t>Reviews each school's submitted attendance report, cross-checks it against reported enrolment, and — only if satisfied — issues a monetary token to the relevant supplier.</w:t>
            </w:r>
          </w:p>
        </w:tc>
      </w:tr>
      <w:tr>
        <w:tc>
          <w:tcPr>
            <w:tcW w:type="dxa" w:w="1872"/>
            <w:shd w:val="clear" w:color="auto" w:fill="FFFFFF"/>
          </w:tcPr>
          <w:p>
            <w:r>
              <w:rPr>
                <w:rFonts w:ascii="Arial" w:hAnsi="Arial"/>
                <w:sz w:val="20"/>
              </w:rPr>
              <w:t>Supplier</w:t>
            </w:r>
          </w:p>
        </w:tc>
        <w:tc>
          <w:tcPr>
            <w:tcW w:type="dxa" w:w="7488"/>
            <w:shd w:val="clear" w:color="auto" w:fill="FFFFFF"/>
          </w:tcPr>
          <w:p>
            <w:r>
              <w:rPr>
                <w:rFonts w:ascii="Arial" w:hAnsi="Arial"/>
                <w:sz w:val="20"/>
              </w:rPr>
              <w:t>Receives tokens issued by the government, submits them to the bank for redemption, and logs food deliveries against fulfilled orders.</w:t>
            </w:r>
          </w:p>
        </w:tc>
      </w:tr>
      <w:tr>
        <w:tc>
          <w:tcPr>
            <w:tcW w:type="dxa" w:w="1872"/>
            <w:shd w:val="clear" w:color="auto" w:fill="EBF3FB"/>
          </w:tcPr>
          <w:p>
            <w:r>
              <w:rPr>
                <w:rFonts w:ascii="Arial" w:hAnsi="Arial"/>
                <w:sz w:val="20"/>
              </w:rPr>
              <w:t>Bank</w:t>
            </w:r>
          </w:p>
        </w:tc>
        <w:tc>
          <w:tcPr>
            <w:tcW w:type="dxa" w:w="7488"/>
            <w:shd w:val="clear" w:color="auto" w:fill="EBF3FB"/>
          </w:tcPr>
          <w:p>
            <w:r>
              <w:rPr>
                <w:rFonts w:ascii="Arial" w:hAnsi="Arial"/>
                <w:sz w:val="20"/>
              </w:rPr>
              <w:t>Independently validates each submitted token before releasing cash, and produces an audit trail of every transaction.</w:t>
            </w:r>
          </w:p>
        </w:tc>
      </w:tr>
    </w:tbl>
    <w:p/>
    <w:p>
      <w:pPr>
        <w:pStyle w:val="Heading3"/>
      </w:pPr>
      <w:r>
        <w:t>Conceptual Data Flow — The Token Chain</w:t>
      </w:r>
    </w:p>
    <w:p>
      <w:pPr/>
      <w:r>
        <w:t>The diagram below illustrates the sequential flow of verified data from a student's card tap through to the final cash release. Because every stage consumes the verified output of the stage before it, a fraudulent claim introduced at any point has no valid scan data to support it and is rejected before money moves.</w:t>
      </w:r>
    </w:p>
    <w:p>
      <w:pPr>
        <w:spacing w:before="0" w:after="0"/>
        <w:ind w:left="432"/>
        <w:shd w:val="clear" w:color="auto" w:fill="F2F2F2"/>
      </w:pPr>
      <w:r>
        <w:rPr>
          <w:rFonts w:ascii="Courier New" w:hAnsi="Courier New"/>
          <w:sz w:val="18"/>
        </w:rPr>
        <w:t>Student taps card at Dining Hall Scanner</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v</w:t>
      </w:r>
    </w:p>
    <w:p>
      <w:pPr>
        <w:spacing w:before="0" w:after="0"/>
        <w:ind w:left="432"/>
        <w:shd w:val="clear" w:color="auto" w:fill="F2F2F2"/>
      </w:pPr>
      <w:r>
        <w:rPr>
          <w:rFonts w:ascii="Courier New" w:hAnsi="Courier New"/>
          <w:sz w:val="18"/>
        </w:rPr>
        <w:t>Scan is validated  (active card? already scanned this session? enrolled student?)</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v</w:t>
      </w:r>
    </w:p>
    <w:p>
      <w:pPr>
        <w:spacing w:before="0" w:after="0"/>
        <w:ind w:left="432"/>
        <w:shd w:val="clear" w:color="auto" w:fill="F2F2F2"/>
      </w:pPr>
      <w:r>
        <w:rPr>
          <w:rFonts w:ascii="Courier New" w:hAnsi="Courier New"/>
          <w:sz w:val="18"/>
        </w:rPr>
        <w:t>Verified scans accumulate into a Daily Attendance Report  (School Admin)</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v</w:t>
      </w:r>
    </w:p>
    <w:p>
      <w:pPr>
        <w:spacing w:before="0" w:after="0"/>
        <w:ind w:left="432"/>
        <w:shd w:val="clear" w:color="auto" w:fill="F2F2F2"/>
      </w:pPr>
      <w:r>
        <w:rPr>
          <w:rFonts w:ascii="Courier New" w:hAnsi="Courier New"/>
          <w:sz w:val="18"/>
        </w:rPr>
        <w:t>Government reviews the report against enrolment &amp; prior patterns</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v</w:t>
      </w:r>
    </w:p>
    <w:p>
      <w:pPr>
        <w:spacing w:before="0" w:after="0"/>
        <w:ind w:left="432"/>
        <w:shd w:val="clear" w:color="auto" w:fill="F2F2F2"/>
      </w:pPr>
      <w:r>
        <w:rPr>
          <w:rFonts w:ascii="Courier New" w:hAnsi="Courier New"/>
          <w:sz w:val="18"/>
        </w:rPr>
        <w:t>Government issues a Token  (fixed value, tied to a specific supplier + institution)</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v</w:t>
      </w:r>
    </w:p>
    <w:p>
      <w:pPr>
        <w:spacing w:before="0" w:after="0"/>
        <w:ind w:left="432"/>
        <w:shd w:val="clear" w:color="auto" w:fill="F2F2F2"/>
      </w:pPr>
      <w:r>
        <w:rPr>
          <w:rFonts w:ascii="Courier New" w:hAnsi="Courier New"/>
          <w:sz w:val="18"/>
        </w:rPr>
        <w:t>Supplier receives token  --&gt;  submits it to the Bank</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v</w:t>
      </w:r>
    </w:p>
    <w:p>
      <w:pPr>
        <w:spacing w:before="0" w:after="0"/>
        <w:ind w:left="432"/>
        <w:shd w:val="clear" w:color="auto" w:fill="F2F2F2"/>
      </w:pPr>
      <w:r>
        <w:rPr>
          <w:rFonts w:ascii="Courier New" w:hAnsi="Courier New"/>
          <w:sz w:val="18"/>
        </w:rPr>
        <w:t>Bank validates the token  (not expired, not already redeemed, matches issuance record)</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v</w:t>
      </w:r>
    </w:p>
    <w:p>
      <w:pPr>
        <w:spacing w:before="0" w:after="0"/>
        <w:ind w:left="432"/>
        <w:shd w:val="clear" w:color="auto" w:fill="F2F2F2"/>
      </w:pPr>
      <w:r>
        <w:rPr>
          <w:rFonts w:ascii="Courier New" w:hAnsi="Courier New"/>
          <w:sz w:val="18"/>
        </w:rPr>
        <w:t>Bank releases cash to the Supplier</w:t>
      </w:r>
    </w:p>
    <w:p>
      <w:pPr>
        <w:spacing w:before="0" w:after="0"/>
        <w:ind w:left="432"/>
        <w:shd w:val="clear" w:color="auto" w:fill="F2F2F2"/>
      </w:pPr>
      <w:r>
        <w:rPr>
          <w:rFonts w:ascii="Courier New" w:hAnsi="Courier New"/>
          <w:sz w:val="18"/>
        </w:rPr>
        <w:t xml:space="preserve">        |</w:t>
      </w:r>
    </w:p>
    <w:p>
      <w:pPr>
        <w:spacing w:before="0" w:after="0"/>
        <w:ind w:left="432"/>
        <w:shd w:val="clear" w:color="auto" w:fill="F2F2F2"/>
      </w:pPr>
      <w:r>
        <w:rPr>
          <w:rFonts w:ascii="Courier New" w:hAnsi="Courier New"/>
          <w:sz w:val="18"/>
        </w:rPr>
        <w:t xml:space="preserve">        v</w:t>
      </w:r>
    </w:p>
    <w:p>
      <w:pPr>
        <w:spacing w:before="0" w:after="0"/>
        <w:ind w:left="432"/>
        <w:shd w:val="clear" w:color="auto" w:fill="F2F2F2"/>
      </w:pPr>
      <w:r>
        <w:rPr>
          <w:rFonts w:ascii="Courier New" w:hAnsi="Courier New"/>
          <w:sz w:val="18"/>
        </w:rPr>
        <w:t>Supplier delivers food  --&gt;  logs the delivery, closing the loop</w:t>
      </w:r>
    </w:p>
    <w:p/>
    <w:p>
      <w:pPr>
        <w:pStyle w:val="Heading2"/>
      </w:pPr>
      <w:r>
        <w:t>2.4 Architecture of the Proposed System</w:t>
      </w:r>
    </w:p>
    <w:p>
      <w:pPr/>
      <w:r>
        <w:t>IARTS follows a three-tier, role-partitioned client–server architecture, as illustrated below.</w:t>
      </w:r>
    </w:p>
    <w:p>
      <w:pPr>
        <w:spacing w:before="0" w:after="0"/>
        <w:ind w:left="432"/>
        <w:shd w:val="clear" w:color="auto" w:fill="F2F2F2"/>
      </w:pPr>
      <w:r>
        <w:rPr>
          <w:rFonts w:ascii="Courier New" w:hAnsi="Courier New"/>
          <w:sz w:val="18"/>
        </w:rPr>
        <w:t>+------------------------------------------------------------------+</w:t>
      </w:r>
    </w:p>
    <w:p>
      <w:pPr>
        <w:spacing w:before="0" w:after="0"/>
        <w:ind w:left="432"/>
        <w:shd w:val="clear" w:color="auto" w:fill="F2F2F2"/>
      </w:pPr>
      <w:r>
        <w:rPr>
          <w:rFonts w:ascii="Courier New" w:hAnsi="Courier New"/>
          <w:sz w:val="18"/>
        </w:rPr>
        <w:t>|                      PRESENTATION LAYER                         |</w:t>
      </w:r>
    </w:p>
    <w:p>
      <w:pPr>
        <w:spacing w:before="0" w:after="0"/>
        <w:ind w:left="432"/>
        <w:shd w:val="clear" w:color="auto" w:fill="F2F2F2"/>
      </w:pPr>
      <w:r>
        <w:rPr>
          <w:rFonts w:ascii="Courier New" w:hAnsi="Courier New"/>
          <w:sz w:val="18"/>
        </w:rPr>
        <w:t>|    React + TypeScript SPA  --  one router, five portals         |</w:t>
      </w:r>
    </w:p>
    <w:p>
      <w:pPr>
        <w:spacing w:before="0" w:after="0"/>
        <w:ind w:left="432"/>
        <w:shd w:val="clear" w:color="auto" w:fill="F2F2F2"/>
      </w:pPr>
      <w:r>
        <w:rPr>
          <w:rFonts w:ascii="Courier New" w:hAnsi="Courier New"/>
          <w:sz w:val="18"/>
        </w:rPr>
        <w:t>|                                                                  |</w:t>
      </w:r>
    </w:p>
    <w:p>
      <w:pPr>
        <w:spacing w:before="0" w:after="0"/>
        <w:ind w:left="432"/>
        <w:shd w:val="clear" w:color="auto" w:fill="F2F2F2"/>
      </w:pPr>
      <w:r>
        <w:rPr>
          <w:rFonts w:ascii="Courier New" w:hAnsi="Courier New"/>
          <w:sz w:val="18"/>
        </w:rPr>
        <w:t>| [School Admin] [Government] [Bank] [Supplier] [Scanner Kiosk]  |</w:t>
      </w:r>
    </w:p>
    <w:p>
      <w:pPr>
        <w:spacing w:before="0" w:after="0"/>
        <w:ind w:left="432"/>
        <w:shd w:val="clear" w:color="auto" w:fill="F2F2F2"/>
      </w:pPr>
      <w:r>
        <w:rPr>
          <w:rFonts w:ascii="Courier New" w:hAnsi="Courier New"/>
          <w:sz w:val="18"/>
        </w:rPr>
        <w:t>+---------------------------+--------------------------------------+</w:t>
      </w:r>
    </w:p>
    <w:p>
      <w:pPr>
        <w:spacing w:before="0" w:after="0"/>
        <w:ind w:left="432"/>
        <w:shd w:val="clear" w:color="auto" w:fill="F2F2F2"/>
      </w:pPr>
      <w:r>
        <w:rPr>
          <w:rFonts w:ascii="Courier New" w:hAnsi="Courier New"/>
          <w:sz w:val="18"/>
        </w:rPr>
        <w:t xml:space="preserve">                            |  HTTPS (REST)  +  WebSocket          </w:t>
      </w:r>
    </w:p>
    <w:p>
      <w:pPr>
        <w:spacing w:before="0" w:after="0"/>
        <w:ind w:left="432"/>
        <w:shd w:val="clear" w:color="auto" w:fill="F2F2F2"/>
      </w:pPr>
      <w:r>
        <w:rPr>
          <w:rFonts w:ascii="Courier New" w:hAnsi="Courier New"/>
          <w:sz w:val="18"/>
        </w:rPr>
        <w:t>+---------------------------v--------------------------------------+</w:t>
      </w:r>
    </w:p>
    <w:p>
      <w:pPr>
        <w:spacing w:before="0" w:after="0"/>
        <w:ind w:left="432"/>
        <w:shd w:val="clear" w:color="auto" w:fill="F2F2F2"/>
      </w:pPr>
      <w:r>
        <w:rPr>
          <w:rFonts w:ascii="Courier New" w:hAnsi="Courier New"/>
          <w:sz w:val="18"/>
        </w:rPr>
        <w:t>|                      APPLICATION LAYER                          |</w:t>
      </w:r>
    </w:p>
    <w:p>
      <w:pPr>
        <w:spacing w:before="0" w:after="0"/>
        <w:ind w:left="432"/>
        <w:shd w:val="clear" w:color="auto" w:fill="F2F2F2"/>
      </w:pPr>
      <w:r>
        <w:rPr>
          <w:rFonts w:ascii="Courier New" w:hAnsi="Courier New"/>
          <w:sz w:val="18"/>
        </w:rPr>
        <w:t>|             Spring Boot REST API   (com.iarts)                  |</w:t>
      </w:r>
    </w:p>
    <w:p>
      <w:pPr>
        <w:spacing w:before="0" w:after="0"/>
        <w:ind w:left="432"/>
        <w:shd w:val="clear" w:color="auto" w:fill="F2F2F2"/>
      </w:pPr>
      <w:r>
        <w:rPr>
          <w:rFonts w:ascii="Courier New" w:hAnsi="Courier New"/>
          <w:sz w:val="18"/>
        </w:rPr>
        <w:t>|                                                                  |</w:t>
      </w:r>
    </w:p>
    <w:p>
      <w:pPr>
        <w:spacing w:before="0" w:after="0"/>
        <w:ind w:left="432"/>
        <w:shd w:val="clear" w:color="auto" w:fill="F2F2F2"/>
      </w:pPr>
      <w:r>
        <w:rPr>
          <w:rFonts w:ascii="Courier New" w:hAnsi="Courier New"/>
          <w:sz w:val="18"/>
        </w:rPr>
        <w:t>|  Auth (JWT) | Student/Card | Token | Payment | WebConfig (CORS) |</w:t>
      </w:r>
    </w:p>
    <w:p>
      <w:pPr>
        <w:spacing w:before="0" w:after="0"/>
        <w:ind w:left="432"/>
        <w:shd w:val="clear" w:color="auto" w:fill="F2F2F2"/>
      </w:pPr>
      <w:r>
        <w:rPr>
          <w:rFonts w:ascii="Courier New" w:hAnsi="Courier New"/>
          <w:sz w:val="18"/>
        </w:rPr>
        <w:t>+---------------------------+--------------------------------------+</w:t>
      </w:r>
    </w:p>
    <w:p>
      <w:pPr>
        <w:spacing w:before="0" w:after="0"/>
        <w:ind w:left="432"/>
        <w:shd w:val="clear" w:color="auto" w:fill="F2F2F2"/>
      </w:pPr>
      <w:r>
        <w:rPr>
          <w:rFonts w:ascii="Courier New" w:hAnsi="Courier New"/>
          <w:sz w:val="18"/>
        </w:rPr>
        <w:t xml:space="preserve">                            |                                      </w:t>
      </w:r>
    </w:p>
    <w:p>
      <w:pPr>
        <w:spacing w:before="0" w:after="0"/>
        <w:ind w:left="432"/>
        <w:shd w:val="clear" w:color="auto" w:fill="F2F2F2"/>
      </w:pPr>
      <w:r>
        <w:rPr>
          <w:rFonts w:ascii="Courier New" w:hAnsi="Courier New"/>
          <w:sz w:val="18"/>
        </w:rPr>
        <w:t>+---------------------------v--------------------------------------+</w:t>
      </w:r>
    </w:p>
    <w:p>
      <w:pPr>
        <w:spacing w:before="0" w:after="0"/>
        <w:ind w:left="432"/>
        <w:shd w:val="clear" w:color="auto" w:fill="F2F2F2"/>
      </w:pPr>
      <w:r>
        <w:rPr>
          <w:rFonts w:ascii="Courier New" w:hAnsi="Courier New"/>
          <w:sz w:val="18"/>
        </w:rPr>
        <w:t>|                        DATA LAYER                               |</w:t>
      </w:r>
    </w:p>
    <w:p>
      <w:pPr>
        <w:spacing w:before="0" w:after="0"/>
        <w:ind w:left="432"/>
        <w:shd w:val="clear" w:color="auto" w:fill="F2F2F2"/>
      </w:pPr>
      <w:r>
        <w:rPr>
          <w:rFonts w:ascii="Courier New" w:hAnsi="Courier New"/>
          <w:sz w:val="18"/>
        </w:rPr>
        <w:t>|   PostgreSQL  (system of record)  +  Redis  (cache / session)  |</w:t>
      </w:r>
    </w:p>
    <w:p>
      <w:pPr>
        <w:spacing w:before="0" w:after="0"/>
        <w:ind w:left="432"/>
        <w:shd w:val="clear" w:color="auto" w:fill="F2F2F2"/>
      </w:pPr>
      <w:r>
        <w:rPr>
          <w:rFonts w:ascii="Courier New" w:hAnsi="Courier New"/>
          <w:sz w:val="18"/>
        </w:rPr>
        <w:t>+------------------------------------------------------------------+</w:t>
      </w:r>
    </w:p>
    <w:p/>
    <w:p>
      <w:pPr>
        <w:pStyle w:val="Heading3"/>
      </w:pPr>
      <w:r>
        <w:t>Layer Descriptions</w:t>
      </w:r>
    </w:p>
    <w:p>
      <w:pPr>
        <w:spacing w:before="120" w:after="40"/>
      </w:pPr>
      <w:r>
        <w:rPr>
          <w:rFonts w:ascii="Arial" w:hAnsi="Arial"/>
          <w:b/>
          <w:i/>
          <w:sz w:val="22"/>
        </w:rPr>
        <w:t>1. Presentation Layer</w:t>
      </w:r>
    </w:p>
    <w:p>
      <w:pPr/>
      <w:r>
        <w:t>A single Vite/React/TypeScript application, role-routed (/admin, /gov, /bank, /supplier, /scanner) so that each actor only ever sees the screens relevant to their role. State is managed with Zustand for auth/session data and TanStack Query for server-state caching, styled with Tailwind CSS. The Scanner Kiosk is deliberately excluded from the authenticated router — it runs as a public, browser-based QR scanning terminal authenticated only by a terminal key, since it must be usable at a physical dining hall counter without a student or staff login.</w:t>
      </w:r>
    </w:p>
    <w:p>
      <w:pPr>
        <w:spacing w:before="120" w:after="40"/>
      </w:pPr>
      <w:r>
        <w:rPr>
          <w:rFonts w:ascii="Arial" w:hAnsi="Arial"/>
          <w:b/>
          <w:i/>
          <w:sz w:val="22"/>
        </w:rPr>
        <w:t>2. Application Layer</w:t>
      </w:r>
    </w:p>
    <w:p>
      <w:pPr/>
      <w:r>
        <w:t>A Spring Boot REST API exposing endpoints grouped by domain: authentication (JWT-based), student and card management, token issuance and lifecycle, and bank payment processing. A WebSocket channel pushes live scan events from the dining hall to the School Admin portal's real-time feed without requiring the admin to refresh the page.</w:t>
      </w:r>
    </w:p>
    <w:p>
      <w:pPr>
        <w:spacing w:before="120" w:after="40"/>
      </w:pPr>
      <w:r>
        <w:rPr>
          <w:rFonts w:ascii="Arial" w:hAnsi="Arial"/>
          <w:b/>
          <w:i/>
          <w:sz w:val="22"/>
        </w:rPr>
        <w:t>3. Data Layer</w:t>
      </w:r>
    </w:p>
    <w:p>
      <w:pPr/>
      <w:r>
        <w:t>PostgreSQL persists all system-of-record data (students, cards, scans, reports, tokens, transactions). Redis is used for caching and short-lived session/state data such as terminal key validation and rate-limiting scan bursts. This layered separation means the frontend never has to trust client-side logic for anything financial — every token issuance and cash release decision is enforced server-side, and the presentation layer is purely a role-scoped view onto that state.</w:t>
      </w:r>
    </w:p>
    <w:p>
      <w:pPr>
        <w:pStyle w:val="Heading2"/>
      </w:pPr>
      <w:r>
        <w:t>2.5 Component Designs and Component Descriptions</w:t>
      </w:r>
    </w:p>
    <w:p>
      <w:pPr/>
      <w:r>
        <w:t>This section describes what each major component does and how it functions within the overall architecture. Detailed algorithms for each component are presented in Chapter 4.</w:t>
      </w:r>
    </w:p>
    <w:p>
      <w:pPr>
        <w:pStyle w:val="Heading3"/>
      </w:pPr>
      <w:r>
        <w:t>2.5.1 Dining Hall Scanner Kiosk</w:t>
      </w:r>
    </w:p>
    <w:p>
      <w:pPr/>
      <w:r>
        <w:t>A browser-based, camera-driven QR card scanning terminal that operates with no user login. It authenticates itself to the backend using a fixed terminal key rather than a user session. On each scan it sends the card identifier to the backend, which returns one of four outcomes — served, unknown card, duplicate scan, or inactive student — displayed instantly on the kiosk screen so dining hall staff can act on it without consulting a separate system. A 3-second cooldown prevents the same card from being submitted twice in quick succession. The kiosk is the only component that is mobile-friendly, designed to run on a tablet or dedicated terminal mounted at the dining hall entrance.</w:t>
      </w:r>
    </w:p>
    <w:p>
      <w:pPr>
        <w:pStyle w:val="Heading3"/>
      </w:pPr>
      <w:r>
        <w:t>2.5.2 School Admin Portal</w:t>
      </w:r>
    </w:p>
    <w:p>
      <w:pPr/>
      <w:r>
        <w:t>Gives school staff: (a) a live dining hall feed reflecting card taps as they happen; (b) student and card registry management, including issuing and deactivating dining cards; (c) a fraud alert dashboard flagging anomalies such as duplicate or unusually-timed scans; (d) daily meal report compilation drawn directly from verified scan records rather than manual entry; and (e) supply logging to track food deliveries received against government-issued tokens. Daily reports move through a four-stage review pipeline — Generated, Operational Review, Compliance Review, and Claim Eligible — before becoming eligible for a government reimbursement claim.</w:t>
      </w:r>
    </w:p>
    <w:p>
      <w:pPr>
        <w:pStyle w:val="Heading3"/>
      </w:pPr>
      <w:r>
        <w:t>2.5.3 Government Portal</w:t>
      </w:r>
    </w:p>
    <w:p>
      <w:pPr/>
      <w:r>
        <w:t>Splits government oversight into role-scoped dashboards so that reviewing attendance reports, calculating budget allocations, and issuing tokens are handled by clearly separated responsibilities. Includes a token issuance form for generating financial tokens linked to a specific supplier and institution, a claims workflow for reviewing and approving school reimbursement claims, a token ledger for tracking every token ever issued, and a budget calculator for determining per-student funding allocations based on enrolment and policy rates.</w:t>
      </w:r>
    </w:p>
    <w:p>
      <w:pPr>
        <w:pStyle w:val="Heading3"/>
      </w:pPr>
      <w:r>
        <w:t>2.5.4 Supplier Portal</w:t>
      </w:r>
    </w:p>
    <w:p>
      <w:pPr/>
      <w:r>
        <w:t>Gives food suppliers a token inbox for receiving government-issued tokens, a submission workflow for sending tokens to the bank for cash redemption, a delivery logger for recording food delivered against fulfilled orders, a full transaction history, and a reorder monitor that alerts the supplier when a school's stock of a particular item drops below the reorder threshold — so deliveries can be prepared proactively rather than reactively.</w:t>
      </w:r>
    </w:p>
    <w:p>
      <w:pPr>
        <w:pStyle w:val="Heading3"/>
      </w:pPr>
      <w:r>
        <w:t>2.5.5 Bank Portal</w:t>
      </w:r>
    </w:p>
    <w:p>
      <w:pPr/>
      <w:r>
        <w:t>Provides the final independent check in the payment chain: a pending-tokens queue showing all supplier submissions awaiting review; a token validation screen where an officer can look up any token by code and confirm its authenticity; a cash-release action enabled only after successful validation; a rejected-tokens log with recorded reasons; a full transaction log for daily balancing; and an audit report view for reconciliation and external compliance reporting.</w:t>
      </w:r>
    </w:p>
    <w:p>
      <w:pPr>
        <w:pStyle w:val="Heading3"/>
      </w:pPr>
      <w:r>
        <w:t>2.5.6 Shared UI Component Library</w:t>
      </w:r>
    </w:p>
    <w:p>
      <w:pPr/>
      <w:r>
        <w:t>A common set of reusable interface primitives — Badge, Button, Modal, DataTable, StatCard, DropdownMenu, and Icon — together with layout shells — DashboardLayout, PageHeader, and Sidebar — used consistently across all four authenticated portals. This ensures every portal looks and behaves consistently without duplicating UI code, and makes future portal additions straightforward to implement.</w:t>
      </w:r>
    </w:p>
    <w:p>
      <w:pPr>
        <w:pStyle w:val="Heading3"/>
      </w:pPr>
      <w:r>
        <w:t>2.5.7 Authentication and Authorisation Module</w:t>
      </w:r>
    </w:p>
    <w:p>
      <w:pPr/>
      <w:r>
        <w:t>Issues JSON Web Tokens (JWTs) on successful login and enforces role-based route access both client-side — via router guards that map each role to its portal root — and server-side via a Spring Security filter chain that validates the JWT and role claim on every API request. The Scanner Kiosk bypasses user authentication entirely, authenticating instead with a terminal-specific key.</w:t>
      </w:r>
    </w:p>
    <w:p>
      <w:pPr>
        <w:pStyle w:val="Heading3"/>
      </w:pPr>
      <w:r>
        <w:t>2.5.8 Token Lifecycle Module</w:t>
      </w:r>
    </w:p>
    <w:p>
      <w:pPr/>
      <w:r>
        <w:t>Owns the state machine governing a government token from issuance to final settlement. Token states are: Pending (issued, not yet active), Active (in the supplier's inbox), Submitted (sent to the bank), Validated (bank confirmed), Redeemed (cash released), Expired (validity window passed), and Rejected (failed validation or manually rejected by a bank officer). The module enforces that a token can never be spent twice and cannot be accepted after its expiry date, regardless of what the requesting party claims.</w:t>
      </w:r>
    </w:p>
    <w:p>
      <w:pPr>
        <w:pStyle w:val="Heading2"/>
      </w:pPr>
      <w:r>
        <w:t>2.6 Proposed System / Software Features</w:t>
      </w:r>
    </w:p>
    <w:p>
      <w:pPr>
        <w:pStyle w:val="ListBullet"/>
      </w:pPr>
      <w:r>
        <w:rPr>
          <w:sz w:val="22"/>
        </w:rPr>
        <w:t>Physical card-tap attendance capture at the dining hall — no self-reported headcounts</w:t>
      </w:r>
    </w:p>
    <w:p>
      <w:pPr>
        <w:pStyle w:val="ListBullet"/>
      </w:pPr>
      <w:r>
        <w:rPr>
          <w:sz w:val="22"/>
        </w:rPr>
        <w:t>Real-time dining hall scan feed visible to school administration as meals are served</w:t>
      </w:r>
    </w:p>
    <w:p>
      <w:pPr>
        <w:pStyle w:val="ListBullet"/>
      </w:pPr>
      <w:r>
        <w:rPr>
          <w:sz w:val="22"/>
        </w:rPr>
        <w:t>Automatic duplicate-scan and anomaly detection by the fraud engine at end of day</w:t>
      </w:r>
    </w:p>
    <w:p>
      <w:pPr>
        <w:pStyle w:val="ListBullet"/>
      </w:pPr>
      <w:r>
        <w:rPr>
          <w:sz w:val="22"/>
        </w:rPr>
        <w:t>Attendance-report-to-token issuance workflow, reviewable by the government before approval</w:t>
      </w:r>
    </w:p>
    <w:p>
      <w:pPr>
        <w:pStyle w:val="ListBullet"/>
      </w:pPr>
      <w:r>
        <w:rPr>
          <w:sz w:val="22"/>
        </w:rPr>
        <w:t>Full token lifecycle tracking from issuance through submission, validation, and redemption</w:t>
      </w:r>
    </w:p>
    <w:p>
      <w:pPr>
        <w:pStyle w:val="ListBullet"/>
      </w:pPr>
      <w:r>
        <w:rPr>
          <w:sz w:val="22"/>
        </w:rPr>
        <w:t>Independent bank-side validation step before any cash is released to a supplier</w:t>
      </w:r>
    </w:p>
    <w:p>
      <w:pPr>
        <w:pStyle w:val="ListBullet"/>
      </w:pPr>
      <w:r>
        <w:rPr>
          <w:sz w:val="22"/>
        </w:rPr>
        <w:t>Four-stage report review pipeline (Generated → Operational Review → Compliance Review → Claim Eligible)</w:t>
      </w:r>
    </w:p>
    <w:p>
      <w:pPr>
        <w:pStyle w:val="ListBullet"/>
      </w:pPr>
      <w:r>
        <w:rPr>
          <w:sz w:val="22"/>
        </w:rPr>
        <w:t>Reimbursement claim workflow linking verified daily reports to government payment approval</w:t>
      </w:r>
    </w:p>
    <w:p>
      <w:pPr>
        <w:pStyle w:val="ListBullet"/>
      </w:pPr>
      <w:r>
        <w:rPr>
          <w:sz w:val="22"/>
        </w:rPr>
        <w:t>Supplier delivery logging tied to the government token that funded each order</w:t>
      </w:r>
    </w:p>
    <w:p>
      <w:pPr>
        <w:pStyle w:val="ListBullet"/>
      </w:pPr>
      <w:r>
        <w:rPr>
          <w:sz w:val="22"/>
        </w:rPr>
        <w:t>Low-stock reorder alerts visible to suppliers in real time</w:t>
      </w:r>
    </w:p>
    <w:p>
      <w:pPr>
        <w:pStyle w:val="ListBullet"/>
      </w:pPr>
      <w:r>
        <w:rPr>
          <w:sz w:val="22"/>
        </w:rPr>
        <w:t>End-to-end audit trail spanning all five actors, traceable from a cash release back to the underlying verified scans</w:t>
      </w:r>
    </w:p>
    <w:p>
      <w:pPr>
        <w:pStyle w:val="ListBullet"/>
      </w:pPr>
      <w:r>
        <w:rPr>
          <w:sz w:val="22"/>
        </w:rPr>
        <w:t>Role-based access control ensuring each actor sees only the screens and data relevant to their responsibility</w:t>
      </w:r>
    </w:p>
    <w:p>
      <w:pPr>
        <w:pStyle w:val="ListBullet"/>
      </w:pPr>
      <w:r>
        <w:rPr>
          <w:sz w:val="22"/>
        </w:rPr>
        <w:t>Mobile-accessible scanner kiosk compatible with tablet or dedicated terminal hardware</w:t>
      </w:r>
    </w:p>
    <w:p>
      <w:pPr>
        <w:pStyle w:val="Heading2"/>
      </w:pPr>
      <w:r>
        <w:t>2.7 Development Tools and Environment</w:t>
      </w:r>
    </w:p>
    <w:p>
      <w:pPr/>
      <w:r>
        <w:t>This section provides a brief overview of the tools and technologies selected for the implementation of IARTS.</w:t>
      </w:r>
    </w:p>
    <w:p>
      <w:pPr>
        <w:pStyle w:val="Heading3"/>
      </w:pPr>
      <w:r>
        <w:t>Frontend</w:t>
      </w:r>
    </w:p>
    <w:tbl>
      <w:tblPr>
        <w:tblStyle w:val="TableGrid"/>
        <w:tblW w:type="auto" w:w="0"/>
        <w:tblLook w:firstColumn="1" w:firstRow="1" w:lastColumn="0" w:lastRow="0" w:noHBand="0" w:noVBand="1" w:val="04A0"/>
      </w:tblPr>
      <w:tblGrid>
        <w:gridCol w:w="4680"/>
        <w:gridCol w:w="4680"/>
      </w:tblGrid>
      <w:tr>
        <w:tc>
          <w:tcPr>
            <w:tcW w:type="dxa" w:w="3600"/>
            <w:shd w:val="clear" w:color="auto" w:fill="1F4E78"/>
          </w:tcPr>
          <w:p>
            <w:r>
              <w:rPr>
                <w:rFonts w:ascii="Arial" w:hAnsi="Arial"/>
                <w:b/>
                <w:color w:val="FFFFFF"/>
                <w:sz w:val="20"/>
              </w:rPr>
              <w:t>Tool / Library</w:t>
            </w:r>
          </w:p>
        </w:tc>
        <w:tc>
          <w:tcPr>
            <w:tcW w:type="dxa" w:w="5760"/>
            <w:shd w:val="clear" w:color="auto" w:fill="1F4E78"/>
          </w:tcPr>
          <w:p>
            <w:r>
              <w:rPr>
                <w:rFonts w:ascii="Arial" w:hAnsi="Arial"/>
                <w:b/>
                <w:color w:val="FFFFFF"/>
                <w:sz w:val="20"/>
              </w:rPr>
              <w:t>Purpose</w:t>
            </w:r>
          </w:p>
        </w:tc>
      </w:tr>
      <w:tr>
        <w:tc>
          <w:tcPr>
            <w:tcW w:type="dxa" w:w="3600"/>
            <w:shd w:val="clear" w:color="auto" w:fill="EBF3FB"/>
          </w:tcPr>
          <w:p>
            <w:r>
              <w:rPr>
                <w:rFonts w:ascii="Arial" w:hAnsi="Arial"/>
                <w:sz w:val="20"/>
              </w:rPr>
              <w:t>React 19 with TypeScript</w:t>
            </w:r>
          </w:p>
        </w:tc>
        <w:tc>
          <w:tcPr>
            <w:tcW w:type="dxa" w:w="5760"/>
            <w:shd w:val="clear" w:color="auto" w:fill="EBF3FB"/>
          </w:tcPr>
          <w:p>
            <w:r>
              <w:rPr>
                <w:rFonts w:ascii="Arial" w:hAnsi="Arial"/>
                <w:sz w:val="20"/>
              </w:rPr>
              <w:t>UI framework and type-safe component development</w:t>
            </w:r>
          </w:p>
        </w:tc>
      </w:tr>
      <w:tr>
        <w:tc>
          <w:tcPr>
            <w:tcW w:type="dxa" w:w="3600"/>
            <w:shd w:val="clear" w:color="auto" w:fill="FFFFFF"/>
          </w:tcPr>
          <w:p>
            <w:r>
              <w:rPr>
                <w:rFonts w:ascii="Arial" w:hAnsi="Arial"/>
                <w:sz w:val="20"/>
              </w:rPr>
              <w:t>Vite</w:t>
            </w:r>
          </w:p>
        </w:tc>
        <w:tc>
          <w:tcPr>
            <w:tcW w:type="dxa" w:w="5760"/>
            <w:shd w:val="clear" w:color="auto" w:fill="FFFFFF"/>
          </w:tcPr>
          <w:p>
            <w:r>
              <w:rPr>
                <w:rFonts w:ascii="Arial" w:hAnsi="Arial"/>
                <w:sz w:val="20"/>
              </w:rPr>
              <w:t>Fast development server and production build tool</w:t>
            </w:r>
          </w:p>
        </w:tc>
      </w:tr>
      <w:tr>
        <w:tc>
          <w:tcPr>
            <w:tcW w:type="dxa" w:w="3600"/>
            <w:shd w:val="clear" w:color="auto" w:fill="EBF3FB"/>
          </w:tcPr>
          <w:p>
            <w:r>
              <w:rPr>
                <w:rFonts w:ascii="Arial" w:hAnsi="Arial"/>
                <w:sz w:val="20"/>
              </w:rPr>
              <w:t>React Router v7</w:t>
            </w:r>
          </w:p>
        </w:tc>
        <w:tc>
          <w:tcPr>
            <w:tcW w:type="dxa" w:w="5760"/>
            <w:shd w:val="clear" w:color="auto" w:fill="EBF3FB"/>
          </w:tcPr>
          <w:p>
            <w:r>
              <w:rPr>
                <w:rFonts w:ascii="Arial" w:hAnsi="Arial"/>
                <w:sz w:val="20"/>
              </w:rPr>
              <w:t>Client-side routing with role-based route guards</w:t>
            </w:r>
          </w:p>
        </w:tc>
      </w:tr>
      <w:tr>
        <w:tc>
          <w:tcPr>
            <w:tcW w:type="dxa" w:w="3600"/>
            <w:shd w:val="clear" w:color="auto" w:fill="FFFFFF"/>
          </w:tcPr>
          <w:p>
            <w:r>
              <w:rPr>
                <w:rFonts w:ascii="Arial" w:hAnsi="Arial"/>
                <w:sz w:val="20"/>
              </w:rPr>
              <w:t>Zustand</w:t>
            </w:r>
          </w:p>
        </w:tc>
        <w:tc>
          <w:tcPr>
            <w:tcW w:type="dxa" w:w="5760"/>
            <w:shd w:val="clear" w:color="auto" w:fill="FFFFFF"/>
          </w:tcPr>
          <w:p>
            <w:r>
              <w:rPr>
                <w:rFonts w:ascii="Arial" w:hAnsi="Arial"/>
                <w:sz w:val="20"/>
              </w:rPr>
              <w:t>Lightweight global state management for auth/session data</w:t>
            </w:r>
          </w:p>
        </w:tc>
      </w:tr>
      <w:tr>
        <w:tc>
          <w:tcPr>
            <w:tcW w:type="dxa" w:w="3600"/>
            <w:shd w:val="clear" w:color="auto" w:fill="EBF3FB"/>
          </w:tcPr>
          <w:p>
            <w:r>
              <w:rPr>
                <w:rFonts w:ascii="Arial" w:hAnsi="Arial"/>
                <w:sz w:val="20"/>
              </w:rPr>
              <w:t>TanStack Query (React Query)</w:t>
            </w:r>
          </w:p>
        </w:tc>
        <w:tc>
          <w:tcPr>
            <w:tcW w:type="dxa" w:w="5760"/>
            <w:shd w:val="clear" w:color="auto" w:fill="EBF3FB"/>
          </w:tcPr>
          <w:p>
            <w:r>
              <w:rPr>
                <w:rFonts w:ascii="Arial" w:hAnsi="Arial"/>
                <w:sz w:val="20"/>
              </w:rPr>
              <w:t>Server-state caching, background refetch, and loading states</w:t>
            </w:r>
          </w:p>
        </w:tc>
      </w:tr>
      <w:tr>
        <w:tc>
          <w:tcPr>
            <w:tcW w:type="dxa" w:w="3600"/>
            <w:shd w:val="clear" w:color="auto" w:fill="FFFFFF"/>
          </w:tcPr>
          <w:p>
            <w:r>
              <w:rPr>
                <w:rFonts w:ascii="Arial" w:hAnsi="Arial"/>
                <w:sz w:val="20"/>
              </w:rPr>
              <w:t>Axios</w:t>
            </w:r>
          </w:p>
        </w:tc>
        <w:tc>
          <w:tcPr>
            <w:tcW w:type="dxa" w:w="5760"/>
            <w:shd w:val="clear" w:color="auto" w:fill="FFFFFF"/>
          </w:tcPr>
          <w:p>
            <w:r>
              <w:rPr>
                <w:rFonts w:ascii="Arial" w:hAnsi="Arial"/>
                <w:sz w:val="20"/>
              </w:rPr>
              <w:t>HTTP client for communicating with the Spring Boot API</w:t>
            </w:r>
          </w:p>
        </w:tc>
      </w:tr>
      <w:tr>
        <w:tc>
          <w:tcPr>
            <w:tcW w:type="dxa" w:w="3600"/>
            <w:shd w:val="clear" w:color="auto" w:fill="EBF3FB"/>
          </w:tcPr>
          <w:p>
            <w:r>
              <w:rPr>
                <w:rFonts w:ascii="Arial" w:hAnsi="Arial"/>
                <w:sz w:val="20"/>
              </w:rPr>
              <w:t>Tailwind CSS v3</w:t>
            </w:r>
          </w:p>
        </w:tc>
        <w:tc>
          <w:tcPr>
            <w:tcW w:type="dxa" w:w="5760"/>
            <w:shd w:val="clear" w:color="auto" w:fill="EBF3FB"/>
          </w:tcPr>
          <w:p>
            <w:r>
              <w:rPr>
                <w:rFonts w:ascii="Arial" w:hAnsi="Arial"/>
                <w:sz w:val="20"/>
              </w:rPr>
              <w:t>Utility-first CSS framework for consistent, responsive styling</w:t>
            </w:r>
          </w:p>
        </w:tc>
      </w:tr>
      <w:tr>
        <w:tc>
          <w:tcPr>
            <w:tcW w:type="dxa" w:w="3600"/>
            <w:shd w:val="clear" w:color="auto" w:fill="FFFFFF"/>
          </w:tcPr>
          <w:p>
            <w:r>
              <w:rPr>
                <w:rFonts w:ascii="Arial" w:hAnsi="Arial"/>
                <w:sz w:val="20"/>
              </w:rPr>
              <w:t>react-hot-toast</w:t>
            </w:r>
          </w:p>
        </w:tc>
        <w:tc>
          <w:tcPr>
            <w:tcW w:type="dxa" w:w="5760"/>
            <w:shd w:val="clear" w:color="auto" w:fill="FFFFFF"/>
          </w:tcPr>
          <w:p>
            <w:r>
              <w:rPr>
                <w:rFonts w:ascii="Arial" w:hAnsi="Arial"/>
                <w:sz w:val="20"/>
              </w:rPr>
              <w:t>Non-intrusive notifications for scan outcomes and user actions</w:t>
            </w:r>
          </w:p>
        </w:tc>
      </w:tr>
      <w:tr>
        <w:tc>
          <w:tcPr>
            <w:tcW w:type="dxa" w:w="3600"/>
            <w:shd w:val="clear" w:color="auto" w:fill="EBF3FB"/>
          </w:tcPr>
          <w:p>
            <w:r>
              <w:rPr>
                <w:rFonts w:ascii="Arial" w:hAnsi="Arial"/>
                <w:sz w:val="20"/>
              </w:rPr>
              <w:t>qrcode.react</w:t>
            </w:r>
          </w:p>
        </w:tc>
        <w:tc>
          <w:tcPr>
            <w:tcW w:type="dxa" w:w="5760"/>
            <w:shd w:val="clear" w:color="auto" w:fill="EBF3FB"/>
          </w:tcPr>
          <w:p>
            <w:r>
              <w:rPr>
                <w:rFonts w:ascii="Arial" w:hAnsi="Arial"/>
                <w:sz w:val="20"/>
              </w:rPr>
              <w:t>QR code generation for student dining cards</w:t>
            </w:r>
          </w:p>
        </w:tc>
      </w:tr>
      <w:tr>
        <w:tc>
          <w:tcPr>
            <w:tcW w:type="dxa" w:w="3600"/>
            <w:shd w:val="clear" w:color="auto" w:fill="FFFFFF"/>
          </w:tcPr>
          <w:p>
            <w:r>
              <w:rPr>
                <w:rFonts w:ascii="Arial" w:hAnsi="Arial"/>
                <w:sz w:val="20"/>
              </w:rPr>
              <w:t>BarcodeDetector API</w:t>
            </w:r>
          </w:p>
        </w:tc>
        <w:tc>
          <w:tcPr>
            <w:tcW w:type="dxa" w:w="5760"/>
            <w:shd w:val="clear" w:color="auto" w:fill="FFFFFF"/>
          </w:tcPr>
          <w:p>
            <w:r>
              <w:rPr>
                <w:rFonts w:ascii="Arial" w:hAnsi="Arial"/>
                <w:sz w:val="20"/>
              </w:rPr>
              <w:t>Browser-native camera-based QR scanning for the kiosk terminal</w:t>
            </w:r>
          </w:p>
        </w:tc>
      </w:tr>
    </w:tbl>
    <w:p/>
    <w:p>
      <w:pPr>
        <w:pStyle w:val="Heading3"/>
      </w:pPr>
      <w:r>
        <w:t>Backend</w:t>
      </w:r>
    </w:p>
    <w:tbl>
      <w:tblPr>
        <w:tblStyle w:val="TableGrid"/>
        <w:tblW w:type="auto" w:w="0"/>
        <w:tblLook w:firstColumn="1" w:firstRow="1" w:lastColumn="0" w:lastRow="0" w:noHBand="0" w:noVBand="1" w:val="04A0"/>
      </w:tblPr>
      <w:tblGrid>
        <w:gridCol w:w="4680"/>
        <w:gridCol w:w="4680"/>
      </w:tblGrid>
      <w:tr>
        <w:tc>
          <w:tcPr>
            <w:tcW w:type="dxa" w:w="3600"/>
            <w:shd w:val="clear" w:color="auto" w:fill="1F4E78"/>
          </w:tcPr>
          <w:p>
            <w:r>
              <w:rPr>
                <w:rFonts w:ascii="Arial" w:hAnsi="Arial"/>
                <w:b/>
                <w:color w:val="FFFFFF"/>
                <w:sz w:val="20"/>
              </w:rPr>
              <w:t>Tool / Technology</w:t>
            </w:r>
          </w:p>
        </w:tc>
        <w:tc>
          <w:tcPr>
            <w:tcW w:type="dxa" w:w="5760"/>
            <w:shd w:val="clear" w:color="auto" w:fill="1F4E78"/>
          </w:tcPr>
          <w:p>
            <w:r>
              <w:rPr>
                <w:rFonts w:ascii="Arial" w:hAnsi="Arial"/>
                <w:b/>
                <w:color w:val="FFFFFF"/>
                <w:sz w:val="20"/>
              </w:rPr>
              <w:t>Purpose</w:t>
            </w:r>
          </w:p>
        </w:tc>
      </w:tr>
      <w:tr>
        <w:tc>
          <w:tcPr>
            <w:tcW w:type="dxa" w:w="3600"/>
            <w:shd w:val="clear" w:color="auto" w:fill="EBF3FB"/>
          </w:tcPr>
          <w:p>
            <w:r>
              <w:rPr>
                <w:rFonts w:ascii="Arial" w:hAnsi="Arial"/>
                <w:sz w:val="20"/>
              </w:rPr>
              <w:t>Java with Spring Boot</w:t>
            </w:r>
          </w:p>
        </w:tc>
        <w:tc>
          <w:tcPr>
            <w:tcW w:type="dxa" w:w="5760"/>
            <w:shd w:val="clear" w:color="auto" w:fill="EBF3FB"/>
          </w:tcPr>
          <w:p>
            <w:r>
              <w:rPr>
                <w:rFonts w:ascii="Arial" w:hAnsi="Arial"/>
                <w:sz w:val="20"/>
              </w:rPr>
              <w:t>REST API framework organised by domain (auth, student, token, payment)</w:t>
            </w:r>
          </w:p>
        </w:tc>
      </w:tr>
      <w:tr>
        <w:tc>
          <w:tcPr>
            <w:tcW w:type="dxa" w:w="3600"/>
            <w:shd w:val="clear" w:color="auto" w:fill="FFFFFF"/>
          </w:tcPr>
          <w:p>
            <w:r>
              <w:rPr>
                <w:rFonts w:ascii="Arial" w:hAnsi="Arial"/>
                <w:sz w:val="20"/>
              </w:rPr>
              <w:t>Spring Security + JWT</w:t>
            </w:r>
          </w:p>
        </w:tc>
        <w:tc>
          <w:tcPr>
            <w:tcW w:type="dxa" w:w="5760"/>
            <w:shd w:val="clear" w:color="auto" w:fill="FFFFFF"/>
          </w:tcPr>
          <w:p>
            <w:r>
              <w:rPr>
                <w:rFonts w:ascii="Arial" w:hAnsi="Arial"/>
                <w:sz w:val="20"/>
              </w:rPr>
              <w:t>Authentication and role-based authorisation on every API request</w:t>
            </w:r>
          </w:p>
        </w:tc>
      </w:tr>
      <w:tr>
        <w:tc>
          <w:tcPr>
            <w:tcW w:type="dxa" w:w="3600"/>
            <w:shd w:val="clear" w:color="auto" w:fill="EBF3FB"/>
          </w:tcPr>
          <w:p>
            <w:r>
              <w:rPr>
                <w:rFonts w:ascii="Arial" w:hAnsi="Arial"/>
                <w:sz w:val="20"/>
              </w:rPr>
              <w:t>PostgreSQL</w:t>
            </w:r>
          </w:p>
        </w:tc>
        <w:tc>
          <w:tcPr>
            <w:tcW w:type="dxa" w:w="5760"/>
            <w:shd w:val="clear" w:color="auto" w:fill="EBF3FB"/>
          </w:tcPr>
          <w:p>
            <w:r>
              <w:rPr>
                <w:rFonts w:ascii="Arial" w:hAnsi="Arial"/>
                <w:sz w:val="20"/>
              </w:rPr>
              <w:t>Primary relational database for all system-of-record data</w:t>
            </w:r>
          </w:p>
        </w:tc>
      </w:tr>
      <w:tr>
        <w:tc>
          <w:tcPr>
            <w:tcW w:type="dxa" w:w="3600"/>
            <w:shd w:val="clear" w:color="auto" w:fill="FFFFFF"/>
          </w:tcPr>
          <w:p>
            <w:r>
              <w:rPr>
                <w:rFonts w:ascii="Arial" w:hAnsi="Arial"/>
                <w:sz w:val="20"/>
              </w:rPr>
              <w:t>Redis</w:t>
            </w:r>
          </w:p>
        </w:tc>
        <w:tc>
          <w:tcPr>
            <w:tcW w:type="dxa" w:w="5760"/>
            <w:shd w:val="clear" w:color="auto" w:fill="FFFFFF"/>
          </w:tcPr>
          <w:p>
            <w:r>
              <w:rPr>
                <w:rFonts w:ascii="Arial" w:hAnsi="Arial"/>
                <w:sz w:val="20"/>
              </w:rPr>
              <w:t>Caching and short-lived state storage (terminal keys, rate limiting)</w:t>
            </w:r>
          </w:p>
        </w:tc>
      </w:tr>
      <w:tr>
        <w:tc>
          <w:tcPr>
            <w:tcW w:type="dxa" w:w="3600"/>
            <w:shd w:val="clear" w:color="auto" w:fill="EBF3FB"/>
          </w:tcPr>
          <w:p>
            <w:r>
              <w:rPr>
                <w:rFonts w:ascii="Arial" w:hAnsi="Arial"/>
                <w:sz w:val="20"/>
              </w:rPr>
              <w:t>WebSocket</w:t>
            </w:r>
          </w:p>
        </w:tc>
        <w:tc>
          <w:tcPr>
            <w:tcW w:type="dxa" w:w="5760"/>
            <w:shd w:val="clear" w:color="auto" w:fill="EBF3FB"/>
          </w:tcPr>
          <w:p>
            <w:r>
              <w:rPr>
                <w:rFonts w:ascii="Arial" w:hAnsi="Arial"/>
                <w:sz w:val="20"/>
              </w:rPr>
              <w:t>Real-time push of live scan events to the School Admin portal</w:t>
            </w:r>
          </w:p>
        </w:tc>
      </w:tr>
      <w:tr>
        <w:tc>
          <w:tcPr>
            <w:tcW w:type="dxa" w:w="3600"/>
            <w:shd w:val="clear" w:color="auto" w:fill="FFFFFF"/>
          </w:tcPr>
          <w:p>
            <w:r>
              <w:rPr>
                <w:rFonts w:ascii="Arial" w:hAnsi="Arial"/>
                <w:sz w:val="20"/>
              </w:rPr>
              <w:t>Maven</w:t>
            </w:r>
          </w:p>
        </w:tc>
        <w:tc>
          <w:tcPr>
            <w:tcW w:type="dxa" w:w="5760"/>
            <w:shd w:val="clear" w:color="auto" w:fill="FFFFFF"/>
          </w:tcPr>
          <w:p>
            <w:r>
              <w:rPr>
                <w:rFonts w:ascii="Arial" w:hAnsi="Arial"/>
                <w:sz w:val="20"/>
              </w:rPr>
              <w:t>Backend build tool and dependency management</w:t>
            </w:r>
          </w:p>
        </w:tc>
      </w:tr>
    </w:tbl>
    <w:p/>
    <w:p>
      <w:pPr>
        <w:pStyle w:val="Heading3"/>
      </w:pPr>
      <w:r>
        <w:t>Tooling and Environment</w:t>
      </w:r>
    </w:p>
    <w:tbl>
      <w:tblPr>
        <w:tblStyle w:val="TableGrid"/>
        <w:tblW w:type="auto" w:w="0"/>
        <w:tblLook w:firstColumn="1" w:firstRow="1" w:lastColumn="0" w:lastRow="0" w:noHBand="0" w:noVBand="1" w:val="04A0"/>
      </w:tblPr>
      <w:tblGrid>
        <w:gridCol w:w="4680"/>
        <w:gridCol w:w="4680"/>
      </w:tblGrid>
      <w:tr>
        <w:tc>
          <w:tcPr>
            <w:tcW w:type="dxa" w:w="3600"/>
            <w:shd w:val="clear" w:color="auto" w:fill="1F4E78"/>
          </w:tcPr>
          <w:p>
            <w:r>
              <w:rPr>
                <w:rFonts w:ascii="Arial" w:hAnsi="Arial"/>
                <w:b/>
                <w:color w:val="FFFFFF"/>
                <w:sz w:val="20"/>
              </w:rPr>
              <w:t>Tool</w:t>
            </w:r>
          </w:p>
        </w:tc>
        <w:tc>
          <w:tcPr>
            <w:tcW w:type="dxa" w:w="5760"/>
            <w:shd w:val="clear" w:color="auto" w:fill="1F4E78"/>
          </w:tcPr>
          <w:p>
            <w:r>
              <w:rPr>
                <w:rFonts w:ascii="Arial" w:hAnsi="Arial"/>
                <w:b/>
                <w:color w:val="FFFFFF"/>
                <w:sz w:val="20"/>
              </w:rPr>
              <w:t>Role</w:t>
            </w:r>
          </w:p>
        </w:tc>
      </w:tr>
      <w:tr>
        <w:tc>
          <w:tcPr>
            <w:tcW w:type="dxa" w:w="3600"/>
            <w:shd w:val="clear" w:color="auto" w:fill="EBF3FB"/>
          </w:tcPr>
          <w:p>
            <w:r>
              <w:rPr>
                <w:rFonts w:ascii="Arial" w:hAnsi="Arial"/>
                <w:sz w:val="20"/>
              </w:rPr>
              <w:t>Visual Studio Code</w:t>
            </w:r>
          </w:p>
        </w:tc>
        <w:tc>
          <w:tcPr>
            <w:tcW w:type="dxa" w:w="5760"/>
            <w:shd w:val="clear" w:color="auto" w:fill="EBF3FB"/>
          </w:tcPr>
          <w:p>
            <w:r>
              <w:rPr>
                <w:rFonts w:ascii="Arial" w:hAnsi="Arial"/>
                <w:sz w:val="20"/>
              </w:rPr>
              <w:t>Primary IDE for frontend development</w:t>
            </w:r>
          </w:p>
        </w:tc>
      </w:tr>
      <w:tr>
        <w:tc>
          <w:tcPr>
            <w:tcW w:type="dxa" w:w="3600"/>
            <w:shd w:val="clear" w:color="auto" w:fill="FFFFFF"/>
          </w:tcPr>
          <w:p>
            <w:r>
              <w:rPr>
                <w:rFonts w:ascii="Arial" w:hAnsi="Arial"/>
                <w:sz w:val="20"/>
              </w:rPr>
              <w:t>IntelliJ IDEA</w:t>
            </w:r>
          </w:p>
        </w:tc>
        <w:tc>
          <w:tcPr>
            <w:tcW w:type="dxa" w:w="5760"/>
            <w:shd w:val="clear" w:color="auto" w:fill="FFFFFF"/>
          </w:tcPr>
          <w:p>
            <w:r>
              <w:rPr>
                <w:rFonts w:ascii="Arial" w:hAnsi="Arial"/>
                <w:sz w:val="20"/>
              </w:rPr>
              <w:t>Primary IDE for backend Java development</w:t>
            </w:r>
          </w:p>
        </w:tc>
      </w:tr>
      <w:tr>
        <w:tc>
          <w:tcPr>
            <w:tcW w:type="dxa" w:w="3600"/>
            <w:shd w:val="clear" w:color="auto" w:fill="EBF3FB"/>
          </w:tcPr>
          <w:p>
            <w:r>
              <w:rPr>
                <w:rFonts w:ascii="Arial" w:hAnsi="Arial"/>
                <w:sz w:val="20"/>
              </w:rPr>
              <w:t>Git and GitHub</w:t>
            </w:r>
          </w:p>
        </w:tc>
        <w:tc>
          <w:tcPr>
            <w:tcW w:type="dxa" w:w="5760"/>
            <w:shd w:val="clear" w:color="auto" w:fill="EBF3FB"/>
          </w:tcPr>
          <w:p>
            <w:r>
              <w:rPr>
                <w:rFonts w:ascii="Arial" w:hAnsi="Arial"/>
                <w:sz w:val="20"/>
              </w:rPr>
              <w:t>Version control and collaborative code management</w:t>
            </w:r>
          </w:p>
        </w:tc>
      </w:tr>
      <w:tr>
        <w:tc>
          <w:tcPr>
            <w:tcW w:type="dxa" w:w="3600"/>
            <w:shd w:val="clear" w:color="auto" w:fill="FFFFFF"/>
          </w:tcPr>
          <w:p>
            <w:r>
              <w:rPr>
                <w:rFonts w:ascii="Arial" w:hAnsi="Arial"/>
                <w:sz w:val="20"/>
              </w:rPr>
              <w:t>Figma</w:t>
            </w:r>
          </w:p>
        </w:tc>
        <w:tc>
          <w:tcPr>
            <w:tcW w:type="dxa" w:w="5760"/>
            <w:shd w:val="clear" w:color="auto" w:fill="FFFFFF"/>
          </w:tcPr>
          <w:p>
            <w:r>
              <w:rPr>
                <w:rFonts w:ascii="Arial" w:hAnsi="Arial"/>
                <w:sz w:val="20"/>
              </w:rPr>
              <w:t>UI/UX design, translated directly into React components</w:t>
            </w:r>
          </w:p>
        </w:tc>
      </w:tr>
      <w:tr>
        <w:tc>
          <w:tcPr>
            <w:tcW w:type="dxa" w:w="3600"/>
            <w:shd w:val="clear" w:color="auto" w:fill="EBF3FB"/>
          </w:tcPr>
          <w:p>
            <w:r>
              <w:rPr>
                <w:rFonts w:ascii="Arial" w:hAnsi="Arial"/>
                <w:sz w:val="20"/>
              </w:rPr>
              <w:t>Postman</w:t>
            </w:r>
          </w:p>
        </w:tc>
        <w:tc>
          <w:tcPr>
            <w:tcW w:type="dxa" w:w="5760"/>
            <w:shd w:val="clear" w:color="auto" w:fill="EBF3FB"/>
          </w:tcPr>
          <w:p>
            <w:r>
              <w:rPr>
                <w:rFonts w:ascii="Arial" w:hAnsi="Arial"/>
                <w:sz w:val="20"/>
              </w:rPr>
              <w:t>API testing during backend integration</w:t>
            </w:r>
          </w:p>
        </w:tc>
      </w:tr>
      <w:tr>
        <w:tc>
          <w:tcPr>
            <w:tcW w:type="dxa" w:w="3600"/>
            <w:shd w:val="clear" w:color="auto" w:fill="FFFFFF"/>
          </w:tcPr>
          <w:p>
            <w:r>
              <w:rPr>
                <w:rFonts w:ascii="Arial" w:hAnsi="Arial"/>
                <w:sz w:val="20"/>
              </w:rPr>
              <w:t>Vercel</w:t>
            </w:r>
          </w:p>
        </w:tc>
        <w:tc>
          <w:tcPr>
            <w:tcW w:type="dxa" w:w="5760"/>
            <w:shd w:val="clear" w:color="auto" w:fill="FFFFFF"/>
          </w:tcPr>
          <w:p>
            <w:r>
              <w:rPr>
                <w:rFonts w:ascii="Arial" w:hAnsi="Arial"/>
                <w:sz w:val="20"/>
              </w:rPr>
              <w:t>Planned hosting for the React frontend</w:t>
            </w:r>
          </w:p>
        </w:tc>
      </w:tr>
      <w:tr>
        <w:tc>
          <w:tcPr>
            <w:tcW w:type="dxa" w:w="3600"/>
            <w:shd w:val="clear" w:color="auto" w:fill="EBF3FB"/>
          </w:tcPr>
          <w:p>
            <w:r>
              <w:rPr>
                <w:rFonts w:ascii="Arial" w:hAnsi="Arial"/>
                <w:sz w:val="20"/>
              </w:rPr>
              <w:t>Render.com</w:t>
            </w:r>
          </w:p>
        </w:tc>
        <w:tc>
          <w:tcPr>
            <w:tcW w:type="dxa" w:w="5760"/>
            <w:shd w:val="clear" w:color="auto" w:fill="EBF3FB"/>
          </w:tcPr>
          <w:p>
            <w:r>
              <w:rPr>
                <w:rFonts w:ascii="Arial" w:hAnsi="Arial"/>
                <w:sz w:val="20"/>
              </w:rPr>
              <w:t>Planned hosting for the Spring Boot backend API</w:t>
            </w:r>
          </w:p>
        </w:tc>
      </w:tr>
    </w:tbl>
    <w:p/>
    <w:p>
      <w:pPr>
        <w:pStyle w:val="Heading2"/>
      </w:pPr>
      <w:r>
        <w:t>2.8 Benefits of Implementation of the Proposed System</w:t>
      </w:r>
    </w:p>
    <w:p>
      <w:pPr>
        <w:spacing w:before="80" w:after="80"/>
        <w:ind w:left="288"/>
      </w:pPr>
      <w:r>
        <w:rPr>
          <w:rFonts w:ascii="Arial" w:hAnsi="Arial"/>
          <w:b/>
          <w:sz w:val="22"/>
        </w:rPr>
        <w:t xml:space="preserve">Fraud prevention at the source: </w:t>
      </w:r>
      <w:r>
        <w:rPr>
          <w:rFonts w:ascii="Arial" w:hAnsi="Arial"/>
          <w:sz w:val="22"/>
        </w:rPr>
        <w:t>Funding decisions are based on verifiable card-tap data instead of a figure any single party could inflate. No scan data means no token, and no token means no cash is released.</w:t>
      </w:r>
    </w:p>
    <w:p>
      <w:pPr>
        <w:spacing w:before="80" w:after="80"/>
        <w:ind w:left="288"/>
      </w:pPr>
      <w:r>
        <w:rPr>
          <w:rFonts w:ascii="Arial" w:hAnsi="Arial"/>
          <w:b/>
          <w:sz w:val="22"/>
        </w:rPr>
        <w:t xml:space="preserve">Faster, more defensible audits: </w:t>
      </w:r>
      <w:r>
        <w:rPr>
          <w:rFonts w:ascii="Arial" w:hAnsi="Arial"/>
          <w:sz w:val="22"/>
        </w:rPr>
        <w:t>Every cash release traces back through a token to a specific set of verified scans, rather than relying on paper trails compiled after the fact. Any claim can be investigated in minutes.</w:t>
      </w:r>
    </w:p>
    <w:p>
      <w:pPr>
        <w:spacing w:before="80" w:after="80"/>
        <w:ind w:left="288"/>
      </w:pPr>
      <w:r>
        <w:rPr>
          <w:rFonts w:ascii="Arial" w:hAnsi="Arial"/>
          <w:b/>
          <w:sz w:val="22"/>
        </w:rPr>
        <w:t xml:space="preserve">Accountability without added burden on students: </w:t>
      </w:r>
      <w:r>
        <w:rPr>
          <w:rFonts w:ascii="Arial" w:hAnsi="Arial"/>
          <w:sz w:val="22"/>
        </w:rPr>
        <w:t>Students participate only by tapping a card at the dining hall entrance. No portal, login, or extra administrative process is imposed on them.</w:t>
      </w:r>
    </w:p>
    <w:p>
      <w:pPr>
        <w:spacing w:before="80" w:after="80"/>
        <w:ind w:left="288"/>
      </w:pPr>
      <w:r>
        <w:rPr>
          <w:rFonts w:ascii="Arial" w:hAnsi="Arial"/>
          <w:b/>
          <w:sz w:val="22"/>
        </w:rPr>
        <w:t xml:space="preserve">Separation of duties: </w:t>
      </w:r>
      <w:r>
        <w:rPr>
          <w:rFonts w:ascii="Arial" w:hAnsi="Arial"/>
          <w:sz w:val="22"/>
        </w:rPr>
        <w:t>No actor can both generate a funding claim and approve it. The school generates attendance data, the government issues the token, and the bank releases the cash — three independent checks on the same transaction.</w:t>
      </w:r>
    </w:p>
    <w:p>
      <w:pPr>
        <w:spacing w:before="80" w:after="80"/>
        <w:ind w:left="288"/>
      </w:pPr>
      <w:r>
        <w:rPr>
          <w:rFonts w:ascii="Arial" w:hAnsi="Arial"/>
          <w:b/>
          <w:sz w:val="22"/>
        </w:rPr>
        <w:t xml:space="preserve">Real-time visibility: </w:t>
      </w:r>
      <w:r>
        <w:rPr>
          <w:rFonts w:ascii="Arial" w:hAnsi="Arial"/>
          <w:sz w:val="22"/>
        </w:rPr>
        <w:t>School administrators, government reviewers, suppliers, and banks all see the same underlying data as it happens, rather than reconciling mismatched paper records after the reporting period has closed.</w:t>
      </w:r>
    </w:p>
    <w:p>
      <w:pPr>
        <w:spacing w:before="80" w:after="80"/>
        <w:ind w:left="288"/>
      </w:pPr>
      <w:r>
        <w:rPr>
          <w:rFonts w:ascii="Arial" w:hAnsi="Arial"/>
          <w:b/>
          <w:sz w:val="22"/>
        </w:rPr>
        <w:t xml:space="preserve">Reduced disbursement delay: </w:t>
      </w:r>
      <w:r>
        <w:rPr>
          <w:rFonts w:ascii="Arial" w:hAnsi="Arial"/>
          <w:sz w:val="22"/>
        </w:rPr>
        <w:t>Because the token pipeline is digital end-to-end, verified attendance can move to an issued token and, ultimately, released cash, significantly faster than a manual reporting-and-approval cycle.</w:t>
      </w:r>
    </w:p>
    <w:p>
      <w:pPr>
        <w:spacing w:before="80" w:after="80"/>
        <w:ind w:left="288"/>
      </w:pPr>
      <w:r>
        <w:rPr>
          <w:rFonts w:ascii="Arial" w:hAnsi="Arial"/>
          <w:b/>
          <w:sz w:val="22"/>
        </w:rPr>
        <w:t xml:space="preserve">Scalable oversight: </w:t>
      </w:r>
      <w:r>
        <w:rPr>
          <w:rFonts w:ascii="Arial" w:hAnsi="Arial"/>
          <w:sz w:val="22"/>
        </w:rPr>
        <w:t>The same architecture can extend to additional schools, suppliers, or banks without redesigning the accountability model, since each new participant simply plugs into the existing token chain.</w:t>
      </w:r>
    </w:p>
    <w:p/>
    <w:p>
      <w:pPr>
        <w:spacing w:before="400"/>
      </w:pPr>
      <w:r>
        <w:rPr>
          <w:i/>
          <w:color w:val="888888"/>
        </w:rPr>
        <w:t>End of Chapter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